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19,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40" w:firstLine="4214"/>
        <w:spacing w:after="0" w:line="308" w:lineRule="auto"/>
        <w:rPr>
          <w:sz w:val="20"/>
          <w:szCs w:val="20"/>
          <w:color w:val="auto"/>
        </w:rPr>
      </w:pPr>
      <w:r>
        <w:rPr>
          <w:rFonts w:ascii="Arial" w:cs="Arial" w:eastAsia="Arial" w:hAnsi="Arial"/>
          <w:sz w:val="17"/>
          <w:szCs w:val="17"/>
          <w:color w:val="auto"/>
        </w:rPr>
        <w:t>On November 19, 2015, ClearOne, Inc. issued a press release announcing preliminary financial results for the three and nine months ended September 30, 2015. The full text of the press release is attached as Exhibit 99.1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November 19, 2015 titled “ClearOne Reports Preliminary Third Quarter 2015 Financial Results”.</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November 19,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Preliminary Third Quarter 2015 Financial Results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Generates Record Revenue and Profits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November 19,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2015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margin increased to 64% from 61%</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up 20%</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up 59%</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adjusted EBITDA up 18%</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up 1% to $15.9 million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Financial Summary</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Third Quarter</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to Date</w:t>
            </w:r>
          </w:p>
        </w:tc>
        <w:tc>
          <w:tcPr>
            <w:tcW w:w="1080" w:type="dxa"/>
            <w:vAlign w:val="bottom"/>
            <w:tcBorders>
              <w:bottom w:val="single" w:sz="8" w:color="auto"/>
            </w:tcBorders>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Change</w:t>
            </w: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15,913</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15,739</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43,513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42,558</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27,640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25,406</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9,621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48%</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59%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61%</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44%</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Non-GAAP Diluted EPS</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63%</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GAAP Operating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62%</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GAAP Net Income</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52%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76%</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GAAP Diluted EPS</w:t>
            </w: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47%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74%</w:t>
            </w:r>
          </w:p>
        </w:tc>
      </w:tr>
    </w:tbl>
    <w:p>
      <w:pPr>
        <w:spacing w:after="0" w:line="283" w:lineRule="exact"/>
        <w:rPr>
          <w:sz w:val="20"/>
          <w:szCs w:val="20"/>
          <w:color w:val="auto"/>
        </w:rPr>
      </w:pPr>
    </w:p>
    <w:p>
      <w:pPr>
        <w:ind w:right="20"/>
        <w:spacing w:after="0" w:line="364" w:lineRule="auto"/>
        <w:rPr>
          <w:sz w:val="20"/>
          <w:szCs w:val="20"/>
          <w:color w:val="auto"/>
        </w:rPr>
      </w:pPr>
      <w:r>
        <w:rPr>
          <w:rFonts w:ascii="Arial" w:cs="Arial" w:eastAsia="Arial" w:hAnsi="Arial"/>
          <w:sz w:val="18"/>
          <w:szCs w:val="18"/>
          <w:color w:val="auto"/>
        </w:rPr>
        <w:t xml:space="preserve">ClearOne (NASDAQ: CLRO), a global provider of audio and visual communication solutions, today reported preliminary financial results for the three and nine months ended September 30, 2015. The company previously reported the appointment of Tanner LLC (Tanner) as its independent public accounting firm to re-audit the company's 2014 financial results following the resignation of McGladrey LLP (McGladrey), the company's prior independent public accounting firm. McGladrey's resignation was not due to any reason related to the Company's financial reporting or accounting operations, policies or practices. Further details can be found in the company’s Form 8-K filed on October 14, 2015 or at </w:t>
      </w:r>
      <w:r>
        <w:rPr>
          <w:rFonts w:ascii="Arial" w:cs="Arial" w:eastAsia="Arial" w:hAnsi="Arial"/>
          <w:sz w:val="18"/>
          <w:szCs w:val="18"/>
          <w:u w:val="single" w:color="auto"/>
          <w:color w:val="0563C1"/>
        </w:rPr>
        <w:t>http://investors.clearone.com/secfiling.cfm?</w:t>
      </w:r>
      <w:r>
        <w:rPr>
          <w:rFonts w:ascii="Arial" w:cs="Arial" w:eastAsia="Arial" w:hAnsi="Arial"/>
          <w:sz w:val="18"/>
          <w:szCs w:val="18"/>
          <w:color w:val="auto"/>
        </w:rPr>
        <w:t xml:space="preserve"> </w:t>
      </w:r>
      <w:r>
        <w:rPr>
          <w:rFonts w:ascii="Arial" w:cs="Arial" w:eastAsia="Arial" w:hAnsi="Arial"/>
          <w:sz w:val="18"/>
          <w:szCs w:val="18"/>
          <w:u w:val="single" w:color="auto"/>
          <w:color w:val="0563C1"/>
        </w:rPr>
        <w:t>filingID=840715-15-37&amp;CIK=840715</w:t>
      </w:r>
      <w:r>
        <w:rPr>
          <w:rFonts w:ascii="Arial" w:cs="Arial" w:eastAsia="Arial" w:hAnsi="Arial"/>
          <w:sz w:val="18"/>
          <w:szCs w:val="18"/>
          <w:color w:val="000000"/>
        </w:rPr>
        <w:t>. The company currently expects Tanner to complete its review and report its full financial results for the quarter ended</w:t>
      </w:r>
      <w:r>
        <w:rPr>
          <w:rFonts w:ascii="Arial" w:cs="Arial" w:eastAsia="Arial" w:hAnsi="Arial"/>
          <w:sz w:val="18"/>
          <w:szCs w:val="18"/>
          <w:color w:val="0563C1"/>
        </w:rPr>
        <w:t xml:space="preserve"> </w:t>
      </w:r>
      <w:r>
        <w:rPr>
          <w:rFonts w:ascii="Arial" w:cs="Arial" w:eastAsia="Arial" w:hAnsi="Arial"/>
          <w:sz w:val="18"/>
          <w:szCs w:val="18"/>
          <w:color w:val="000000"/>
        </w:rPr>
        <w:t>September 30, 2015 by mid-January 2016.</w:t>
      </w:r>
    </w:p>
    <w:p>
      <w:pPr>
        <w:sectPr>
          <w:pgSz w:w="11900" w:h="16838" w:orient="portrait"/>
          <w:cols w:equalWidth="0" w:num="1">
            <w:col w:w="11420"/>
          </w:cols>
          <w:pgMar w:left="240" w:top="580" w:right="239" w:bottom="1440" w:gutter="0" w:footer="0" w:header="0"/>
        </w:sectPr>
      </w:pPr>
    </w:p>
    <w:bookmarkStart w:id="3" w:name="page4"/>
    <w:bookmarkEnd w:id="3"/>
    <w:p>
      <w:pPr>
        <w:spacing w:after="0" w:line="366" w:lineRule="auto"/>
        <w:rPr>
          <w:sz w:val="20"/>
          <w:szCs w:val="20"/>
          <w:color w:val="auto"/>
        </w:rPr>
      </w:pPr>
      <w:r>
        <w:rPr>
          <w:rFonts w:ascii="Arial" w:cs="Arial" w:eastAsia="Arial" w:hAnsi="Arial"/>
          <w:sz w:val="18"/>
          <w:szCs w:val="18"/>
          <w:color w:val="auto"/>
        </w:rPr>
        <w:t>For the 2015 third quarter, revenue increased 1% to $15.9 million from $15.7 million for the third quarter of 2014. Gross profit was $10.2 million, or 64% of revenue, compared with $9.6 million, or 61% of revenue, for the third quarter of 2014. Non-GAAP operating income increased 20% to $4.2 million from $3.5 million for the third quarter of 2014. Non-GAAP net income increased 59% to $2.8 million, or $0.30 per diluted share, from $1.8 million, or $0.19 per diluted share, for the third quarter of 2014. Non-GAAP Adjusted EBITDA increased 18% to $4.4 million, or $0.46 per diluted share, from $3.8 million, or $0.39 per diluted share, for the third quarter of 2014.</w:t>
      </w:r>
    </w:p>
    <w:p>
      <w:pPr>
        <w:spacing w:after="0" w:line="137" w:lineRule="exact"/>
        <w:rPr>
          <w:sz w:val="20"/>
          <w:szCs w:val="20"/>
          <w:color w:val="auto"/>
        </w:rPr>
      </w:pPr>
    </w:p>
    <w:p>
      <w:pPr>
        <w:ind w:right="140"/>
        <w:spacing w:after="0" w:line="365" w:lineRule="auto"/>
        <w:rPr>
          <w:sz w:val="20"/>
          <w:szCs w:val="20"/>
          <w:color w:val="auto"/>
        </w:rPr>
      </w:pPr>
      <w:r>
        <w:rPr>
          <w:rFonts w:ascii="Arial" w:cs="Arial" w:eastAsia="Arial" w:hAnsi="Arial"/>
          <w:sz w:val="18"/>
          <w:szCs w:val="18"/>
          <w:color w:val="auto"/>
        </w:rPr>
        <w:t>For the nine months ended September 30, 2015, revenue increased 2% to $43.5 million from $42.6 million for the nine months ended September 30, 2014. Gross profit was $27.6 million, or 64% of revenue, compared with $25.4 million, or 60% of revenue, for the nine months ended September 30, 2014. Non-GAAP operating income increased 48% to $9.6 million from $6.5 million for the nine months ended September 30, 2014. Non-GAAP net income increased 61% to $6.4 million, or $0.67 per diluted share, from $4.0 million, or $0.41 per diluted share, for the nine months ended September 30, 2014. Non-GAAP Adjusted EBITDA increased 44% to $10.5 million, or $1.09 per diluted share, from $7.2 million, or $0.75 per diluted share, for the nine months ended September 30, 2014.</w:t>
      </w:r>
    </w:p>
    <w:p>
      <w:pPr>
        <w:spacing w:after="0" w:line="137"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Cash, cash equivalents and investments totaled $39.5 million at September 30, 2015, up from $33.6 million at December 31, 2014. The company continued to have no debt. The company recently announced an increase in its quarterly dividend from $0.035 per share to $0.05 per share payable to shareholders of record on December 4, 2015.</w:t>
      </w:r>
    </w:p>
    <w:p>
      <w:pPr>
        <w:spacing w:after="0" w:line="129" w:lineRule="exact"/>
        <w:rPr>
          <w:sz w:val="20"/>
          <w:szCs w:val="20"/>
          <w:color w:val="auto"/>
        </w:rPr>
      </w:pPr>
    </w:p>
    <w:p>
      <w:pPr>
        <w:jc w:val="both"/>
        <w:ind w:right="120"/>
        <w:spacing w:after="0" w:line="465" w:lineRule="auto"/>
        <w:rPr>
          <w:sz w:val="20"/>
          <w:szCs w:val="20"/>
          <w:color w:val="auto"/>
        </w:rPr>
      </w:pPr>
      <w:r>
        <w:rPr>
          <w:rFonts w:ascii="Arial" w:cs="Arial" w:eastAsia="Arial" w:hAnsi="Arial"/>
          <w:sz w:val="16"/>
          <w:szCs w:val="16"/>
          <w:color w:val="auto"/>
        </w:rPr>
        <w:t>"Despite continuing weakness in certain international markets, we continue to generate solid growth and record revenue and Non-GAAP net income," said Zee Hakimoglu, President and Chief Executive Officer. "Our strong quarterly performance was also due in part to the benefit of a new licensing agreement."</w:t>
      </w:r>
    </w:p>
    <w:p>
      <w:pPr>
        <w:spacing w:after="0" w:line="219" w:lineRule="exact"/>
        <w:rPr>
          <w:sz w:val="20"/>
          <w:szCs w:val="20"/>
          <w:color w:val="auto"/>
        </w:rPr>
      </w:pPr>
    </w:p>
    <w:p>
      <w:pPr>
        <w:jc w:val="both"/>
        <w:ind w:right="120"/>
        <w:spacing w:after="0" w:line="373" w:lineRule="auto"/>
        <w:rPr>
          <w:sz w:val="20"/>
          <w:szCs w:val="20"/>
          <w:color w:val="auto"/>
        </w:rPr>
      </w:pPr>
      <w:r>
        <w:rPr>
          <w:rFonts w:ascii="Arial" w:cs="Arial" w:eastAsia="Arial" w:hAnsi="Arial"/>
          <w:sz w:val="18"/>
          <w:szCs w:val="18"/>
          <w:color w:val="auto"/>
        </w:rPr>
        <w:t>"ClearOne has long been the market share leader in the professional audio conferencing space. We are pleased that a highly regarded market research study recently affirmed not only our number one position but also that we have increased our market share. We will continue our strategic and operating initiatives to extend our leadership to the video collaboration and network media streaming markets."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Gained market share from last year for professional audio conferencing endpoints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New research from Frost &amp; Sullivan, titled Analysis of the Global Audio Conferencing Endpoints Market</w:t>
      </w:r>
    </w:p>
    <w:p>
      <w:pPr>
        <w:spacing w:after="0" w:line="104" w:lineRule="exact"/>
        <w:rPr>
          <w:sz w:val="20"/>
          <w:szCs w:val="20"/>
          <w:color w:val="auto"/>
        </w:rPr>
      </w:pPr>
    </w:p>
    <w:p>
      <w:pPr>
        <w:ind w:right="100"/>
        <w:spacing w:after="0" w:line="3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http://www.frost.com/nf8c</w:t>
      </w:r>
      <w:r>
        <w:rPr>
          <w:rFonts w:ascii="Arial" w:cs="Arial" w:eastAsia="Arial" w:hAnsi="Arial"/>
          <w:sz w:val="18"/>
          <w:szCs w:val="18"/>
          <w:color w:val="auto"/>
        </w:rPr>
        <w:t>), found that ClearOne's comprehensive portfolio, excellent product quality, dedication to technology innovation, and strong partner network have enabled the company to strengthen its revenue lead in the installed audio conferencing market to an impressive 51.5 percent share. The report acknowledged that ClearOne has entered the video conferencing market to meet the continually evolving needs of all types of customer organizations and is positioned as a one-stop-shop provider for customer audio and video collaboration needs.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video innovation recognized</w:t>
      </w:r>
    </w:p>
    <w:p>
      <w:pPr>
        <w:spacing w:after="0" w:line="108" w:lineRule="exact"/>
        <w:rPr>
          <w:sz w:val="20"/>
          <w:szCs w:val="20"/>
          <w:color w:val="auto"/>
        </w:rPr>
      </w:pPr>
    </w:p>
    <w:p>
      <w:pPr>
        <w:ind w:right="360"/>
        <w:spacing w:after="0" w:line="366" w:lineRule="auto"/>
        <w:rPr>
          <w:sz w:val="20"/>
          <w:szCs w:val="20"/>
          <w:color w:val="auto"/>
        </w:rPr>
      </w:pPr>
      <w:r>
        <w:rPr>
          <w:rFonts w:ascii="Arial" w:cs="Arial" w:eastAsia="Arial" w:hAnsi="Arial"/>
          <w:sz w:val="18"/>
          <w:szCs w:val="18"/>
          <w:color w:val="auto"/>
        </w:rPr>
        <w:t>In August 2015, TMC, a global, integrated media company, awarded ClearOne’s network media VIEW® Pro D210 Decoder a 2015 Communications Solutions Product of the Year Award. The award-winning VIEW Pro D210 decoder enables high-quality, low-latency media streaming over existing IP networks. This network device is the ideal solution for deployments such as digital signage applications where common content is repeated over multiple displays and may not need professional-level audio amplification, or third-party equipment control. Such applications include displays at airports and transportation hubs, hotels, casinos and shopping malls.</w:t>
      </w:r>
    </w:p>
    <w:p>
      <w:pPr>
        <w:sectPr>
          <w:pgSz w:w="11900" w:h="16838" w:orient="portrait"/>
          <w:cols w:equalWidth="0" w:num="1">
            <w:col w:w="11400"/>
          </w:cols>
          <w:pgMar w:left="240" w:top="63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New patent awarded</w:t>
      </w:r>
    </w:p>
    <w:p>
      <w:pPr>
        <w:spacing w:after="0" w:line="108" w:lineRule="exact"/>
        <w:rPr>
          <w:sz w:val="20"/>
          <w:szCs w:val="20"/>
          <w:color w:val="auto"/>
        </w:rPr>
      </w:pPr>
    </w:p>
    <w:p>
      <w:pPr>
        <w:ind w:right="160"/>
        <w:spacing w:after="0" w:line="373" w:lineRule="auto"/>
        <w:rPr>
          <w:sz w:val="20"/>
          <w:szCs w:val="20"/>
          <w:color w:val="auto"/>
        </w:rPr>
      </w:pPr>
      <w:r>
        <w:rPr>
          <w:rFonts w:ascii="Arial" w:cs="Arial" w:eastAsia="Arial" w:hAnsi="Arial"/>
          <w:sz w:val="18"/>
          <w:szCs w:val="18"/>
          <w:color w:val="auto"/>
        </w:rPr>
        <w:t>In September 2015, the U.S. Patent and Trademark Office (USPTO) issued a new patent related to audio streaming over IP networks. To date, ClearOne has been awarded 64 patents and has an additional 36 patent applications covering innovations in five strategic categories: Audio Signal Processing, Video Conferencing, Multimedia Network Streaming, Wireless, and Industrial Design.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office opened</w:t>
      </w:r>
    </w:p>
    <w:p>
      <w:pPr>
        <w:spacing w:after="0" w:line="108"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In November, ClearOne announced the opening of an office in the Dubai region of the United Arab Emirates to provide enhanced sales and marketing support for its Middle East business. Gulf co-operation council countries including Bahrain, Emirates, Kuwait, Oman, Qatar and Saudi Arabia comprise a key growth market for ClearOne, as the region continues to benefit from large investments in education, professional services, hospitality and infrastructure, offering a promising long-term outlook. A Middle East office will help ClearOne further penetrate the market and leverage established partner and customer relationships with a local capability.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Released Composition and Video Wall creation software module for award-winning VIEW® Streaming Platform</w:t>
      </w:r>
    </w:p>
    <w:p>
      <w:pPr>
        <w:spacing w:after="0" w:line="108" w:lineRule="exact"/>
        <w:rPr>
          <w:sz w:val="20"/>
          <w:szCs w:val="20"/>
          <w:color w:val="auto"/>
        </w:rPr>
      </w:pPr>
    </w:p>
    <w:p>
      <w:pPr>
        <w:ind w:right="120"/>
        <w:spacing w:after="0" w:line="369" w:lineRule="auto"/>
        <w:rPr>
          <w:sz w:val="20"/>
          <w:szCs w:val="20"/>
          <w:color w:val="auto"/>
        </w:rPr>
      </w:pPr>
      <w:r>
        <w:rPr>
          <w:rFonts w:ascii="Arial" w:cs="Arial" w:eastAsia="Arial" w:hAnsi="Arial"/>
          <w:sz w:val="18"/>
          <w:szCs w:val="18"/>
          <w:color w:val="auto"/>
        </w:rPr>
        <w:t>In November, ClearOne released PANORAMA™, an industry first low-cost downloadable software module which enables flexible video wall display and composition layout without having to purchase additional expensive video wall processor equipment. This new software license builds upon ClearOne’s ground breaking and unique strategy for adding affordable, new functionality and capabilities to the company's Network Media Streaming Platform, without requiring any hardware additions to ClearOne’s VIEW® Pro systems.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Preliminary Financial Measures</w:t>
      </w:r>
    </w:p>
    <w:p>
      <w:pPr>
        <w:spacing w:after="0" w:line="108" w:lineRule="exact"/>
        <w:rPr>
          <w:sz w:val="20"/>
          <w:szCs w:val="20"/>
          <w:color w:val="auto"/>
        </w:rPr>
      </w:pPr>
    </w:p>
    <w:p>
      <w:pPr>
        <w:ind w:right="60"/>
        <w:spacing w:after="0" w:line="384" w:lineRule="auto"/>
        <w:rPr>
          <w:sz w:val="20"/>
          <w:szCs w:val="20"/>
          <w:color w:val="auto"/>
        </w:rPr>
      </w:pPr>
      <w:r>
        <w:rPr>
          <w:rFonts w:ascii="Arial" w:cs="Arial" w:eastAsia="Arial" w:hAnsi="Arial"/>
          <w:sz w:val="17"/>
          <w:szCs w:val="17"/>
          <w:color w:val="auto"/>
        </w:rPr>
        <w:t>ClearOne provides non-GAAP preliminary financial information in the form of non-GAAP operating income, non-GAAP net income, non-GAAP Adjusted Earnings Before Interest, Taxes, Depreciation, and Amortization (EBITDA) and corresponding earnings per share to investors to supplement preliminary GAAP financial information. ClearOne believes that excluding certain items from GAAP results allows ClearOne's management to better understand ClearOne's consolidated preliminary financial performance from period to period as management does not believe that the excluded items are reflective of underlying operating performance. Non-GAAP operating income, non-GAAP net income, non-GAAP Adjusted EBITDA and corresponding earnings per share excludes certain costs and expenses, the details of which are provided below in the tables containing the reconciliation between GAAP and non-GAAP preliminary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preliminary financial measures to the most directly comparable GAAP preliminary financial measures is included with this release.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0" w:lineRule="exact"/>
        <w:rPr>
          <w:sz w:val="20"/>
          <w:szCs w:val="20"/>
          <w:color w:val="auto"/>
        </w:rPr>
      </w:pPr>
    </w:p>
    <w:p>
      <w:pPr>
        <w:jc w:val="both"/>
        <w:ind w:right="52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w:t>
      </w:r>
    </w:p>
    <w:p>
      <w:pPr>
        <w:sectPr>
          <w:pgSz w:w="11900" w:h="16838" w:orient="portrait"/>
          <w:cols w:equalWidth="0" w:num="1">
            <w:col w:w="11400"/>
          </w:cols>
          <w:pgMar w:left="240" w:top="634" w:right="2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i w:val="1"/>
          <w:iCs w:val="1"/>
          <w:color w:val="auto"/>
        </w:rPr>
        <w:t>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340"/>
          </w:cols>
          <w:pgMar w:left="240" w:top="584" w:right="31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PRELIMINARY FINANCIAL RESULTS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auto"/>
              </w:rPr>
              <w:t>Quarter ended September 30,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Non-GAAP Operating Income</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4,188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3,485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4,242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3,555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9,865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6,694</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1,399</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1,766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2,843</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1,789</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4"/>
                <w:szCs w:val="24"/>
                <w:color w:val="auto"/>
              </w:rPr>
            </w:pPr>
          </w:p>
        </w:tc>
        <w:tc>
          <w:tcPr>
            <w:tcW w:w="100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200" w:type="dxa"/>
            <w:vAlign w:val="bottom"/>
          </w:tcPr>
          <w:p>
            <w:pPr>
              <w:spacing w:after="0"/>
              <w:rPr>
                <w:sz w:val="24"/>
                <w:szCs w:val="24"/>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3"/>
                <w:szCs w:val="23"/>
                <w:color w:val="auto"/>
              </w:rPr>
            </w:pPr>
          </w:p>
        </w:tc>
        <w:tc>
          <w:tcPr>
            <w:tcW w:w="100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200" w:type="dxa"/>
            <w:vAlign w:val="bottom"/>
          </w:tcPr>
          <w:p>
            <w:pPr>
              <w:spacing w:after="0"/>
              <w:rPr>
                <w:sz w:val="23"/>
                <w:szCs w:val="23"/>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2,417</w:t>
            </w:r>
          </w:p>
        </w:tc>
        <w:tc>
          <w:tcPr>
            <w:tcW w:w="100" w:type="dxa"/>
            <w:vAlign w:val="bottom"/>
          </w:tcPr>
          <w:p>
            <w:pPr>
              <w:spacing w:after="0"/>
              <w:rPr>
                <w:sz w:val="24"/>
                <w:szCs w:val="24"/>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1,594</w:t>
            </w:r>
          </w:p>
        </w:tc>
        <w:tc>
          <w:tcPr>
            <w:tcW w:w="2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5,204</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Legal and acquisition related expenses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98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0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9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3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2,843</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1,789</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PRELIMINARY FINANCIAL RESULTS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6"/>
                <w:szCs w:val="16"/>
                <w:b w:val="1"/>
                <w:bCs w:val="1"/>
                <w:color w:val="auto"/>
              </w:rPr>
              <w:t>Quarter ended September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GAAP Net Income</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gridSpan w:val="2"/>
            <w:vMerge w:val="continue"/>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2,417</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1,594</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5,204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1,145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1,440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3"/>
                <w:szCs w:val="23"/>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96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4,070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3,589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6,407</w:t>
            </w:r>
          </w:p>
        </w:tc>
        <w:tc>
          <w:tcPr>
            <w:tcW w:w="0" w:type="dxa"/>
            <w:vAlign w:val="bottom"/>
          </w:tcPr>
          <w:p>
            <w:pPr>
              <w:spacing w:after="0"/>
              <w:rPr>
                <w:sz w:val="1"/>
                <w:szCs w:val="1"/>
                <w:color w:val="auto"/>
              </w:rPr>
            </w:pPr>
          </w:p>
        </w:tc>
      </w:tr>
      <w:tr>
        <w:trPr>
          <w:trHeight w:val="249"/>
        </w:trPr>
        <w:tc>
          <w:tcPr>
            <w:tcW w:w="500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21"/>
                <w:szCs w:val="21"/>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6"/>
                <w:szCs w:val="16"/>
                <w:color w:val="auto"/>
              </w:rPr>
              <w:t>Legal and acquisition related expenses</w:t>
            </w:r>
          </w:p>
        </w:tc>
        <w:tc>
          <w:tcPr>
            <w:tcW w:w="960" w:type="dxa"/>
            <w:vAlign w:val="bottom"/>
          </w:tcPr>
          <w:p>
            <w:pPr>
              <w:spacing w:after="0"/>
              <w:rPr>
                <w:sz w:val="23"/>
                <w:szCs w:val="23"/>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4"/>
              </w:rPr>
              <w:t>4,436</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3,759</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10,470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00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4"/>
                <w:szCs w:val="24"/>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0.41</w:t>
            </w:r>
          </w:p>
        </w:tc>
        <w:tc>
          <w:tcPr>
            <w:tcW w:w="2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3"/>
                <w:szCs w:val="23"/>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2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2019-12-06T03:30:02Z</dcterms:created>
  <dcterms:modified xsi:type="dcterms:W3CDTF">2019-12-06T03:30:02Z</dcterms:modified>
</cp:coreProperties>
</file>