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5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9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CURRENT REPORT PURSUANT</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TO SECTION 13 OR 15(D) OF</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5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u w:val="single" w:color="auto"/>
          <w:color w:val="auto"/>
        </w:rPr>
        <w:t>September 4, 2007</w:t>
      </w:r>
    </w:p>
    <w:p>
      <w:pPr>
        <w:spacing w:after="0" w:line="200" w:lineRule="exact"/>
        <w:rPr>
          <w:sz w:val="24"/>
          <w:szCs w:val="24"/>
          <w:color w:val="auto"/>
        </w:rPr>
      </w:pPr>
    </w:p>
    <w:p>
      <w:pPr>
        <w:spacing w:after="0" w:line="3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u w:val="single" w:color="auto"/>
          <w:color w:val="auto"/>
        </w:rPr>
        <w:t>ClearOne Communications, Inc.</w:t>
      </w:r>
    </w:p>
    <w:p>
      <w:pPr>
        <w:spacing w:after="0" w:line="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5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Utah</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57" w:lineRule="exact"/>
        <w:rPr>
          <w:sz w:val="24"/>
          <w:szCs w:val="24"/>
          <w:color w:val="auto"/>
        </w:rPr>
      </w:pPr>
    </w:p>
    <w:tbl>
      <w:tblPr>
        <w:tblLayout w:type="fixed"/>
        <w:tblInd w:w="2880" w:type="dxa"/>
        <w:tblCellMar>
          <w:top w:w="0" w:type="dxa"/>
          <w:left w:w="0" w:type="dxa"/>
          <w:bottom w:w="0" w:type="dxa"/>
          <w:right w:w="0" w:type="dxa"/>
        </w:tblCellMar>
      </w:tblPr>
      <w:tr>
        <w:trPr>
          <w:trHeight w:val="286"/>
        </w:trPr>
        <w:tc>
          <w:tcPr>
            <w:tcW w:w="2840" w:type="dxa"/>
            <w:vAlign w:val="bottom"/>
            <w:tcBorders>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000-17219</w:t>
            </w:r>
          </w:p>
        </w:tc>
        <w:tc>
          <w:tcPr>
            <w:tcW w:w="2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87-0398877</w:t>
            </w:r>
          </w:p>
        </w:tc>
      </w:tr>
      <w:tr>
        <w:trPr>
          <w:trHeight w:val="198"/>
        </w:trPr>
        <w:tc>
          <w:tcPr>
            <w:tcW w:w="2840" w:type="dxa"/>
            <w:vAlign w:val="bottom"/>
          </w:tcPr>
          <w:p>
            <w:pPr>
              <w:jc w:val="right"/>
              <w:ind w:right="35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80" w:type="dxa"/>
            <w:vAlign w:val="bottom"/>
            <w:gridSpan w:val="3"/>
          </w:tcPr>
          <w:p>
            <w:pPr>
              <w:jc w:val="center"/>
              <w:ind w:right="33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2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80" w:type="dxa"/>
            <w:vAlign w:val="bottom"/>
            <w:gridSpan w:val="3"/>
          </w:tcPr>
          <w:p>
            <w:pPr>
              <w:jc w:val="center"/>
              <w:ind w:right="350"/>
              <w:spacing w:after="0"/>
              <w:rPr>
                <w:sz w:val="20"/>
                <w:szCs w:val="20"/>
                <w:color w:val="auto"/>
              </w:rPr>
            </w:pPr>
            <w:r>
              <w:rPr>
                <w:rFonts w:ascii="Times New Roman" w:cs="Times New Roman" w:eastAsia="Times New Roman" w:hAnsi="Times New Roman"/>
                <w:sz w:val="18"/>
                <w:szCs w:val="18"/>
                <w:color w:val="auto"/>
              </w:rPr>
              <w:t>identification number)</w:t>
            </w:r>
          </w:p>
        </w:tc>
      </w:tr>
      <w:tr>
        <w:trPr>
          <w:trHeight w:val="464"/>
        </w:trPr>
        <w:tc>
          <w:tcPr>
            <w:tcW w:w="352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5225 Wiley Post Way, Suite 500</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92"/>
        </w:trPr>
        <w:tc>
          <w:tcPr>
            <w:tcW w:w="352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Salt Lake City, Utah</w:t>
            </w:r>
          </w:p>
        </w:tc>
        <w:tc>
          <w:tcPr>
            <w:tcW w:w="218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84116</w:t>
            </w:r>
          </w:p>
        </w:tc>
      </w:tr>
      <w:tr>
        <w:trPr>
          <w:trHeight w:val="228"/>
        </w:trPr>
        <w:tc>
          <w:tcPr>
            <w:tcW w:w="3520" w:type="dxa"/>
            <w:vAlign w:val="bottom"/>
            <w:tcBorders>
              <w:top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6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5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(801) 975-7200</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5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6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16" w:lineRule="exact"/>
        <w:rPr>
          <w:sz w:val="24"/>
          <w:szCs w:val="24"/>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Written communications pursuant to Rule 425 under the Securities Act (17 CFR 30.425)</w:t>
      </w:r>
    </w:p>
    <w:p>
      <w:pPr>
        <w:spacing w:after="0" w:line="27"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Soliciting material pursuant to Rule 14a-12 under the Exchange Act (17 CFR 40.14a-12)</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792"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August 30, 2007, the Company’s President, CEO &amp; Chairman, Zeynep Hakimoglu, and Vice President of Finance, Greg LeClaire, entered into 10b5-1(c) Stock Purchase Plans (“Plans”) in regards to their participation in the Company’s Employee Stock Purchase Plan. The Company’s Board of Directors approved entry into 10b5-1(c) plans by its executive officers and other employee insiders participating in the Company’s Employee Stock Purchase Plan. Ms. Hakimoglu and Mr. LeClaire entered into the Plans in order to facilitate purchases of the Company’s stock under their participation in the Company’s Employee Stock Purchase Plan.</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terms of Ms. Hakimoglu’s and Mr. LeClaire’s Plan include the following:</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Purchases of Common Stock will be made once per month by a broker designated by the Company’s Employee Stock Purchase Plan Committee.</w:t>
      </w:r>
    </w:p>
    <w:p>
      <w:pPr>
        <w:spacing w:after="0" w:line="27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All purchases of Plan Shares will be made from the Company. Neither Ms. Hakimoglu nor Mr. LeClaire will provide other instruction or guidance to ClearOne with respect to any purchases. The Company will be provided with a copy each Stock Purchase Plan executed by an employee.</w:t>
      </w:r>
    </w:p>
    <w:p>
      <w:pPr>
        <w:spacing w:after="0" w:line="21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All purchases under the Plan will be reported by Ms. Hakimoglu and/or Mr. LeClaire through individual Form 4 filings with the Securities and Exchange Commission.</w:t>
      </w:r>
    </w:p>
    <w:p>
      <w:pPr>
        <w:spacing w:after="0" w:line="21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Ms. Hakimoglu and Mr. LeClaire will cease all purchases under the Plan, and will instruct the Company to cease all purchases, promptly upon notice from the Secretary of ClearOne that the independent directors of the Company’s Board of Directors have determined that purchases under the Plan must be suspended for the period determined by those directors. In this regard, Ms. Hakimoglu and Mr. LeClaire acknowledge that it may be necessary or appropriate for the Company to instruct them to suspend purchases under the Plan in connection with events, including without limitation public or private offerings of securities, mergers or acquisitions, tender offers or similar events.</w:t>
      </w:r>
    </w:p>
    <w:p>
      <w:pPr>
        <w:spacing w:after="0" w:line="23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Plan’s are intended to comply with the requirements of Rule 10b5-1(c) under the Exchange Act and this Plan shall be interpreted to comply with the requirements of Rule 10b5-1(c).</w:t>
      </w:r>
    </w:p>
    <w:p>
      <w:pPr>
        <w:spacing w:after="0" w:line="216"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Notwithstanding this Plan, Ms. Hakimoglu and Mr. LeClaire may sell or purchase shares of the Company’s common stock (other than Plan Shares) pursuant to the Company’s insider trading policy and subject to the terms and conditions included this Plan, and such sales or purchases shall not be subject to this Plan.</w:t>
      </w:r>
    </w:p>
    <w:p>
      <w:pPr>
        <w:spacing w:after="0" w:line="2"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This Plan shall become effective on the date executed by Ms. Hakimoglu and Mr. LeClaire and shall terminate on the earliest to occur of: (i) such employee’s withdrawal from the Employee Stock Purchase Plan or (ii) the death of Shareholder; provided, however, that Shareholder may terminate this Plan at any time upon written notice delivered to the Secretary of ClearOne.</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8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tabs>
          <w:tab w:leader="none" w:pos="4300" w:val="left"/>
          <w:tab w:leader="none" w:pos="5060" w:val="left"/>
        </w:tabs>
        <w:rPr>
          <w:sz w:val="20"/>
          <w:szCs w:val="20"/>
          <w:color w:val="auto"/>
        </w:rPr>
      </w:pPr>
      <w:r>
        <w:rPr>
          <w:rFonts w:ascii="Times New Roman" w:cs="Times New Roman" w:eastAsia="Times New Roman" w:hAnsi="Times New Roman"/>
          <w:sz w:val="18"/>
          <w:szCs w:val="18"/>
          <w:color w:val="auto"/>
        </w:rPr>
        <w:t>Date: September 4, 2007</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 LeClaire</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Greg LeClaire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-130810</wp:posOffset>
            </wp:positionV>
            <wp:extent cx="4022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22090" cy="8890"/>
                    </a:xfrm>
                    <a:prstGeom prst="rect">
                      <a:avLst/>
                    </a:prstGeom>
                    <a:noFill/>
                  </pic:spPr>
                </pic:pic>
              </a:graphicData>
            </a:graphic>
          </wp:anchor>
        </w:drawing>
      </w:r>
    </w:p>
    <w:p>
      <w:pPr>
        <w:spacing w:after="0" w:line="1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2019-12-13T18:03:32Z</dcterms:created>
  <dcterms:modified xsi:type="dcterms:W3CDTF">2019-12-13T18:03:32Z</dcterms:modified>
</cp:coreProperties>
</file>