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47"/>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144780</wp:posOffset>
            </wp:positionH>
            <wp:positionV relativeFrom="page">
              <wp:posOffset>240665</wp:posOffset>
            </wp:positionV>
            <wp:extent cx="7272020" cy="349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34925"/>
                    </a:xfrm>
                    <a:prstGeom prst="rect">
                      <a:avLst/>
                    </a:prstGeom>
                    <a:noFill/>
                  </pic:spPr>
                </pic:pic>
              </a:graphicData>
            </a:graphic>
          </wp:anchor>
        </w:drawing>
        <w:t>UNITED STATES</w:t>
      </w:r>
    </w:p>
    <w:p>
      <w:pPr>
        <w:spacing w:after="0" w:line="29" w:lineRule="exact"/>
        <w:rPr>
          <w:sz w:val="24"/>
          <w:szCs w:val="24"/>
          <w:color w:val="auto"/>
        </w:rPr>
      </w:pPr>
    </w:p>
    <w:p>
      <w:pPr>
        <w:jc w:val="center"/>
        <w:ind w:right="-1047"/>
        <w:spacing w:after="0"/>
        <w:rPr>
          <w:sz w:val="20"/>
          <w:szCs w:val="20"/>
          <w:color w:val="auto"/>
        </w:rPr>
      </w:pPr>
      <w:r>
        <w:rPr>
          <w:rFonts w:ascii="Arial" w:cs="Arial" w:eastAsia="Arial" w:hAnsi="Arial"/>
          <w:sz w:val="15"/>
          <w:szCs w:val="15"/>
          <w:b w:val="1"/>
          <w:bCs w:val="1"/>
          <w:color w:val="auto"/>
        </w:rPr>
        <w:t>SECURITIES AND EXCHANGE COMMISSION</w:t>
      </w:r>
    </w:p>
    <w:p>
      <w:pPr>
        <w:spacing w:after="0" w:line="12" w:lineRule="exact"/>
        <w:rPr>
          <w:sz w:val="24"/>
          <w:szCs w:val="24"/>
          <w:color w:val="auto"/>
        </w:rPr>
      </w:pPr>
    </w:p>
    <w:p>
      <w:pPr>
        <w:jc w:val="center"/>
        <w:ind w:right="-1047"/>
        <w:spacing w:after="0"/>
        <w:rPr>
          <w:sz w:val="20"/>
          <w:szCs w:val="20"/>
          <w:color w:val="auto"/>
        </w:rPr>
      </w:pPr>
      <w:r>
        <w:rPr>
          <w:rFonts w:ascii="Arial" w:cs="Arial" w:eastAsia="Arial" w:hAnsi="Arial"/>
          <w:sz w:val="15"/>
          <w:szCs w:val="15"/>
          <w:b w:val="1"/>
          <w:bCs w:val="1"/>
          <w:color w:val="auto"/>
        </w:rPr>
        <w:t>WASHINGTON, D.C. 20549</w:t>
      </w:r>
    </w:p>
    <w:p>
      <w:pPr>
        <w:spacing w:after="0" w:line="232" w:lineRule="exact"/>
        <w:rPr>
          <w:sz w:val="24"/>
          <w:szCs w:val="24"/>
          <w:color w:val="auto"/>
        </w:rPr>
      </w:pPr>
    </w:p>
    <w:p>
      <w:pPr>
        <w:ind w:left="5268"/>
        <w:spacing w:after="0"/>
        <w:rPr>
          <w:sz w:val="20"/>
          <w:szCs w:val="20"/>
          <w:color w:val="auto"/>
        </w:rPr>
      </w:pPr>
      <w:r>
        <w:rPr>
          <w:rFonts w:ascii="Arial" w:cs="Arial" w:eastAsia="Arial" w:hAnsi="Arial"/>
          <w:sz w:val="18"/>
          <w:szCs w:val="18"/>
          <w:b w:val="1"/>
          <w:bCs w:val="1"/>
          <w:color w:val="auto"/>
        </w:rPr>
        <w:t>FORM 8-K</w:t>
      </w:r>
    </w:p>
    <w:p>
      <w:pPr>
        <w:spacing w:after="0" w:line="250" w:lineRule="exact"/>
        <w:rPr>
          <w:sz w:val="24"/>
          <w:szCs w:val="24"/>
          <w:color w:val="auto"/>
        </w:rPr>
      </w:pPr>
    </w:p>
    <w:p>
      <w:pPr>
        <w:jc w:val="center"/>
        <w:ind w:right="-1047"/>
        <w:spacing w:after="0"/>
        <w:rPr>
          <w:sz w:val="20"/>
          <w:szCs w:val="20"/>
          <w:color w:val="auto"/>
        </w:rPr>
      </w:pPr>
      <w:r>
        <w:rPr>
          <w:rFonts w:ascii="Arial" w:cs="Arial" w:eastAsia="Arial" w:hAnsi="Arial"/>
          <w:sz w:val="15"/>
          <w:szCs w:val="15"/>
          <w:b w:val="1"/>
          <w:bCs w:val="1"/>
          <w:color w:val="auto"/>
        </w:rPr>
        <w:t>CURRENT REPORT PURSUANT</w:t>
      </w:r>
    </w:p>
    <w:p>
      <w:pPr>
        <w:spacing w:after="0" w:line="29" w:lineRule="exact"/>
        <w:rPr>
          <w:sz w:val="24"/>
          <w:szCs w:val="24"/>
          <w:color w:val="auto"/>
        </w:rPr>
      </w:pPr>
    </w:p>
    <w:p>
      <w:pPr>
        <w:jc w:val="center"/>
        <w:ind w:right="-1047"/>
        <w:spacing w:after="0"/>
        <w:rPr>
          <w:sz w:val="20"/>
          <w:szCs w:val="20"/>
          <w:color w:val="auto"/>
        </w:rPr>
      </w:pPr>
      <w:r>
        <w:rPr>
          <w:rFonts w:ascii="Arial" w:cs="Arial" w:eastAsia="Arial" w:hAnsi="Arial"/>
          <w:sz w:val="15"/>
          <w:szCs w:val="15"/>
          <w:b w:val="1"/>
          <w:bCs w:val="1"/>
          <w:color w:val="auto"/>
        </w:rPr>
        <w:t>TO SECTION 13 OR 15(D) OF</w:t>
      </w:r>
    </w:p>
    <w:p>
      <w:pPr>
        <w:spacing w:after="0" w:line="12" w:lineRule="exact"/>
        <w:rPr>
          <w:sz w:val="24"/>
          <w:szCs w:val="24"/>
          <w:color w:val="auto"/>
        </w:rPr>
      </w:pPr>
    </w:p>
    <w:p>
      <w:pPr>
        <w:jc w:val="center"/>
        <w:ind w:right="-1047"/>
        <w:spacing w:after="0"/>
        <w:rPr>
          <w:sz w:val="20"/>
          <w:szCs w:val="20"/>
          <w:color w:val="auto"/>
        </w:rPr>
      </w:pPr>
      <w:r>
        <w:rPr>
          <w:rFonts w:ascii="Arial" w:cs="Arial" w:eastAsia="Arial" w:hAnsi="Arial"/>
          <w:sz w:val="15"/>
          <w:szCs w:val="15"/>
          <w:b w:val="1"/>
          <w:bCs w:val="1"/>
          <w:color w:val="auto"/>
        </w:rPr>
        <w:t>THE SECURITIES EXCHANGE ACT OF 1934</w:t>
      </w:r>
    </w:p>
    <w:p>
      <w:pPr>
        <w:spacing w:after="0" w:line="227" w:lineRule="exact"/>
        <w:rPr>
          <w:sz w:val="24"/>
          <w:szCs w:val="24"/>
          <w:color w:val="auto"/>
        </w:rPr>
      </w:pPr>
    </w:p>
    <w:p>
      <w:pPr>
        <w:ind w:left="3728"/>
        <w:spacing w:after="0"/>
        <w:rPr>
          <w:sz w:val="20"/>
          <w:szCs w:val="20"/>
          <w:color w:val="auto"/>
        </w:rPr>
      </w:pPr>
      <w:r>
        <w:rPr>
          <w:rFonts w:ascii="Arial" w:cs="Arial" w:eastAsia="Arial" w:hAnsi="Arial"/>
          <w:sz w:val="15"/>
          <w:szCs w:val="15"/>
          <w:color w:val="auto"/>
        </w:rPr>
        <w:t xml:space="preserve">Date of report (Date of earliest event reported): </w:t>
      </w:r>
      <w:r>
        <w:rPr>
          <w:rFonts w:ascii="Arial" w:cs="Arial" w:eastAsia="Arial" w:hAnsi="Arial"/>
          <w:sz w:val="15"/>
          <w:szCs w:val="15"/>
          <w:b w:val="1"/>
          <w:bCs w:val="1"/>
          <w:u w:val="single" w:color="auto"/>
          <w:color w:val="auto"/>
        </w:rPr>
        <w:t>August 28, 2006</w:t>
      </w:r>
    </w:p>
    <w:p>
      <w:pPr>
        <w:spacing w:after="0" w:line="244" w:lineRule="exact"/>
        <w:rPr>
          <w:sz w:val="24"/>
          <w:szCs w:val="24"/>
          <w:color w:val="auto"/>
        </w:rPr>
      </w:pPr>
    </w:p>
    <w:p>
      <w:pPr>
        <w:jc w:val="center"/>
        <w:ind w:right="-1047"/>
        <w:spacing w:after="0"/>
        <w:rPr>
          <w:sz w:val="20"/>
          <w:szCs w:val="20"/>
          <w:color w:val="auto"/>
        </w:rPr>
      </w:pPr>
      <w:r>
        <w:rPr>
          <w:rFonts w:ascii="Arial" w:cs="Arial" w:eastAsia="Arial" w:hAnsi="Arial"/>
          <w:sz w:val="15"/>
          <w:szCs w:val="15"/>
          <w:b w:val="1"/>
          <w:bCs w:val="1"/>
          <w:u w:val="single" w:color="auto"/>
          <w:color w:val="auto"/>
        </w:rPr>
        <w:t>ClearOne Communications, Inc.</w:t>
      </w:r>
    </w:p>
    <w:p>
      <w:pPr>
        <w:spacing w:after="0" w:line="29" w:lineRule="exact"/>
        <w:rPr>
          <w:sz w:val="24"/>
          <w:szCs w:val="24"/>
          <w:color w:val="auto"/>
        </w:rPr>
      </w:pPr>
    </w:p>
    <w:p>
      <w:pPr>
        <w:jc w:val="center"/>
        <w:ind w:right="-1047"/>
        <w:spacing w:after="0"/>
        <w:rPr>
          <w:sz w:val="20"/>
          <w:szCs w:val="20"/>
          <w:color w:val="auto"/>
        </w:rPr>
      </w:pPr>
      <w:r>
        <w:rPr>
          <w:rFonts w:ascii="Arial" w:cs="Arial" w:eastAsia="Arial" w:hAnsi="Arial"/>
          <w:sz w:val="15"/>
          <w:szCs w:val="15"/>
          <w:color w:val="auto"/>
        </w:rPr>
        <w:t>(Exact Name of Registrant as Specified in Its Charter)</w:t>
      </w:r>
    </w:p>
    <w:p>
      <w:pPr>
        <w:spacing w:after="0" w:line="227" w:lineRule="exact"/>
        <w:rPr>
          <w:sz w:val="24"/>
          <w:szCs w:val="24"/>
          <w:color w:val="auto"/>
        </w:rPr>
      </w:pPr>
    </w:p>
    <w:p>
      <w:pPr>
        <w:jc w:val="center"/>
        <w:ind w:right="-1047"/>
        <w:spacing w:after="0"/>
        <w:rPr>
          <w:sz w:val="20"/>
          <w:szCs w:val="20"/>
          <w:color w:val="auto"/>
        </w:rPr>
      </w:pPr>
      <w:r>
        <w:rPr>
          <w:rFonts w:ascii="Arial" w:cs="Arial" w:eastAsia="Arial" w:hAnsi="Arial"/>
          <w:sz w:val="15"/>
          <w:szCs w:val="15"/>
          <w:b w:val="1"/>
          <w:bCs w:val="1"/>
          <w:u w:val="single" w:color="auto"/>
          <w:color w:val="auto"/>
        </w:rPr>
        <w:t>Utah</w:t>
      </w:r>
    </w:p>
    <w:p>
      <w:pPr>
        <w:spacing w:after="0" w:line="29" w:lineRule="exact"/>
        <w:rPr>
          <w:sz w:val="24"/>
          <w:szCs w:val="24"/>
          <w:color w:val="auto"/>
        </w:rPr>
      </w:pPr>
    </w:p>
    <w:p>
      <w:pPr>
        <w:jc w:val="center"/>
        <w:ind w:right="-1047"/>
        <w:spacing w:after="0"/>
        <w:rPr>
          <w:sz w:val="20"/>
          <w:szCs w:val="20"/>
          <w:color w:val="auto"/>
        </w:rPr>
      </w:pPr>
      <w:r>
        <w:rPr>
          <w:rFonts w:ascii="Arial" w:cs="Arial" w:eastAsia="Arial" w:hAnsi="Arial"/>
          <w:sz w:val="15"/>
          <w:szCs w:val="15"/>
          <w:color w:val="auto"/>
        </w:rPr>
        <w:t>(State or Other Jurisdiction of Incorporation)</w:t>
      </w:r>
    </w:p>
    <w:p>
      <w:pPr>
        <w:spacing w:after="0" w:line="227" w:lineRule="exact"/>
        <w:rPr>
          <w:sz w:val="24"/>
          <w:szCs w:val="24"/>
          <w:color w:val="auto"/>
        </w:rPr>
      </w:pPr>
    </w:p>
    <w:tbl>
      <w:tblPr>
        <w:tblLayout w:type="fixed"/>
        <w:tblInd w:w="2288" w:type="dxa"/>
        <w:tblCellMar>
          <w:top w:w="0" w:type="dxa"/>
          <w:left w:w="0" w:type="dxa"/>
          <w:bottom w:w="0" w:type="dxa"/>
          <w:right w:w="0" w:type="dxa"/>
        </w:tblCellMar>
      </w:tblPr>
      <w:tr>
        <w:trPr>
          <w:trHeight w:val="207"/>
        </w:trPr>
        <w:tc>
          <w:tcPr>
            <w:tcW w:w="3440" w:type="dxa"/>
            <w:vAlign w:val="bottom"/>
            <w:tcBorders>
              <w:bottom w:val="single" w:sz="8" w:color="auto"/>
            </w:tcBorders>
          </w:tcPr>
          <w:p>
            <w:pPr>
              <w:jc w:val="right"/>
              <w:ind w:right="1303"/>
              <w:spacing w:after="0"/>
              <w:rPr>
                <w:sz w:val="20"/>
                <w:szCs w:val="20"/>
                <w:color w:val="auto"/>
              </w:rPr>
            </w:pPr>
            <w:r>
              <w:rPr>
                <w:rFonts w:ascii="Arial" w:cs="Arial" w:eastAsia="Arial" w:hAnsi="Arial"/>
                <w:sz w:val="15"/>
                <w:szCs w:val="15"/>
                <w:b w:val="1"/>
                <w:bCs w:val="1"/>
                <w:color w:val="auto"/>
              </w:rPr>
              <w:t>000-17219</w:t>
            </w:r>
          </w:p>
        </w:tc>
        <w:tc>
          <w:tcPr>
            <w:tcW w:w="3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gridSpan w:val="3"/>
          </w:tcPr>
          <w:p>
            <w:pPr>
              <w:jc w:val="center"/>
              <w:ind w:right="383"/>
              <w:spacing w:after="0"/>
              <w:rPr>
                <w:sz w:val="20"/>
                <w:szCs w:val="20"/>
                <w:color w:val="auto"/>
              </w:rPr>
            </w:pPr>
            <w:r>
              <w:rPr>
                <w:rFonts w:ascii="Arial" w:cs="Arial" w:eastAsia="Arial" w:hAnsi="Arial"/>
                <w:sz w:val="15"/>
                <w:szCs w:val="15"/>
                <w:b w:val="1"/>
                <w:bCs w:val="1"/>
                <w:color w:val="auto"/>
                <w:w w:val="94"/>
              </w:rPr>
              <w:t>87-0398877</w:t>
            </w:r>
          </w:p>
        </w:tc>
      </w:tr>
      <w:tr>
        <w:trPr>
          <w:trHeight w:val="172"/>
        </w:trPr>
        <w:tc>
          <w:tcPr>
            <w:tcW w:w="3440" w:type="dxa"/>
            <w:vAlign w:val="bottom"/>
          </w:tcPr>
          <w:p>
            <w:pPr>
              <w:jc w:val="center"/>
              <w:spacing w:after="0"/>
              <w:rPr>
                <w:sz w:val="20"/>
                <w:szCs w:val="20"/>
                <w:color w:val="auto"/>
              </w:rPr>
            </w:pPr>
            <w:r>
              <w:rPr>
                <w:rFonts w:ascii="Arial" w:cs="Arial" w:eastAsia="Arial" w:hAnsi="Arial"/>
                <w:sz w:val="15"/>
                <w:szCs w:val="15"/>
                <w:color w:val="auto"/>
                <w:w w:val="95"/>
              </w:rPr>
              <w:t>(Commission File Number)</w:t>
            </w: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20" w:type="dxa"/>
            <w:vAlign w:val="bottom"/>
            <w:gridSpan w:val="3"/>
          </w:tcPr>
          <w:p>
            <w:pPr>
              <w:jc w:val="center"/>
              <w:ind w:right="383"/>
              <w:spacing w:after="0"/>
              <w:rPr>
                <w:sz w:val="20"/>
                <w:szCs w:val="20"/>
                <w:color w:val="auto"/>
              </w:rPr>
            </w:pPr>
            <w:r>
              <w:rPr>
                <w:rFonts w:ascii="Arial" w:cs="Arial" w:eastAsia="Arial" w:hAnsi="Arial"/>
                <w:sz w:val="15"/>
                <w:szCs w:val="15"/>
                <w:color w:val="auto"/>
                <w:w w:val="95"/>
              </w:rPr>
              <w:t>(I.R.S. employer</w:t>
            </w:r>
          </w:p>
        </w:tc>
      </w:tr>
      <w:tr>
        <w:trPr>
          <w:trHeight w:val="195"/>
        </w:trPr>
        <w:tc>
          <w:tcPr>
            <w:tcW w:w="3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620" w:type="dxa"/>
            <w:vAlign w:val="bottom"/>
            <w:gridSpan w:val="3"/>
          </w:tcPr>
          <w:p>
            <w:pPr>
              <w:jc w:val="center"/>
              <w:ind w:right="403"/>
              <w:spacing w:after="0"/>
              <w:rPr>
                <w:sz w:val="20"/>
                <w:szCs w:val="20"/>
                <w:color w:val="auto"/>
              </w:rPr>
            </w:pPr>
            <w:r>
              <w:rPr>
                <w:rFonts w:ascii="Arial" w:cs="Arial" w:eastAsia="Arial" w:hAnsi="Arial"/>
                <w:sz w:val="15"/>
                <w:szCs w:val="15"/>
                <w:color w:val="auto"/>
                <w:w w:val="96"/>
              </w:rPr>
              <w:t>identification number)</w:t>
            </w:r>
          </w:p>
        </w:tc>
      </w:tr>
      <w:tr>
        <w:trPr>
          <w:trHeight w:val="422"/>
        </w:trPr>
        <w:tc>
          <w:tcPr>
            <w:tcW w:w="4240" w:type="dxa"/>
            <w:vAlign w:val="bottom"/>
            <w:gridSpan w:val="3"/>
          </w:tcPr>
          <w:p>
            <w:pPr>
              <w:jc w:val="center"/>
              <w:ind w:left="663"/>
              <w:spacing w:after="0"/>
              <w:rPr>
                <w:sz w:val="20"/>
                <w:szCs w:val="20"/>
                <w:color w:val="auto"/>
              </w:rPr>
            </w:pPr>
            <w:r>
              <w:rPr>
                <w:rFonts w:ascii="Arial" w:cs="Arial" w:eastAsia="Arial" w:hAnsi="Arial"/>
                <w:sz w:val="15"/>
                <w:szCs w:val="15"/>
                <w:b w:val="1"/>
                <w:bCs w:val="1"/>
                <w:color w:val="auto"/>
                <w:w w:val="93"/>
              </w:rPr>
              <w:t>1825 Research Way, Salt Lake City, Utah</w:t>
            </w:r>
          </w:p>
        </w:tc>
        <w:tc>
          <w:tcPr>
            <w:tcW w:w="2620" w:type="dxa"/>
            <w:vAlign w:val="bottom"/>
            <w:gridSpan w:val="3"/>
          </w:tcPr>
          <w:p>
            <w:pPr>
              <w:jc w:val="right"/>
              <w:ind w:right="543"/>
              <w:spacing w:after="0"/>
              <w:rPr>
                <w:sz w:val="20"/>
                <w:szCs w:val="20"/>
                <w:color w:val="auto"/>
              </w:rPr>
            </w:pPr>
            <w:r>
              <w:rPr>
                <w:rFonts w:ascii="Arial" w:cs="Arial" w:eastAsia="Arial" w:hAnsi="Arial"/>
                <w:sz w:val="15"/>
                <w:szCs w:val="15"/>
                <w:b w:val="1"/>
                <w:bCs w:val="1"/>
                <w:color w:val="auto"/>
              </w:rPr>
              <w:t>84119</w:t>
            </w:r>
          </w:p>
        </w:tc>
      </w:tr>
      <w:tr>
        <w:trPr>
          <w:trHeight w:val="193"/>
        </w:trPr>
        <w:tc>
          <w:tcPr>
            <w:tcW w:w="4240" w:type="dxa"/>
            <w:vAlign w:val="bottom"/>
            <w:tcBorders>
              <w:top w:val="single" w:sz="8" w:color="auto"/>
            </w:tcBorders>
            <w:gridSpan w:val="3"/>
          </w:tcPr>
          <w:p>
            <w:pPr>
              <w:jc w:val="center"/>
              <w:ind w:left="643"/>
              <w:spacing w:after="0"/>
              <w:rPr>
                <w:sz w:val="20"/>
                <w:szCs w:val="20"/>
                <w:color w:val="auto"/>
              </w:rPr>
            </w:pPr>
            <w:r>
              <w:rPr>
                <w:rFonts w:ascii="Arial" w:cs="Arial" w:eastAsia="Arial" w:hAnsi="Arial"/>
                <w:sz w:val="15"/>
                <w:szCs w:val="15"/>
                <w:color w:val="auto"/>
                <w:w w:val="95"/>
              </w:rPr>
              <w:t>(Address of principal executive offices)</w:t>
            </w:r>
          </w:p>
        </w:tc>
        <w:tc>
          <w:tcPr>
            <w:tcW w:w="74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620" w:type="dxa"/>
            <w:vAlign w:val="bottom"/>
            <w:tcBorders>
              <w:top w:val="single" w:sz="8" w:color="auto"/>
            </w:tcBorders>
          </w:tcPr>
          <w:p>
            <w:pPr>
              <w:jc w:val="center"/>
              <w:spacing w:after="0"/>
              <w:rPr>
                <w:sz w:val="20"/>
                <w:szCs w:val="20"/>
                <w:color w:val="auto"/>
              </w:rPr>
            </w:pPr>
            <w:r>
              <w:rPr>
                <w:rFonts w:ascii="Arial" w:cs="Arial" w:eastAsia="Arial" w:hAnsi="Arial"/>
                <w:sz w:val="15"/>
                <w:szCs w:val="15"/>
                <w:color w:val="auto"/>
                <w:w w:val="95"/>
              </w:rPr>
              <w:t>(Zip Code)</w:t>
            </w:r>
          </w:p>
        </w:tc>
      </w:tr>
    </w:tbl>
    <w:p>
      <w:pPr>
        <w:spacing w:after="0" w:line="227" w:lineRule="exact"/>
        <w:rPr>
          <w:sz w:val="24"/>
          <w:szCs w:val="24"/>
          <w:color w:val="auto"/>
        </w:rPr>
      </w:pPr>
    </w:p>
    <w:p>
      <w:pPr>
        <w:jc w:val="center"/>
        <w:ind w:right="-1047"/>
        <w:spacing w:after="0"/>
        <w:rPr>
          <w:sz w:val="20"/>
          <w:szCs w:val="20"/>
          <w:color w:val="auto"/>
        </w:rPr>
      </w:pPr>
      <w:r>
        <w:rPr>
          <w:rFonts w:ascii="Arial" w:cs="Arial" w:eastAsia="Arial" w:hAnsi="Arial"/>
          <w:sz w:val="15"/>
          <w:szCs w:val="15"/>
          <w:b w:val="1"/>
          <w:bCs w:val="1"/>
          <w:u w:val="single" w:color="auto"/>
          <w:color w:val="auto"/>
        </w:rPr>
        <w:t>(801) 975-7200</w:t>
      </w:r>
    </w:p>
    <w:p>
      <w:pPr>
        <w:spacing w:after="0" w:line="29" w:lineRule="exact"/>
        <w:rPr>
          <w:sz w:val="24"/>
          <w:szCs w:val="24"/>
          <w:color w:val="auto"/>
        </w:rPr>
      </w:pPr>
    </w:p>
    <w:p>
      <w:pPr>
        <w:jc w:val="center"/>
        <w:ind w:right="-1047"/>
        <w:spacing w:after="0"/>
        <w:rPr>
          <w:sz w:val="20"/>
          <w:szCs w:val="20"/>
          <w:color w:val="auto"/>
        </w:rPr>
      </w:pPr>
      <w:r>
        <w:rPr>
          <w:rFonts w:ascii="Arial" w:cs="Arial" w:eastAsia="Arial" w:hAnsi="Arial"/>
          <w:sz w:val="15"/>
          <w:szCs w:val="15"/>
          <w:color w:val="auto"/>
        </w:rPr>
        <w:t>(Registrant’s Telephone Number, Including Area Code)</w:t>
      </w:r>
    </w:p>
    <w:p>
      <w:pPr>
        <w:spacing w:after="0" w:line="227" w:lineRule="exact"/>
        <w:rPr>
          <w:sz w:val="24"/>
          <w:szCs w:val="24"/>
          <w:color w:val="auto"/>
        </w:rPr>
      </w:pPr>
    </w:p>
    <w:p>
      <w:pPr>
        <w:jc w:val="center"/>
        <w:ind w:right="-1047"/>
        <w:spacing w:after="0"/>
        <w:rPr>
          <w:sz w:val="20"/>
          <w:szCs w:val="20"/>
          <w:color w:val="auto"/>
        </w:rPr>
      </w:pPr>
      <w:r>
        <w:rPr>
          <w:rFonts w:ascii="Arial" w:cs="Arial" w:eastAsia="Arial" w:hAnsi="Arial"/>
          <w:sz w:val="15"/>
          <w:szCs w:val="15"/>
          <w:b w:val="1"/>
          <w:bCs w:val="1"/>
          <w:u w:val="single" w:color="auto"/>
          <w:color w:val="auto"/>
        </w:rPr>
        <w:t>Not applicable</w:t>
      </w:r>
    </w:p>
    <w:p>
      <w:pPr>
        <w:spacing w:after="0" w:line="29" w:lineRule="exact"/>
        <w:rPr>
          <w:sz w:val="24"/>
          <w:szCs w:val="24"/>
          <w:color w:val="auto"/>
        </w:rPr>
      </w:pPr>
    </w:p>
    <w:p>
      <w:pPr>
        <w:jc w:val="center"/>
        <w:ind w:right="-1047"/>
        <w:spacing w:after="0"/>
        <w:rPr>
          <w:sz w:val="20"/>
          <w:szCs w:val="20"/>
          <w:color w:val="auto"/>
        </w:rPr>
      </w:pPr>
      <w:r>
        <w:rPr>
          <w:rFonts w:ascii="Arial" w:cs="Arial" w:eastAsia="Arial" w:hAnsi="Arial"/>
          <w:sz w:val="15"/>
          <w:szCs w:val="15"/>
          <w:color w:val="auto"/>
        </w:rPr>
        <w:t>(Former Name or Former Address, if Changed Since Last Report)</w:t>
      </w:r>
    </w:p>
    <w:p>
      <w:pPr>
        <w:spacing w:after="0" w:line="233" w:lineRule="exact"/>
        <w:rPr>
          <w:sz w:val="24"/>
          <w:szCs w:val="24"/>
          <w:color w:val="auto"/>
        </w:rPr>
      </w:pPr>
    </w:p>
    <w:p>
      <w:pPr>
        <w:ind w:left="8"/>
        <w:spacing w:after="0"/>
        <w:rPr>
          <w:sz w:val="20"/>
          <w:szCs w:val="20"/>
          <w:color w:val="auto"/>
        </w:rPr>
      </w:pPr>
      <w:r>
        <w:rPr>
          <w:rFonts w:ascii="Arial" w:cs="Arial" w:eastAsia="Arial" w:hAnsi="Arial"/>
          <w:sz w:val="14"/>
          <w:szCs w:val="14"/>
          <w:color w:val="auto"/>
        </w:rPr>
        <w:t>Check the appropriate box below if the Form 8-K filing is intended to simultaneously satisfy the filing obligation of the registrant under any of the following provisions:</w:t>
      </w:r>
    </w:p>
    <w:p>
      <w:pPr>
        <w:spacing w:after="0" w:line="255" w:lineRule="exact"/>
        <w:rPr>
          <w:sz w:val="24"/>
          <w:szCs w:val="24"/>
          <w:color w:val="auto"/>
        </w:rPr>
      </w:pPr>
    </w:p>
    <w:p>
      <w:pPr>
        <w:ind w:left="88" w:hanging="88"/>
        <w:spacing w:after="0"/>
        <w:tabs>
          <w:tab w:leader="none" w:pos="88" w:val="left"/>
        </w:tabs>
        <w:numPr>
          <w:ilvl w:val="0"/>
          <w:numId w:val="1"/>
        </w:numPr>
        <w:rPr>
          <w:rFonts w:ascii="Arial" w:cs="Arial" w:eastAsia="Arial" w:hAnsi="Arial"/>
          <w:sz w:val="15"/>
          <w:szCs w:val="15"/>
          <w:color w:val="auto"/>
        </w:rPr>
      </w:pPr>
      <w:r>
        <w:rPr>
          <w:rFonts w:ascii="Arial" w:cs="Arial" w:eastAsia="Arial" w:hAnsi="Arial"/>
          <w:sz w:val="15"/>
          <w:szCs w:val="15"/>
          <w:color w:val="auto"/>
        </w:rPr>
        <w:t>] Written communications pursuant to Rule 425 under the Securities Act (17 CFR 230.425)</w:t>
      </w:r>
    </w:p>
    <w:p>
      <w:pPr>
        <w:spacing w:after="0" w:line="22" w:lineRule="exact"/>
        <w:rPr>
          <w:rFonts w:ascii="Arial" w:cs="Arial" w:eastAsia="Arial" w:hAnsi="Arial"/>
          <w:sz w:val="15"/>
          <w:szCs w:val="15"/>
          <w:color w:val="auto"/>
        </w:rPr>
      </w:pPr>
    </w:p>
    <w:p>
      <w:pPr>
        <w:ind w:left="88" w:hanging="88"/>
        <w:spacing w:after="0"/>
        <w:tabs>
          <w:tab w:leader="none" w:pos="88" w:val="left"/>
        </w:tabs>
        <w:numPr>
          <w:ilvl w:val="0"/>
          <w:numId w:val="1"/>
        </w:numPr>
        <w:rPr>
          <w:rFonts w:ascii="Arial" w:cs="Arial" w:eastAsia="Arial" w:hAnsi="Arial"/>
          <w:sz w:val="15"/>
          <w:szCs w:val="15"/>
          <w:color w:val="auto"/>
        </w:rPr>
      </w:pPr>
      <w:r>
        <w:rPr>
          <w:rFonts w:ascii="Arial" w:cs="Arial" w:eastAsia="Arial" w:hAnsi="Arial"/>
          <w:sz w:val="15"/>
          <w:szCs w:val="15"/>
          <w:color w:val="auto"/>
        </w:rPr>
        <w:t>] Soliciting material pursuant to Rule 14a-12 under the Exchange Act (17 CFR 240.14a-12)</w:t>
      </w:r>
    </w:p>
    <w:p>
      <w:pPr>
        <w:spacing w:after="0" w:line="12" w:lineRule="exact"/>
        <w:rPr>
          <w:rFonts w:ascii="Arial" w:cs="Arial" w:eastAsia="Arial" w:hAnsi="Arial"/>
          <w:sz w:val="15"/>
          <w:szCs w:val="15"/>
          <w:color w:val="auto"/>
        </w:rPr>
      </w:pPr>
    </w:p>
    <w:p>
      <w:pPr>
        <w:ind w:left="88" w:hanging="88"/>
        <w:spacing w:after="0"/>
        <w:tabs>
          <w:tab w:leader="none" w:pos="88" w:val="left"/>
        </w:tabs>
        <w:numPr>
          <w:ilvl w:val="0"/>
          <w:numId w:val="1"/>
        </w:numPr>
        <w:rPr>
          <w:rFonts w:ascii="Arial" w:cs="Arial" w:eastAsia="Arial" w:hAnsi="Arial"/>
          <w:sz w:val="15"/>
          <w:szCs w:val="15"/>
          <w:color w:val="auto"/>
        </w:rPr>
      </w:pPr>
      <w:r>
        <w:rPr>
          <w:rFonts w:ascii="Arial" w:cs="Arial" w:eastAsia="Arial" w:hAnsi="Arial"/>
          <w:sz w:val="15"/>
          <w:szCs w:val="15"/>
          <w:color w:val="auto"/>
        </w:rPr>
        <w:t>] Pre-commencement communications pursuant to Rule 14d-2(b) under the Exchange Act (17 CFR 240.14d-2(b))</w:t>
      </w:r>
    </w:p>
    <w:p>
      <w:pPr>
        <w:spacing w:after="0" w:line="12" w:lineRule="exact"/>
        <w:rPr>
          <w:rFonts w:ascii="Arial" w:cs="Arial" w:eastAsia="Arial" w:hAnsi="Arial"/>
          <w:sz w:val="15"/>
          <w:szCs w:val="15"/>
          <w:color w:val="auto"/>
        </w:rPr>
      </w:pPr>
    </w:p>
    <w:p>
      <w:pPr>
        <w:ind w:left="88" w:hanging="88"/>
        <w:spacing w:after="0"/>
        <w:tabs>
          <w:tab w:leader="none" w:pos="88" w:val="left"/>
        </w:tabs>
        <w:numPr>
          <w:ilvl w:val="0"/>
          <w:numId w:val="1"/>
        </w:numPr>
        <w:rPr>
          <w:rFonts w:ascii="Arial" w:cs="Arial" w:eastAsia="Arial" w:hAnsi="Arial"/>
          <w:sz w:val="15"/>
          <w:szCs w:val="15"/>
          <w:color w:val="auto"/>
        </w:rPr>
      </w:pPr>
      <w:r>
        <w:rPr>
          <w:rFonts w:ascii="Arial" w:cs="Arial" w:eastAsia="Arial" w:hAnsi="Arial"/>
          <w:sz w:val="15"/>
          <w:szCs w:val="15"/>
          <w:color w:val="auto"/>
        </w:rPr>
        <w:t>] Pre-commencement communication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86360</wp:posOffset>
            </wp:positionV>
            <wp:extent cx="7272020" cy="393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39370"/>
                    </a:xfrm>
                    <a:prstGeom prst="rect">
                      <a:avLst/>
                    </a:prstGeom>
                    <a:noFill/>
                  </pic:spPr>
                </pic:pic>
              </a:graphicData>
            </a:graphic>
          </wp:anchor>
        </w:drawing>
      </w:r>
    </w:p>
    <w:p>
      <w:pPr>
        <w:spacing w:after="0" w:line="200" w:lineRule="exact"/>
        <w:rPr>
          <w:sz w:val="24"/>
          <w:szCs w:val="24"/>
          <w:color w:val="auto"/>
        </w:rPr>
      </w:pPr>
    </w:p>
    <w:p>
      <w:pPr>
        <w:spacing w:after="0" w:line="251" w:lineRule="exact"/>
        <w:rPr>
          <w:sz w:val="24"/>
          <w:szCs w:val="24"/>
          <w:color w:val="auto"/>
        </w:rPr>
      </w:pPr>
    </w:p>
    <w:p>
      <w:pPr>
        <w:ind w:left="5688"/>
        <w:spacing w:after="0"/>
        <w:rPr>
          <w:sz w:val="20"/>
          <w:szCs w:val="20"/>
          <w:color w:val="auto"/>
        </w:rPr>
      </w:pPr>
      <w:r>
        <w:rPr>
          <w:rFonts w:ascii="Arial" w:cs="Arial" w:eastAsia="Arial" w:hAnsi="Arial"/>
          <w:sz w:val="12"/>
          <w:szCs w:val="12"/>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59055</wp:posOffset>
            </wp:positionV>
            <wp:extent cx="7272020" cy="20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20320"/>
                    </a:xfrm>
                    <a:prstGeom prst="rect">
                      <a:avLst/>
                    </a:prstGeom>
                    <a:noFill/>
                  </pic:spPr>
                </pic:pic>
              </a:graphicData>
            </a:graphic>
          </wp:anchor>
        </w:drawing>
      </w:r>
    </w:p>
    <w:p>
      <w:pPr>
        <w:sectPr>
          <w:pgSz w:w="11900" w:h="16838" w:orient="portrait"/>
          <w:cols w:equalWidth="0" w:num="1">
            <w:col w:w="10388"/>
          </w:cols>
          <w:pgMar w:left="232" w:top="701" w:right="1279" w:bottom="1440" w:gutter="0" w:footer="0" w:header="0"/>
        </w:sectPr>
      </w:pPr>
    </w:p>
    <w:bookmarkStart w:id="1" w:name="page2"/>
    <w:bookmarkEnd w:id="1"/>
    <w:p>
      <w:pPr>
        <w:spacing w:after="0"/>
        <w:rPr>
          <w:sz w:val="20"/>
          <w:szCs w:val="20"/>
          <w:color w:val="auto"/>
        </w:rPr>
      </w:pPr>
      <w:r>
        <w:rPr>
          <w:rFonts w:ascii="Arial" w:cs="Arial" w:eastAsia="Arial" w:hAnsi="Arial"/>
          <w:sz w:val="15"/>
          <w:szCs w:val="15"/>
          <w:b w:val="1"/>
          <w:bCs w:val="1"/>
          <w:color w:val="auto"/>
        </w:rPr>
        <w:t>Item 2.02 Results of Operations and Financial Condition.</w:t>
      </w:r>
    </w:p>
    <w:p>
      <w:pPr>
        <w:spacing w:after="0" w:line="250" w:lineRule="exact"/>
        <w:rPr>
          <w:sz w:val="20"/>
          <w:szCs w:val="20"/>
          <w:color w:val="auto"/>
        </w:rPr>
      </w:pPr>
    </w:p>
    <w:p>
      <w:pPr>
        <w:spacing w:after="0"/>
        <w:rPr>
          <w:sz w:val="20"/>
          <w:szCs w:val="20"/>
          <w:color w:val="auto"/>
        </w:rPr>
      </w:pPr>
      <w:r>
        <w:rPr>
          <w:rFonts w:ascii="Arial" w:cs="Arial" w:eastAsia="Arial" w:hAnsi="Arial"/>
          <w:sz w:val="14"/>
          <w:szCs w:val="14"/>
          <w:color w:val="auto"/>
        </w:rPr>
        <w:t>On August 28, 2006, ClearOne Communications, Inc. (the “Company”) issued a press release announcing its financial results for the fourth quarter and fiscal year ended June 30, 2006.</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The full text of the Company’s press release is furnished herewith as Exhibit 99.1.</w:t>
      </w:r>
    </w:p>
    <w:p>
      <w:pPr>
        <w:spacing w:after="0" w:line="262" w:lineRule="exact"/>
        <w:rPr>
          <w:sz w:val="20"/>
          <w:szCs w:val="20"/>
          <w:color w:val="auto"/>
        </w:rPr>
      </w:pPr>
    </w:p>
    <w:p>
      <w:pPr>
        <w:spacing w:after="0"/>
        <w:tabs>
          <w:tab w:leader="none" w:pos="1060" w:val="left"/>
        </w:tabs>
        <w:rPr>
          <w:sz w:val="20"/>
          <w:szCs w:val="20"/>
          <w:color w:val="auto"/>
        </w:rPr>
      </w:pPr>
      <w:r>
        <w:rPr>
          <w:rFonts w:ascii="Arial" w:cs="Arial" w:eastAsia="Arial" w:hAnsi="Arial"/>
          <w:sz w:val="15"/>
          <w:szCs w:val="15"/>
          <w:b w:val="1"/>
          <w:bCs w:val="1"/>
          <w:color w:val="auto"/>
        </w:rPr>
        <w:t>Item 9.01</w:t>
      </w:r>
      <w:r>
        <w:rPr>
          <w:sz w:val="20"/>
          <w:szCs w:val="20"/>
          <w:color w:val="auto"/>
        </w:rPr>
        <w:tab/>
      </w:r>
      <w:r>
        <w:rPr>
          <w:rFonts w:ascii="Arial" w:cs="Arial" w:eastAsia="Arial" w:hAnsi="Arial"/>
          <w:sz w:val="13"/>
          <w:szCs w:val="13"/>
          <w:b w:val="1"/>
          <w:bCs w:val="1"/>
          <w:color w:val="auto"/>
        </w:rPr>
        <w:t>Financial Statements and Exhibits.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0" w:type="dxa"/>
            <w:vAlign w:val="bottom"/>
          </w:tcPr>
          <w:p>
            <w:pPr>
              <w:spacing w:after="0"/>
              <w:rPr>
                <w:sz w:val="20"/>
                <w:szCs w:val="20"/>
                <w:color w:val="auto"/>
              </w:rPr>
            </w:pPr>
            <w:r>
              <w:rPr>
                <w:rFonts w:ascii="Arial" w:cs="Arial" w:eastAsia="Arial" w:hAnsi="Arial"/>
                <w:sz w:val="15"/>
                <w:szCs w:val="15"/>
                <w:color w:val="auto"/>
              </w:rPr>
              <w:t>(d)</w:t>
            </w:r>
          </w:p>
        </w:tc>
        <w:tc>
          <w:tcPr>
            <w:tcW w:w="1240" w:type="dxa"/>
            <w:vAlign w:val="bottom"/>
          </w:tcPr>
          <w:p>
            <w:pPr>
              <w:ind w:left="240"/>
              <w:spacing w:after="0"/>
              <w:rPr>
                <w:sz w:val="20"/>
                <w:szCs w:val="20"/>
                <w:color w:val="auto"/>
              </w:rPr>
            </w:pPr>
            <w:r>
              <w:rPr>
                <w:rFonts w:ascii="Arial" w:cs="Arial" w:eastAsia="Arial" w:hAnsi="Arial"/>
                <w:sz w:val="15"/>
                <w:szCs w:val="15"/>
                <w:color w:val="auto"/>
              </w:rPr>
              <w:t>Exhibits.</w:t>
            </w:r>
          </w:p>
        </w:tc>
        <w:tc>
          <w:tcPr>
            <w:tcW w:w="8100" w:type="dxa"/>
            <w:vAlign w:val="bottom"/>
          </w:tcPr>
          <w:p>
            <w:pPr>
              <w:spacing w:after="0"/>
              <w:rPr>
                <w:sz w:val="16"/>
                <w:szCs w:val="16"/>
                <w:color w:val="auto"/>
              </w:rPr>
            </w:pPr>
          </w:p>
        </w:tc>
        <w:tc>
          <w:tcPr>
            <w:tcW w:w="1700" w:type="dxa"/>
            <w:vAlign w:val="bottom"/>
          </w:tcPr>
          <w:p>
            <w:pPr>
              <w:spacing w:after="0"/>
              <w:rPr>
                <w:sz w:val="16"/>
                <w:szCs w:val="16"/>
                <w:color w:val="auto"/>
              </w:rPr>
            </w:pPr>
          </w:p>
        </w:tc>
      </w:tr>
      <w:tr>
        <w:trPr>
          <w:trHeight w:val="428"/>
        </w:trPr>
        <w:tc>
          <w:tcPr>
            <w:tcW w:w="4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center"/>
              <w:ind w:right="43"/>
              <w:spacing w:after="0"/>
              <w:rPr>
                <w:sz w:val="20"/>
                <w:szCs w:val="20"/>
                <w:color w:val="auto"/>
              </w:rPr>
            </w:pPr>
            <w:r>
              <w:rPr>
                <w:rFonts w:ascii="Arial" w:cs="Arial" w:eastAsia="Arial" w:hAnsi="Arial"/>
                <w:sz w:val="15"/>
                <w:szCs w:val="15"/>
                <w:color w:val="auto"/>
                <w:w w:val="99"/>
              </w:rPr>
              <w:t>Exhibit No.</w:t>
            </w:r>
          </w:p>
        </w:tc>
        <w:tc>
          <w:tcPr>
            <w:tcW w:w="8100" w:type="dxa"/>
            <w:vAlign w:val="bottom"/>
            <w:tcBorders>
              <w:bottom w:val="single" w:sz="8" w:color="auto"/>
            </w:tcBorders>
          </w:tcPr>
          <w:p>
            <w:pPr>
              <w:ind w:left="3580"/>
              <w:spacing w:after="0"/>
              <w:rPr>
                <w:sz w:val="20"/>
                <w:szCs w:val="20"/>
                <w:color w:val="auto"/>
              </w:rPr>
            </w:pPr>
            <w:r>
              <w:rPr>
                <w:rFonts w:ascii="Arial" w:cs="Arial" w:eastAsia="Arial" w:hAnsi="Arial"/>
                <w:sz w:val="15"/>
                <w:szCs w:val="15"/>
                <w:color w:val="auto"/>
              </w:rPr>
              <w:t>Title of Document</w:t>
            </w:r>
          </w:p>
        </w:tc>
        <w:tc>
          <w:tcPr>
            <w:tcW w:w="1700" w:type="dxa"/>
            <w:vAlign w:val="bottom"/>
            <w:tcBorders>
              <w:bottom w:val="single" w:sz="8" w:color="auto"/>
            </w:tcBorders>
          </w:tcPr>
          <w:p>
            <w:pPr>
              <w:jc w:val="center"/>
              <w:ind w:right="43"/>
              <w:spacing w:after="0"/>
              <w:rPr>
                <w:sz w:val="20"/>
                <w:szCs w:val="20"/>
                <w:color w:val="auto"/>
              </w:rPr>
            </w:pPr>
            <w:r>
              <w:rPr>
                <w:rFonts w:ascii="Arial" w:cs="Arial" w:eastAsia="Arial" w:hAnsi="Arial"/>
                <w:sz w:val="15"/>
                <w:szCs w:val="15"/>
                <w:color w:val="auto"/>
                <w:w w:val="95"/>
              </w:rPr>
              <w:t>Location</w:t>
            </w:r>
          </w:p>
        </w:tc>
      </w:tr>
      <w:tr>
        <w:trPr>
          <w:trHeight w:val="166"/>
        </w:trPr>
        <w:tc>
          <w:tcPr>
            <w:tcW w:w="400" w:type="dxa"/>
            <w:vAlign w:val="bottom"/>
          </w:tcPr>
          <w:p>
            <w:pPr>
              <w:spacing w:after="0"/>
              <w:rPr>
                <w:sz w:val="14"/>
                <w:szCs w:val="14"/>
                <w:color w:val="auto"/>
              </w:rPr>
            </w:pPr>
          </w:p>
        </w:tc>
        <w:tc>
          <w:tcPr>
            <w:tcW w:w="1240" w:type="dxa"/>
            <w:vAlign w:val="bottom"/>
          </w:tcPr>
          <w:p>
            <w:pPr>
              <w:jc w:val="right"/>
              <w:ind w:right="463"/>
              <w:spacing w:after="0" w:line="167" w:lineRule="exact"/>
              <w:rPr>
                <w:sz w:val="20"/>
                <w:szCs w:val="20"/>
                <w:color w:val="auto"/>
              </w:rPr>
            </w:pPr>
            <w:r>
              <w:rPr>
                <w:rFonts w:ascii="Arial" w:cs="Arial" w:eastAsia="Arial" w:hAnsi="Arial"/>
                <w:sz w:val="15"/>
                <w:szCs w:val="15"/>
                <w:color w:val="auto"/>
              </w:rPr>
              <w:t>99.1</w:t>
            </w:r>
          </w:p>
        </w:tc>
        <w:tc>
          <w:tcPr>
            <w:tcW w:w="8100" w:type="dxa"/>
            <w:vAlign w:val="bottom"/>
          </w:tcPr>
          <w:p>
            <w:pPr>
              <w:ind w:left="300"/>
              <w:spacing w:after="0" w:line="167" w:lineRule="exact"/>
              <w:rPr>
                <w:sz w:val="20"/>
                <w:szCs w:val="20"/>
                <w:color w:val="auto"/>
              </w:rPr>
            </w:pPr>
            <w:r>
              <w:rPr>
                <w:rFonts w:ascii="Arial" w:cs="Arial" w:eastAsia="Arial" w:hAnsi="Arial"/>
                <w:sz w:val="15"/>
                <w:szCs w:val="15"/>
                <w:color w:val="auto"/>
                <w:w w:val="98"/>
              </w:rPr>
              <w:t>Press Release dated August 28, 2006 captioned “ClearOne Reports Fiscal 2006 Fourth Quarter and Full-Year Financial</w:t>
            </w:r>
          </w:p>
        </w:tc>
        <w:tc>
          <w:tcPr>
            <w:tcW w:w="1700" w:type="dxa"/>
            <w:vAlign w:val="bottom"/>
          </w:tcPr>
          <w:p>
            <w:pPr>
              <w:jc w:val="center"/>
              <w:ind w:right="23"/>
              <w:spacing w:after="0" w:line="167" w:lineRule="exact"/>
              <w:rPr>
                <w:sz w:val="20"/>
                <w:szCs w:val="20"/>
                <w:color w:val="auto"/>
              </w:rPr>
            </w:pPr>
            <w:r>
              <w:rPr>
                <w:rFonts w:ascii="Arial" w:cs="Arial" w:eastAsia="Arial" w:hAnsi="Arial"/>
                <w:sz w:val="15"/>
                <w:szCs w:val="15"/>
                <w:color w:val="auto"/>
                <w:w w:val="99"/>
              </w:rPr>
              <w:t>This Filing</w:t>
            </w:r>
          </w:p>
        </w:tc>
      </w:tr>
      <w:tr>
        <w:trPr>
          <w:trHeight w:val="195"/>
        </w:trPr>
        <w:tc>
          <w:tcPr>
            <w:tcW w:w="4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100" w:type="dxa"/>
            <w:vAlign w:val="bottom"/>
          </w:tcPr>
          <w:p>
            <w:pPr>
              <w:ind w:left="300"/>
              <w:spacing w:after="0"/>
              <w:rPr>
                <w:sz w:val="20"/>
                <w:szCs w:val="20"/>
                <w:color w:val="auto"/>
              </w:rPr>
            </w:pPr>
            <w:r>
              <w:rPr>
                <w:rFonts w:ascii="Arial" w:cs="Arial" w:eastAsia="Arial" w:hAnsi="Arial"/>
                <w:sz w:val="15"/>
                <w:szCs w:val="15"/>
                <w:color w:val="auto"/>
              </w:rPr>
              <w:t>Results.”</w:t>
            </w:r>
          </w:p>
        </w:tc>
        <w:tc>
          <w:tcPr>
            <w:tcW w:w="1700" w:type="dxa"/>
            <w:vAlign w:val="bottom"/>
          </w:tcPr>
          <w:p>
            <w:pPr>
              <w:spacing w:after="0"/>
              <w:rPr>
                <w:sz w:val="16"/>
                <w:szCs w:val="16"/>
                <w:color w:val="auto"/>
              </w:rPr>
            </w:pPr>
          </w:p>
        </w:tc>
      </w:tr>
    </w:tbl>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SIGNATURES</w:t>
      </w:r>
    </w:p>
    <w:p>
      <w:pPr>
        <w:spacing w:after="0" w:line="250" w:lineRule="exact"/>
        <w:rPr>
          <w:sz w:val="20"/>
          <w:szCs w:val="20"/>
          <w:color w:val="auto"/>
        </w:rPr>
      </w:pPr>
    </w:p>
    <w:p>
      <w:pPr>
        <w:spacing w:after="0"/>
        <w:rPr>
          <w:sz w:val="20"/>
          <w:szCs w:val="20"/>
          <w:color w:val="auto"/>
        </w:rPr>
      </w:pPr>
      <w:r>
        <w:rPr>
          <w:rFonts w:ascii="Arial" w:cs="Arial" w:eastAsia="Arial" w:hAnsi="Arial"/>
          <w:sz w:val="14"/>
          <w:szCs w:val="14"/>
          <w:color w:val="auto"/>
        </w:rPr>
        <w:t>Pursuant to the requirements of the Securities Exchange Act of 1934, the registrant has duly caused this report to be signed on its behalf by the undersigned hereunto duly authorized.</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860" w:type="dxa"/>
            <w:vAlign w:val="bottom"/>
          </w:tcPr>
          <w:p>
            <w:pPr>
              <w:spacing w:after="0"/>
              <w:rPr>
                <w:sz w:val="16"/>
                <w:szCs w:val="16"/>
                <w:color w:val="auto"/>
              </w:rPr>
            </w:pPr>
          </w:p>
        </w:tc>
        <w:tc>
          <w:tcPr>
            <w:tcW w:w="8580" w:type="dxa"/>
            <w:vAlign w:val="bottom"/>
            <w:gridSpan w:val="2"/>
          </w:tcPr>
          <w:p>
            <w:pPr>
              <w:ind w:left="1460"/>
              <w:spacing w:after="0"/>
              <w:rPr>
                <w:sz w:val="20"/>
                <w:szCs w:val="20"/>
                <w:color w:val="auto"/>
              </w:rPr>
            </w:pPr>
            <w:r>
              <w:rPr>
                <w:rFonts w:ascii="Arial" w:cs="Arial" w:eastAsia="Arial" w:hAnsi="Arial"/>
                <w:sz w:val="15"/>
                <w:szCs w:val="15"/>
                <w:color w:val="auto"/>
              </w:rPr>
              <w:t>CLEARONE COMMUNICATIONS, INC.</w:t>
            </w:r>
          </w:p>
        </w:tc>
      </w:tr>
      <w:tr>
        <w:trPr>
          <w:trHeight w:val="832"/>
        </w:trPr>
        <w:tc>
          <w:tcPr>
            <w:tcW w:w="2860" w:type="dxa"/>
            <w:vAlign w:val="bottom"/>
          </w:tcPr>
          <w:p>
            <w:pPr>
              <w:spacing w:after="0"/>
              <w:rPr>
                <w:sz w:val="20"/>
                <w:szCs w:val="20"/>
                <w:color w:val="auto"/>
              </w:rPr>
            </w:pPr>
            <w:r>
              <w:rPr>
                <w:rFonts w:ascii="Arial" w:cs="Arial" w:eastAsia="Arial" w:hAnsi="Arial"/>
                <w:sz w:val="15"/>
                <w:szCs w:val="15"/>
                <w:color w:val="auto"/>
              </w:rPr>
              <w:t>Date: August 28, 2006</w:t>
            </w:r>
          </w:p>
        </w:tc>
        <w:tc>
          <w:tcPr>
            <w:tcW w:w="2220" w:type="dxa"/>
            <w:vAlign w:val="bottom"/>
          </w:tcPr>
          <w:p>
            <w:pPr>
              <w:ind w:left="1460"/>
              <w:spacing w:after="0"/>
              <w:rPr>
                <w:sz w:val="20"/>
                <w:szCs w:val="20"/>
                <w:color w:val="auto"/>
              </w:rPr>
            </w:pPr>
            <w:r>
              <w:rPr>
                <w:rFonts w:ascii="Arial" w:cs="Arial" w:eastAsia="Arial" w:hAnsi="Arial"/>
                <w:sz w:val="15"/>
                <w:szCs w:val="15"/>
                <w:color w:val="auto"/>
              </w:rPr>
              <w:t>By:</w:t>
            </w:r>
          </w:p>
        </w:tc>
        <w:tc>
          <w:tcPr>
            <w:tcW w:w="636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 Craig E. Peeples</w:t>
            </w:r>
          </w:p>
        </w:tc>
      </w:tr>
      <w:tr>
        <w:trPr>
          <w:trHeight w:val="187"/>
        </w:trPr>
        <w:tc>
          <w:tcPr>
            <w:tcW w:w="286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6360" w:type="dxa"/>
            <w:vAlign w:val="bottom"/>
          </w:tcPr>
          <w:p>
            <w:pPr>
              <w:spacing w:after="0"/>
              <w:rPr>
                <w:sz w:val="20"/>
                <w:szCs w:val="20"/>
                <w:color w:val="auto"/>
              </w:rPr>
            </w:pPr>
            <w:r>
              <w:rPr>
                <w:rFonts w:ascii="Arial" w:cs="Arial" w:eastAsia="Arial" w:hAnsi="Arial"/>
                <w:sz w:val="15"/>
                <w:szCs w:val="15"/>
                <w:color w:val="auto"/>
              </w:rPr>
              <w:t>Craig E. Peeples</w:t>
            </w:r>
          </w:p>
        </w:tc>
      </w:tr>
      <w:tr>
        <w:trPr>
          <w:trHeight w:val="197"/>
        </w:trPr>
        <w:tc>
          <w:tcPr>
            <w:tcW w:w="286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6360" w:type="dxa"/>
            <w:vAlign w:val="bottom"/>
          </w:tcPr>
          <w:p>
            <w:pPr>
              <w:spacing w:after="0"/>
              <w:rPr>
                <w:sz w:val="20"/>
                <w:szCs w:val="20"/>
                <w:color w:val="auto"/>
              </w:rPr>
            </w:pPr>
            <w:r>
              <w:rPr>
                <w:rFonts w:ascii="Arial" w:cs="Arial" w:eastAsia="Arial" w:hAnsi="Arial"/>
                <w:sz w:val="15"/>
                <w:szCs w:val="15"/>
                <w:color w:val="auto"/>
              </w:rPr>
              <w:t>Interim Chief Financial Officer / Corporate Controller</w:t>
            </w:r>
          </w:p>
        </w:tc>
      </w:tr>
      <w:tr>
        <w:trPr>
          <w:trHeight w:val="579"/>
        </w:trPr>
        <w:tc>
          <w:tcPr>
            <w:tcW w:w="28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6360" w:type="dxa"/>
            <w:vAlign w:val="bottom"/>
          </w:tcPr>
          <w:p>
            <w:pPr>
              <w:jc w:val="right"/>
              <w:ind w:right="5627"/>
              <w:spacing w:after="0"/>
              <w:rPr>
                <w:sz w:val="20"/>
                <w:szCs w:val="20"/>
                <w:color w:val="auto"/>
              </w:rPr>
            </w:pPr>
            <w:r>
              <w:rPr>
                <w:rFonts w:ascii="Arial" w:cs="Arial" w:eastAsia="Arial" w:hAnsi="Arial"/>
                <w:sz w:val="12"/>
                <w:szCs w:val="12"/>
                <w:color w:val="auto"/>
              </w:rPr>
              <w:t>2</w:t>
            </w:r>
          </w:p>
        </w:tc>
      </w:tr>
    </w:tbl>
    <w:p>
      <w:pPr>
        <w:sectPr>
          <w:pgSz w:w="11900" w:h="16838" w:orient="portrait"/>
          <w:cols w:equalWidth="0" w:num="1">
            <w:col w:w="11440"/>
          </w:cols>
          <w:pgMar w:left="240" w:top="331" w:right="21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180" w:type="dxa"/>
            <w:vAlign w:val="bottom"/>
            <w:vMerge w:val="restart"/>
          </w:tcPr>
          <w:p>
            <w:pPr>
              <w:spacing w:after="0"/>
              <w:rPr>
                <w:sz w:val="20"/>
                <w:szCs w:val="20"/>
                <w:color w:val="auto"/>
              </w:rPr>
            </w:pPr>
            <w:r>
              <w:rPr>
                <w:rFonts w:ascii="Arial" w:cs="Arial" w:eastAsia="Arial" w:hAnsi="Arial"/>
                <w:sz w:val="15"/>
                <w:szCs w:val="15"/>
                <w:color w:val="auto"/>
              </w:rPr>
              <w:t>ClearOne</w:t>
            </w:r>
          </w:p>
        </w:tc>
        <w:tc>
          <w:tcPr>
            <w:tcW w:w="5340" w:type="dxa"/>
            <w:vAlign w:val="bottom"/>
          </w:tcPr>
          <w:p>
            <w:pPr>
              <w:ind w:left="4120"/>
              <w:spacing w:after="0"/>
              <w:rPr>
                <w:sz w:val="20"/>
                <w:szCs w:val="20"/>
                <w:color w:val="auto"/>
              </w:rPr>
            </w:pPr>
            <w:r>
              <w:rPr>
                <w:rFonts w:ascii="Arial" w:cs="Arial" w:eastAsia="Arial" w:hAnsi="Arial"/>
                <w:sz w:val="15"/>
                <w:szCs w:val="15"/>
                <w:color w:val="auto"/>
              </w:rPr>
              <w:t>Contacts:</w:t>
            </w:r>
          </w:p>
        </w:tc>
        <w:tc>
          <w:tcPr>
            <w:tcW w:w="0" w:type="dxa"/>
            <w:vAlign w:val="bottom"/>
          </w:tcPr>
          <w:p>
            <w:pPr>
              <w:spacing w:after="0"/>
              <w:rPr>
                <w:sz w:val="1"/>
                <w:szCs w:val="1"/>
                <w:color w:val="auto"/>
              </w:rPr>
            </w:pPr>
          </w:p>
        </w:tc>
      </w:tr>
      <w:tr>
        <w:trPr>
          <w:trHeight w:val="185"/>
        </w:trPr>
        <w:tc>
          <w:tcPr>
            <w:tcW w:w="6180" w:type="dxa"/>
            <w:vAlign w:val="bottom"/>
            <w:vMerge w:val="continue"/>
          </w:tcPr>
          <w:p>
            <w:pPr>
              <w:spacing w:after="0"/>
              <w:rPr>
                <w:sz w:val="16"/>
                <w:szCs w:val="16"/>
                <w:color w:val="auto"/>
              </w:rPr>
            </w:pPr>
          </w:p>
        </w:tc>
        <w:tc>
          <w:tcPr>
            <w:tcW w:w="5340" w:type="dxa"/>
            <w:vAlign w:val="bottom"/>
            <w:vMerge w:val="restart"/>
          </w:tcPr>
          <w:p>
            <w:pPr>
              <w:ind w:left="2500"/>
              <w:spacing w:after="0"/>
              <w:rPr>
                <w:sz w:val="20"/>
                <w:szCs w:val="20"/>
                <w:color w:val="auto"/>
              </w:rPr>
            </w:pPr>
            <w:r>
              <w:rPr>
                <w:rFonts w:ascii="Arial" w:cs="Arial" w:eastAsia="Arial" w:hAnsi="Arial"/>
                <w:sz w:val="15"/>
                <w:szCs w:val="15"/>
                <w:color w:val="auto"/>
              </w:rPr>
              <w:t>Investor Relations</w:t>
            </w:r>
          </w:p>
        </w:tc>
        <w:tc>
          <w:tcPr>
            <w:tcW w:w="0" w:type="dxa"/>
            <w:vAlign w:val="bottom"/>
          </w:tcPr>
          <w:p>
            <w:pPr>
              <w:spacing w:after="0"/>
              <w:rPr>
                <w:sz w:val="1"/>
                <w:szCs w:val="1"/>
                <w:color w:val="auto"/>
              </w:rPr>
            </w:pPr>
          </w:p>
        </w:tc>
      </w:tr>
      <w:tr>
        <w:trPr>
          <w:trHeight w:val="185"/>
        </w:trPr>
        <w:tc>
          <w:tcPr>
            <w:tcW w:w="6180" w:type="dxa"/>
            <w:vAlign w:val="bottom"/>
          </w:tcPr>
          <w:p>
            <w:pPr>
              <w:spacing w:after="0"/>
              <w:rPr>
                <w:sz w:val="16"/>
                <w:szCs w:val="16"/>
                <w:color w:val="auto"/>
              </w:rPr>
            </w:pPr>
          </w:p>
        </w:tc>
        <w:tc>
          <w:tcPr>
            <w:tcW w:w="53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0"/>
        </w:trPr>
        <w:tc>
          <w:tcPr>
            <w:tcW w:w="6180" w:type="dxa"/>
            <w:vAlign w:val="bottom"/>
          </w:tcPr>
          <w:p>
            <w:pPr>
              <w:ind w:left="5160"/>
              <w:spacing w:after="0"/>
              <w:rPr>
                <w:sz w:val="20"/>
                <w:szCs w:val="20"/>
                <w:color w:val="auto"/>
              </w:rPr>
            </w:pPr>
            <w:r>
              <w:rPr>
                <w:rFonts w:ascii="Arial" w:cs="Arial" w:eastAsia="Arial" w:hAnsi="Arial"/>
                <w:sz w:val="15"/>
                <w:szCs w:val="15"/>
                <w:color w:val="auto"/>
                <w:w w:val="97"/>
              </w:rPr>
              <w:t>(801) 303-3555</w:t>
            </w:r>
          </w:p>
        </w:tc>
        <w:tc>
          <w:tcPr>
            <w:tcW w:w="5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6"/>
        </w:trPr>
        <w:tc>
          <w:tcPr>
            <w:tcW w:w="6180" w:type="dxa"/>
            <w:vAlign w:val="bottom"/>
          </w:tcPr>
          <w:p>
            <w:pPr>
              <w:spacing w:after="0"/>
              <w:rPr>
                <w:sz w:val="24"/>
                <w:szCs w:val="24"/>
                <w:color w:val="auto"/>
              </w:rPr>
            </w:pPr>
          </w:p>
        </w:tc>
        <w:tc>
          <w:tcPr>
            <w:tcW w:w="5340" w:type="dxa"/>
            <w:vAlign w:val="bottom"/>
          </w:tcPr>
          <w:p>
            <w:pPr>
              <w:jc w:val="right"/>
              <w:ind w:right="5103"/>
              <w:spacing w:after="0"/>
              <w:rPr>
                <w:sz w:val="20"/>
                <w:szCs w:val="20"/>
                <w:color w:val="auto"/>
              </w:rPr>
            </w:pPr>
            <w:r>
              <w:rPr>
                <w:rFonts w:ascii="Arial" w:cs="Arial" w:eastAsia="Arial" w:hAnsi="Arial"/>
                <w:sz w:val="15"/>
                <w:szCs w:val="15"/>
                <w:color w:val="auto"/>
              </w:rPr>
              <w:t>&amp;</w:t>
            </w:r>
          </w:p>
        </w:tc>
        <w:tc>
          <w:tcPr>
            <w:tcW w:w="0" w:type="dxa"/>
            <w:vAlign w:val="bottom"/>
          </w:tcPr>
          <w:p>
            <w:pPr>
              <w:spacing w:after="0"/>
              <w:rPr>
                <w:sz w:val="1"/>
                <w:szCs w:val="1"/>
                <w:color w:val="auto"/>
              </w:rPr>
            </w:pPr>
          </w:p>
        </w:tc>
      </w:tr>
      <w:tr>
        <w:trPr>
          <w:trHeight w:val="185"/>
        </w:trPr>
        <w:tc>
          <w:tcPr>
            <w:tcW w:w="6180" w:type="dxa"/>
            <w:vAlign w:val="bottom"/>
          </w:tcPr>
          <w:p>
            <w:pPr>
              <w:ind w:left="4980"/>
              <w:spacing w:after="0"/>
              <w:rPr>
                <w:sz w:val="20"/>
                <w:szCs w:val="20"/>
                <w:color w:val="auto"/>
              </w:rPr>
            </w:pPr>
            <w:r>
              <w:rPr>
                <w:rFonts w:ascii="Arial" w:cs="Arial" w:eastAsia="Arial" w:hAnsi="Arial"/>
                <w:sz w:val="15"/>
                <w:szCs w:val="15"/>
                <w:color w:val="auto"/>
              </w:rPr>
              <w:t>#160;</w:t>
            </w:r>
          </w:p>
        </w:tc>
        <w:tc>
          <w:tcPr>
            <w:tcW w:w="5340" w:type="dxa"/>
            <w:vAlign w:val="bottom"/>
          </w:tcPr>
          <w:p>
            <w:pPr>
              <w:ind w:left="4280"/>
              <w:spacing w:after="0"/>
              <w:rPr>
                <w:sz w:val="20"/>
                <w:szCs w:val="20"/>
                <w:color w:val="auto"/>
              </w:rPr>
            </w:pPr>
            <w:r>
              <w:rPr>
                <w:rFonts w:ascii="Arial" w:cs="Arial" w:eastAsia="Arial" w:hAnsi="Arial"/>
                <w:sz w:val="15"/>
                <w:szCs w:val="15"/>
                <w:color w:val="auto"/>
              </w:rPr>
              <w:t>Robert Jaffe</w:t>
            </w:r>
          </w:p>
        </w:tc>
        <w:tc>
          <w:tcPr>
            <w:tcW w:w="0" w:type="dxa"/>
            <w:vAlign w:val="bottom"/>
          </w:tcPr>
          <w:p>
            <w:pPr>
              <w:spacing w:after="0"/>
              <w:rPr>
                <w:sz w:val="1"/>
                <w:szCs w:val="1"/>
                <w:color w:val="auto"/>
              </w:rPr>
            </w:pPr>
          </w:p>
        </w:tc>
      </w:tr>
      <w:tr>
        <w:trPr>
          <w:trHeight w:val="185"/>
        </w:trPr>
        <w:tc>
          <w:tcPr>
            <w:tcW w:w="6180" w:type="dxa"/>
            <w:vAlign w:val="bottom"/>
          </w:tcPr>
          <w:p>
            <w:pPr>
              <w:spacing w:after="0"/>
              <w:rPr>
                <w:sz w:val="16"/>
                <w:szCs w:val="16"/>
                <w:color w:val="auto"/>
              </w:rPr>
            </w:pPr>
          </w:p>
        </w:tc>
        <w:tc>
          <w:tcPr>
            <w:tcW w:w="5340" w:type="dxa"/>
            <w:vAlign w:val="bottom"/>
          </w:tcPr>
          <w:p>
            <w:pPr>
              <w:jc w:val="right"/>
              <w:ind w:right="5103"/>
              <w:spacing w:after="0"/>
              <w:rPr>
                <w:sz w:val="20"/>
                <w:szCs w:val="20"/>
                <w:color w:val="auto"/>
              </w:rPr>
            </w:pPr>
            <w:r>
              <w:rPr>
                <w:rFonts w:ascii="Arial" w:cs="Arial" w:eastAsia="Arial" w:hAnsi="Arial"/>
                <w:sz w:val="15"/>
                <w:szCs w:val="15"/>
                <w:color w:val="auto"/>
              </w:rPr>
              <w:t>&amp;</w:t>
            </w:r>
          </w:p>
        </w:tc>
        <w:tc>
          <w:tcPr>
            <w:tcW w:w="0" w:type="dxa"/>
            <w:vAlign w:val="bottom"/>
          </w:tcPr>
          <w:p>
            <w:pPr>
              <w:spacing w:after="0"/>
              <w:rPr>
                <w:sz w:val="1"/>
                <w:szCs w:val="1"/>
                <w:color w:val="auto"/>
              </w:rPr>
            </w:pPr>
          </w:p>
        </w:tc>
      </w:tr>
      <w:tr>
        <w:trPr>
          <w:trHeight w:val="185"/>
        </w:trPr>
        <w:tc>
          <w:tcPr>
            <w:tcW w:w="6180" w:type="dxa"/>
            <w:vAlign w:val="bottom"/>
          </w:tcPr>
          <w:p>
            <w:pPr>
              <w:ind w:left="4980"/>
              <w:spacing w:after="0"/>
              <w:rPr>
                <w:sz w:val="20"/>
                <w:szCs w:val="20"/>
                <w:color w:val="auto"/>
              </w:rPr>
            </w:pPr>
            <w:r>
              <w:rPr>
                <w:rFonts w:ascii="Arial" w:cs="Arial" w:eastAsia="Arial" w:hAnsi="Arial"/>
                <w:sz w:val="15"/>
                <w:szCs w:val="15"/>
                <w:color w:val="auto"/>
              </w:rPr>
              <w:t>#160;</w:t>
            </w:r>
          </w:p>
        </w:tc>
        <w:tc>
          <w:tcPr>
            <w:tcW w:w="5340" w:type="dxa"/>
            <w:vAlign w:val="bottom"/>
          </w:tcPr>
          <w:p>
            <w:pPr>
              <w:ind w:left="4280"/>
              <w:spacing w:after="0"/>
              <w:rPr>
                <w:sz w:val="20"/>
                <w:szCs w:val="20"/>
                <w:color w:val="auto"/>
              </w:rPr>
            </w:pPr>
            <w:r>
              <w:rPr>
                <w:rFonts w:ascii="Arial" w:cs="Arial" w:eastAsia="Arial" w:hAnsi="Arial"/>
                <w:sz w:val="15"/>
                <w:szCs w:val="15"/>
                <w:color w:val="auto"/>
                <w:w w:val="93"/>
              </w:rPr>
              <w:t>PondelWilkinson</w:t>
            </w:r>
          </w:p>
        </w:tc>
        <w:tc>
          <w:tcPr>
            <w:tcW w:w="0" w:type="dxa"/>
            <w:vAlign w:val="bottom"/>
          </w:tcPr>
          <w:p>
            <w:pPr>
              <w:spacing w:after="0"/>
              <w:rPr>
                <w:sz w:val="1"/>
                <w:szCs w:val="1"/>
                <w:color w:val="auto"/>
              </w:rPr>
            </w:pPr>
          </w:p>
        </w:tc>
      </w:tr>
      <w:tr>
        <w:trPr>
          <w:trHeight w:val="195"/>
        </w:trPr>
        <w:tc>
          <w:tcPr>
            <w:tcW w:w="6180" w:type="dxa"/>
            <w:vAlign w:val="bottom"/>
          </w:tcPr>
          <w:p>
            <w:pPr>
              <w:ind w:left="4980"/>
              <w:spacing w:after="0"/>
              <w:rPr>
                <w:sz w:val="20"/>
                <w:szCs w:val="20"/>
                <w:color w:val="auto"/>
              </w:rPr>
            </w:pPr>
            <w:r>
              <w:rPr>
                <w:rFonts w:ascii="Arial" w:cs="Arial" w:eastAsia="Arial" w:hAnsi="Arial"/>
                <w:sz w:val="15"/>
                <w:szCs w:val="15"/>
                <w:color w:val="auto"/>
              </w:rPr>
              <w:t>Inc.</w:t>
            </w:r>
          </w:p>
        </w:tc>
        <w:tc>
          <w:tcPr>
            <w:tcW w:w="5340" w:type="dxa"/>
            <w:vAlign w:val="bottom"/>
            <w:vMerge w:val="restart"/>
          </w:tcPr>
          <w:p>
            <w:pPr>
              <w:jc w:val="right"/>
              <w:ind w:right="5103"/>
              <w:spacing w:after="0"/>
              <w:rPr>
                <w:sz w:val="20"/>
                <w:szCs w:val="20"/>
                <w:color w:val="auto"/>
              </w:rPr>
            </w:pPr>
            <w:r>
              <w:rPr>
                <w:rFonts w:ascii="Arial" w:cs="Arial" w:eastAsia="Arial" w:hAnsi="Arial"/>
                <w:sz w:val="15"/>
                <w:szCs w:val="15"/>
                <w:color w:val="auto"/>
              </w:rPr>
              <w:t>&amp;</w:t>
            </w:r>
          </w:p>
        </w:tc>
        <w:tc>
          <w:tcPr>
            <w:tcW w:w="0" w:type="dxa"/>
            <w:vAlign w:val="bottom"/>
          </w:tcPr>
          <w:p>
            <w:pPr>
              <w:spacing w:after="0"/>
              <w:rPr>
                <w:sz w:val="1"/>
                <w:szCs w:val="1"/>
                <w:color w:val="auto"/>
              </w:rPr>
            </w:pPr>
          </w:p>
        </w:tc>
      </w:tr>
      <w:tr>
        <w:trPr>
          <w:trHeight w:val="175"/>
        </w:trPr>
        <w:tc>
          <w:tcPr>
            <w:tcW w:w="6180" w:type="dxa"/>
            <w:vAlign w:val="bottom"/>
          </w:tcPr>
          <w:p>
            <w:pPr>
              <w:spacing w:after="0"/>
              <w:rPr>
                <w:sz w:val="15"/>
                <w:szCs w:val="15"/>
                <w:color w:val="auto"/>
              </w:rPr>
            </w:pPr>
          </w:p>
        </w:tc>
        <w:tc>
          <w:tcPr>
            <w:tcW w:w="53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6180" w:type="dxa"/>
            <w:vAlign w:val="bottom"/>
          </w:tcPr>
          <w:p>
            <w:pPr>
              <w:ind w:left="4980"/>
              <w:spacing w:after="0"/>
              <w:rPr>
                <w:sz w:val="20"/>
                <w:szCs w:val="20"/>
                <w:color w:val="auto"/>
              </w:rPr>
            </w:pPr>
            <w:r>
              <w:rPr>
                <w:rFonts w:ascii="Arial" w:cs="Arial" w:eastAsia="Arial" w:hAnsi="Arial"/>
                <w:sz w:val="15"/>
                <w:szCs w:val="15"/>
                <w:color w:val="auto"/>
              </w:rPr>
              <w:t>#160;</w:t>
            </w:r>
          </w:p>
        </w:tc>
        <w:tc>
          <w:tcPr>
            <w:tcW w:w="5340" w:type="dxa"/>
            <w:vAlign w:val="bottom"/>
          </w:tcPr>
          <w:p>
            <w:pPr>
              <w:ind w:left="4280"/>
              <w:spacing w:after="0"/>
              <w:rPr>
                <w:sz w:val="20"/>
                <w:szCs w:val="20"/>
                <w:color w:val="auto"/>
              </w:rPr>
            </w:pPr>
            <w:r>
              <w:rPr>
                <w:rFonts w:ascii="Arial" w:cs="Arial" w:eastAsia="Arial" w:hAnsi="Arial"/>
                <w:sz w:val="15"/>
                <w:szCs w:val="15"/>
                <w:color w:val="auto"/>
              </w:rPr>
              <w:t>(310) 279-5980</w:t>
            </w:r>
          </w:p>
        </w:tc>
        <w:tc>
          <w:tcPr>
            <w:tcW w:w="0" w:type="dxa"/>
            <w:vAlign w:val="bottom"/>
          </w:tcPr>
          <w:p>
            <w:pPr>
              <w:spacing w:after="0"/>
              <w:rPr>
                <w:sz w:val="1"/>
                <w:szCs w:val="1"/>
                <w:color w:val="auto"/>
              </w:rPr>
            </w:pPr>
          </w:p>
        </w:tc>
      </w:tr>
    </w:tbl>
    <w:p>
      <w:pPr>
        <w:spacing w:after="0" w:line="215" w:lineRule="exact"/>
        <w:rPr>
          <w:sz w:val="20"/>
          <w:szCs w:val="20"/>
          <w:color w:val="auto"/>
        </w:rPr>
      </w:pPr>
    </w:p>
    <w:p>
      <w:pPr>
        <w:jc w:val="center"/>
        <w:ind w:right="80"/>
        <w:spacing w:after="0"/>
        <w:rPr>
          <w:sz w:val="20"/>
          <w:szCs w:val="20"/>
          <w:color w:val="auto"/>
        </w:rPr>
      </w:pPr>
      <w:r>
        <w:rPr>
          <w:rFonts w:ascii="Arial" w:cs="Arial" w:eastAsia="Arial" w:hAnsi="Arial"/>
          <w:sz w:val="15"/>
          <w:szCs w:val="15"/>
          <w:b w:val="1"/>
          <w:bCs w:val="1"/>
          <w:color w:val="auto"/>
        </w:rPr>
        <w:t>CLEARONE REPORTS FISCAL 2006 FOURTH QUARTER AND FULL-YEAR</w:t>
      </w:r>
    </w:p>
    <w:p>
      <w:pPr>
        <w:spacing w:after="0" w:line="29" w:lineRule="exact"/>
        <w:rPr>
          <w:sz w:val="20"/>
          <w:szCs w:val="20"/>
          <w:color w:val="auto"/>
        </w:rPr>
      </w:pPr>
    </w:p>
    <w:p>
      <w:pPr>
        <w:jc w:val="center"/>
        <w:ind w:right="80"/>
        <w:spacing w:after="0"/>
        <w:rPr>
          <w:sz w:val="20"/>
          <w:szCs w:val="20"/>
          <w:color w:val="auto"/>
        </w:rPr>
      </w:pPr>
      <w:r>
        <w:rPr>
          <w:rFonts w:ascii="Arial" w:cs="Arial" w:eastAsia="Arial" w:hAnsi="Arial"/>
          <w:sz w:val="15"/>
          <w:szCs w:val="15"/>
          <w:b w:val="1"/>
          <w:bCs w:val="1"/>
          <w:color w:val="auto"/>
        </w:rPr>
        <w:t>FINANCIAL RESULTS</w:t>
      </w:r>
    </w:p>
    <w:p>
      <w:pPr>
        <w:spacing w:after="0" w:line="227" w:lineRule="exact"/>
        <w:rPr>
          <w:sz w:val="20"/>
          <w:szCs w:val="20"/>
          <w:color w:val="auto"/>
        </w:rPr>
      </w:pPr>
    </w:p>
    <w:p>
      <w:pPr>
        <w:ind w:right="280"/>
        <w:spacing w:after="0" w:line="297" w:lineRule="auto"/>
        <w:rPr>
          <w:sz w:val="20"/>
          <w:szCs w:val="20"/>
          <w:color w:val="auto"/>
        </w:rPr>
      </w:pPr>
      <w:r>
        <w:rPr>
          <w:rFonts w:ascii="Arial" w:cs="Arial" w:eastAsia="Arial" w:hAnsi="Arial"/>
          <w:sz w:val="15"/>
          <w:szCs w:val="15"/>
          <w:b w:val="1"/>
          <w:bCs w:val="1"/>
          <w:color w:val="auto"/>
        </w:rPr>
        <w:t xml:space="preserve">Salt Lake City, UT - August 28, 2006 - </w:t>
      </w:r>
      <w:r>
        <w:rPr>
          <w:rFonts w:ascii="Arial" w:cs="Arial" w:eastAsia="Arial" w:hAnsi="Arial"/>
          <w:sz w:val="15"/>
          <w:szCs w:val="15"/>
          <w:color w:val="auto"/>
        </w:rPr>
        <w:t>ClearOne Communications, Inc. (OTC: CLRO.OB) today reported financial results for the fiscal 2006 fourth quarter and year ended June 30,</w:t>
      </w:r>
      <w:r>
        <w:rPr>
          <w:rFonts w:ascii="Arial" w:cs="Arial" w:eastAsia="Arial" w:hAnsi="Arial"/>
          <w:sz w:val="15"/>
          <w:szCs w:val="15"/>
          <w:b w:val="1"/>
          <w:bCs w:val="1"/>
          <w:color w:val="auto"/>
        </w:rPr>
        <w:t xml:space="preserve"> </w:t>
      </w:r>
      <w:r>
        <w:rPr>
          <w:rFonts w:ascii="Arial" w:cs="Arial" w:eastAsia="Arial" w:hAnsi="Arial"/>
          <w:sz w:val="15"/>
          <w:szCs w:val="15"/>
          <w:color w:val="auto"/>
        </w:rPr>
        <w:t>2006.</w:t>
      </w:r>
    </w:p>
    <w:p>
      <w:pPr>
        <w:spacing w:after="0" w:line="180" w:lineRule="exact"/>
        <w:rPr>
          <w:sz w:val="20"/>
          <w:szCs w:val="20"/>
          <w:color w:val="auto"/>
        </w:rPr>
      </w:pPr>
    </w:p>
    <w:p>
      <w:pPr>
        <w:ind w:right="500"/>
        <w:spacing w:after="0" w:line="267" w:lineRule="auto"/>
        <w:rPr>
          <w:sz w:val="20"/>
          <w:szCs w:val="20"/>
          <w:color w:val="auto"/>
        </w:rPr>
      </w:pPr>
      <w:r>
        <w:rPr>
          <w:rFonts w:ascii="Arial" w:cs="Arial" w:eastAsia="Arial" w:hAnsi="Arial"/>
          <w:sz w:val="15"/>
          <w:szCs w:val="15"/>
          <w:color w:val="auto"/>
        </w:rPr>
        <w:t>For fiscal 2006, revenue increased to $37.6 million from $31.6 million in fiscal 2005. Gross profit grew to $18.3 million from $16.7 million for the prior year period. Income from continuing operations was $166,000 versus $2.2 million for fiscal 2005. Net income in fiscal 2006 was $2.1 million, or $0.17 per diluted share, which included income from discontinued operations of $1.9 million. This compares with net income for the prior year of $16.1 million, or $1.30 per diluted share, which included income from discontinued operations of $13.9 million.</w:t>
      </w:r>
    </w:p>
    <w:p>
      <w:pPr>
        <w:spacing w:after="0" w:line="203" w:lineRule="exact"/>
        <w:rPr>
          <w:sz w:val="20"/>
          <w:szCs w:val="20"/>
          <w:color w:val="auto"/>
        </w:rPr>
      </w:pPr>
    </w:p>
    <w:p>
      <w:pPr>
        <w:ind w:right="180"/>
        <w:spacing w:after="0" w:line="267" w:lineRule="auto"/>
        <w:rPr>
          <w:sz w:val="20"/>
          <w:szCs w:val="20"/>
          <w:color w:val="auto"/>
        </w:rPr>
      </w:pPr>
      <w:r>
        <w:rPr>
          <w:rFonts w:ascii="Arial" w:cs="Arial" w:eastAsia="Arial" w:hAnsi="Arial"/>
          <w:sz w:val="15"/>
          <w:szCs w:val="15"/>
          <w:color w:val="auto"/>
        </w:rPr>
        <w:t>“During the past year we launched a number of new products, expanded our distribution channel and increased market share in the table top and professional conferencing space,” said Zee Hakimoglu, president and chief executive officer of ClearOne. “Together, these efforts helped fuel our top line growth of nearly 20 percent over the prior year. While our newer product lines generally have a lower gross margin than our professionally installed line of products, we believe they add attractive growth opportunities, allowing us to enter and further penetrate new segments of the audio conferencing market, and diversify our product portfolio.”</w:t>
      </w: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color w:val="auto"/>
        </w:rPr>
        <w:t>For the fiscal 2006 fourth quarter, revenue increased to $9.7 million from $9.1 million in the fiscal 2005 fourth quarter. Gross profit was $4.7 million compared with $5.1 million for the</w:t>
      </w:r>
    </w:p>
    <w:p>
      <w:pPr>
        <w:spacing w:after="0" w:line="34" w:lineRule="exact"/>
        <w:rPr>
          <w:sz w:val="20"/>
          <w:szCs w:val="20"/>
          <w:color w:val="auto"/>
        </w:rPr>
      </w:pPr>
    </w:p>
    <w:p>
      <w:pPr>
        <w:spacing w:after="0"/>
        <w:rPr>
          <w:sz w:val="20"/>
          <w:szCs w:val="20"/>
          <w:color w:val="auto"/>
        </w:rPr>
      </w:pPr>
      <w:r>
        <w:rPr>
          <w:rFonts w:ascii="Arial" w:cs="Arial" w:eastAsia="Arial" w:hAnsi="Arial"/>
          <w:sz w:val="14"/>
          <w:szCs w:val="14"/>
          <w:color w:val="auto"/>
        </w:rPr>
        <w:t>fourth quarter of fiscal 2005. Total operating expenses were $5.7 million compared with $6.2 million in the same quarter of the prior year. Loss from continuing operations was</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color w:val="auto"/>
        </w:rPr>
        <w:t>($764,000) versus income from continuing operations of $2.2 million in the fiscal 2005 fourth quarter. Net loss was ($512,000), or ($0.04) per diluted share, which included income</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color w:val="auto"/>
        </w:rPr>
        <w:t>from discontinued operations of $252,000. This compares with net income for the prior year fourth quarter of $2.3 million, or $0.19 per diluted share, which included income from</w:t>
      </w:r>
    </w:p>
    <w:p>
      <w:pPr>
        <w:spacing w:after="0" w:line="24" w:lineRule="exact"/>
        <w:rPr>
          <w:sz w:val="20"/>
          <w:szCs w:val="20"/>
          <w:color w:val="auto"/>
        </w:rPr>
      </w:pPr>
    </w:p>
    <w:p>
      <w:pPr>
        <w:spacing w:after="0"/>
        <w:rPr>
          <w:sz w:val="20"/>
          <w:szCs w:val="20"/>
          <w:color w:val="auto"/>
        </w:rPr>
      </w:pPr>
      <w:r>
        <w:rPr>
          <w:rFonts w:ascii="Arial" w:cs="Arial" w:eastAsia="Arial" w:hAnsi="Arial"/>
          <w:sz w:val="15"/>
          <w:szCs w:val="15"/>
          <w:color w:val="auto"/>
        </w:rPr>
        <w:t>discontinued operations of $116,000.</w:t>
      </w:r>
    </w:p>
    <w:p>
      <w:pPr>
        <w:spacing w:after="0" w:line="200" w:lineRule="exact"/>
        <w:rPr>
          <w:sz w:val="20"/>
          <w:szCs w:val="20"/>
          <w:color w:val="auto"/>
        </w:rPr>
      </w:pPr>
    </w:p>
    <w:p>
      <w:pPr>
        <w:spacing w:after="0" w:line="236" w:lineRule="exact"/>
        <w:rPr>
          <w:sz w:val="20"/>
          <w:szCs w:val="20"/>
          <w:color w:val="auto"/>
        </w:rPr>
      </w:pPr>
    </w:p>
    <w:p>
      <w:pPr>
        <w:jc w:val="center"/>
        <w:ind w:right="80"/>
        <w:spacing w:after="0"/>
        <w:rPr>
          <w:sz w:val="20"/>
          <w:szCs w:val="20"/>
          <w:color w:val="auto"/>
        </w:rPr>
      </w:pPr>
      <w:r>
        <w:rPr>
          <w:rFonts w:ascii="Arial" w:cs="Arial" w:eastAsia="Arial" w:hAnsi="Arial"/>
          <w:sz w:val="12"/>
          <w:szCs w:val="1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wp:posOffset>
            </wp:positionV>
            <wp:extent cx="7272020" cy="203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20320"/>
                    </a:xfrm>
                    <a:prstGeom prst="rect">
                      <a:avLst/>
                    </a:prstGeom>
                    <a:noFill/>
                  </pic:spPr>
                </pic:pic>
              </a:graphicData>
            </a:graphic>
          </wp:anchor>
        </w:drawing>
      </w:r>
    </w:p>
    <w:p>
      <w:pPr>
        <w:sectPr>
          <w:pgSz w:w="11900" w:h="16838" w:orient="portrait"/>
          <w:cols w:equalWidth="0" w:num="1">
            <w:col w:w="11520"/>
          </w:cols>
          <w:pgMar w:left="240" w:top="360" w:right="139" w:bottom="1440" w:gutter="0" w:footer="0" w:header="0"/>
        </w:sectPr>
      </w:pPr>
    </w:p>
    <w:bookmarkStart w:id="3" w:name="page4"/>
    <w:bookmarkEnd w:id="3"/>
    <w:p>
      <w:pPr>
        <w:spacing w:after="0"/>
        <w:rPr>
          <w:sz w:val="20"/>
          <w:szCs w:val="20"/>
          <w:color w:val="auto"/>
        </w:rPr>
      </w:pPr>
      <w:r>
        <w:rPr>
          <w:rFonts w:ascii="Arial" w:cs="Arial" w:eastAsia="Arial" w:hAnsi="Arial"/>
          <w:sz w:val="15"/>
          <w:szCs w:val="15"/>
          <w:color w:val="auto"/>
        </w:rPr>
        <w:t>At June 30, 2006, the company had cash, cash equivalents, and marketable securities of $21.8 million and no long-term debt.</w:t>
      </w:r>
    </w:p>
    <w:p>
      <w:pPr>
        <w:spacing w:after="0" w:line="23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About ClearOne</w:t>
      </w:r>
    </w:p>
    <w:p>
      <w:pPr>
        <w:spacing w:after="0" w:line="29" w:lineRule="exact"/>
        <w:rPr>
          <w:sz w:val="20"/>
          <w:szCs w:val="20"/>
          <w:color w:val="auto"/>
        </w:rPr>
      </w:pPr>
    </w:p>
    <w:p>
      <w:pPr>
        <w:ind w:right="220"/>
        <w:spacing w:after="0" w:line="265" w:lineRule="auto"/>
        <w:rPr>
          <w:sz w:val="20"/>
          <w:szCs w:val="20"/>
          <w:color w:val="auto"/>
        </w:rPr>
      </w:pPr>
      <w:r>
        <w:rPr>
          <w:rFonts w:ascii="Arial" w:cs="Arial" w:eastAsia="Arial" w:hAnsi="Arial"/>
          <w:sz w:val="15"/>
          <w:szCs w:val="15"/>
          <w:color w:val="auto"/>
        </w:rPr>
        <w:t>ClearOne is a communications solutions company that develops and sells audio conferencing systems and other related products for audio, video, and web conferencing applications. The reliability, flexibility, and performance of ClearOne’s comprehensive solutions create a natural communications environment, which saves organizations time and money by enabling more effective and efficient communication. For more information, visit ClearOne’s website at www.clearone.com.</w:t>
      </w:r>
    </w:p>
    <w:p>
      <w:pPr>
        <w:spacing w:after="0" w:line="204" w:lineRule="exact"/>
        <w:rPr>
          <w:sz w:val="20"/>
          <w:szCs w:val="20"/>
          <w:color w:val="auto"/>
        </w:rPr>
      </w:pPr>
    </w:p>
    <w:p>
      <w:pPr>
        <w:spacing w:after="0" w:line="263" w:lineRule="auto"/>
        <w:rPr>
          <w:sz w:val="20"/>
          <w:szCs w:val="20"/>
          <w:color w:val="auto"/>
        </w:rPr>
      </w:pPr>
      <w:r>
        <w:rPr>
          <w:rFonts w:ascii="Arial" w:cs="Arial" w:eastAsia="Arial" w:hAnsi="Arial"/>
          <w:sz w:val="15"/>
          <w:szCs w:val="15"/>
          <w:i w:val="1"/>
          <w:iCs w:val="1"/>
          <w:color w:val="auto"/>
        </w:rPr>
        <w:t>This release contains “forward-looking” statements that are based on present circumstances and on ClearOne’s predictions with respect to events that have not occurred, that may not occur, or that may occur with different consequences and timing than those now assumed or anticipated. Such forward-looking statements, including statements regarding the company’s ability to successfully commercialize newer products and enter new markets, are not guarantees of future performance or results and involve risks and uncertainties that could cause actual events or results to differ materially from the events or results described in the forward-looking statements. Such forward-looking statements are made only as of the date of this release and ClearOne assumes no obligation to update forward-looking statements to reflect subsequent events or circumstances. Readers should not place undue reliance on these forward-looking statements.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 # #</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FINANCIAL TABLES FOLLOW</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wp:posOffset>
            </wp:positionV>
            <wp:extent cx="7272020" cy="203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2020" cy="20320"/>
                    </a:xfrm>
                    <a:prstGeom prst="rect">
                      <a:avLst/>
                    </a:prstGeom>
                    <a:noFill/>
                  </pic:spPr>
                </pic:pic>
              </a:graphicData>
            </a:graphic>
          </wp:anchor>
        </w:drawing>
      </w:r>
    </w:p>
    <w:p>
      <w:pPr>
        <w:sectPr>
          <w:pgSz w:w="11900" w:h="16838" w:orient="portrait"/>
          <w:cols w:equalWidth="0" w:num="1">
            <w:col w:w="11400"/>
          </w:cols>
          <w:pgMar w:left="240" w:top="568" w:right="259" w:bottom="1440" w:gutter="0" w:footer="0" w:header="0"/>
        </w:sectPr>
      </w:pPr>
    </w:p>
    <w:bookmarkStart w:id="4" w:name="page5"/>
    <w:bookmarkEnd w:id="4"/>
    <w:p>
      <w:pPr>
        <w:jc w:val="center"/>
        <w:ind w:right="120"/>
        <w:spacing w:after="0"/>
        <w:rPr>
          <w:sz w:val="20"/>
          <w:szCs w:val="20"/>
          <w:color w:val="auto"/>
        </w:rPr>
      </w:pPr>
      <w:r>
        <w:rPr>
          <w:rFonts w:ascii="Arial" w:cs="Arial" w:eastAsia="Arial" w:hAnsi="Arial"/>
          <w:sz w:val="15"/>
          <w:szCs w:val="15"/>
          <w:b w:val="1"/>
          <w:bCs w:val="1"/>
          <w:color w:val="auto"/>
        </w:rPr>
        <w:t>CLEARONE COMMUNICATIONS, INC. AND SUBSIDIARIES</w:t>
      </w:r>
    </w:p>
    <w:p>
      <w:pPr>
        <w:spacing w:after="0" w:line="36" w:lineRule="exact"/>
        <w:rPr>
          <w:sz w:val="20"/>
          <w:szCs w:val="20"/>
          <w:color w:val="auto"/>
        </w:rPr>
      </w:pPr>
    </w:p>
    <w:p>
      <w:pPr>
        <w:jc w:val="center"/>
        <w:ind w:right="120"/>
        <w:spacing w:after="0"/>
        <w:rPr>
          <w:sz w:val="20"/>
          <w:szCs w:val="20"/>
          <w:color w:val="auto"/>
        </w:rPr>
      </w:pPr>
      <w:r>
        <w:rPr>
          <w:rFonts w:ascii="Arial" w:cs="Arial" w:eastAsia="Arial" w:hAnsi="Arial"/>
          <w:sz w:val="15"/>
          <w:szCs w:val="15"/>
          <w:b w:val="1"/>
          <w:bCs w:val="1"/>
          <w:color w:val="auto"/>
        </w:rPr>
        <w:t>CONDENSED CONSOLIDATED STATEMENTS OF OPERATIONS</w:t>
      </w:r>
    </w:p>
    <w:p>
      <w:pPr>
        <w:spacing w:after="0" w:line="42" w:lineRule="exact"/>
        <w:rPr>
          <w:sz w:val="20"/>
          <w:szCs w:val="20"/>
          <w:color w:val="auto"/>
        </w:rPr>
      </w:pPr>
    </w:p>
    <w:p>
      <w:pPr>
        <w:jc w:val="center"/>
        <w:ind w:right="120"/>
        <w:spacing w:after="0"/>
        <w:rPr>
          <w:sz w:val="20"/>
          <w:szCs w:val="20"/>
          <w:color w:val="auto"/>
        </w:rPr>
      </w:pPr>
      <w:r>
        <w:rPr>
          <w:rFonts w:ascii="Arial" w:cs="Arial" w:eastAsia="Arial" w:hAnsi="Arial"/>
          <w:sz w:val="15"/>
          <w:szCs w:val="15"/>
          <w:color w:val="auto"/>
        </w:rPr>
        <w:t>(in thousands of dollars, except per share amount)</w:t>
      </w:r>
    </w:p>
    <w:p>
      <w:pPr>
        <w:spacing w:after="0" w:line="36" w:lineRule="exact"/>
        <w:rPr>
          <w:sz w:val="20"/>
          <w:szCs w:val="20"/>
          <w:color w:val="auto"/>
        </w:rPr>
      </w:pPr>
    </w:p>
    <w:p>
      <w:pPr>
        <w:jc w:val="center"/>
        <w:ind w:right="120"/>
        <w:spacing w:after="0"/>
        <w:rPr>
          <w:sz w:val="20"/>
          <w:szCs w:val="20"/>
          <w:color w:val="auto"/>
        </w:rPr>
      </w:pPr>
      <w:r>
        <w:rPr>
          <w:rFonts w:ascii="Arial" w:cs="Arial" w:eastAsia="Arial" w:hAnsi="Arial"/>
          <w:sz w:val="15"/>
          <w:szCs w:val="15"/>
          <w:color w:val="auto"/>
        </w:rPr>
        <w:t>(unaudited)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20" w:type="dxa"/>
            <w:vAlign w:val="bottom"/>
          </w:tcPr>
          <w:p>
            <w:pPr>
              <w:spacing w:after="0"/>
              <w:rPr>
                <w:sz w:val="17"/>
                <w:szCs w:val="17"/>
                <w:color w:val="auto"/>
              </w:rPr>
            </w:pPr>
          </w:p>
        </w:tc>
        <w:tc>
          <w:tcPr>
            <w:tcW w:w="4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900" w:type="dxa"/>
            <w:vAlign w:val="bottom"/>
            <w:gridSpan w:val="6"/>
          </w:tcPr>
          <w:p>
            <w:pPr>
              <w:jc w:val="right"/>
              <w:ind w:right="1020"/>
              <w:spacing w:after="0"/>
              <w:rPr>
                <w:sz w:val="20"/>
                <w:szCs w:val="20"/>
                <w:color w:val="auto"/>
              </w:rPr>
            </w:pPr>
            <w:r>
              <w:rPr>
                <w:rFonts w:ascii="Arial" w:cs="Arial" w:eastAsia="Arial" w:hAnsi="Arial"/>
                <w:sz w:val="15"/>
                <w:szCs w:val="15"/>
                <w:b w:val="1"/>
                <w:bCs w:val="1"/>
                <w:color w:val="auto"/>
              </w:rPr>
              <w:t>Three Months Ended</w:t>
            </w:r>
          </w:p>
        </w:tc>
        <w:tc>
          <w:tcPr>
            <w:tcW w:w="300" w:type="dxa"/>
            <w:vAlign w:val="bottom"/>
          </w:tcPr>
          <w:p>
            <w:pPr>
              <w:spacing w:after="0"/>
              <w:rPr>
                <w:sz w:val="17"/>
                <w:szCs w:val="17"/>
                <w:color w:val="auto"/>
              </w:rPr>
            </w:pPr>
          </w:p>
        </w:tc>
        <w:tc>
          <w:tcPr>
            <w:tcW w:w="1720" w:type="dxa"/>
            <w:vAlign w:val="bottom"/>
            <w:gridSpan w:val="3"/>
          </w:tcPr>
          <w:p>
            <w:pPr>
              <w:jc w:val="right"/>
              <w:ind w:right="43"/>
              <w:spacing w:after="0"/>
              <w:rPr>
                <w:sz w:val="20"/>
                <w:szCs w:val="20"/>
                <w:color w:val="auto"/>
              </w:rPr>
            </w:pPr>
            <w:r>
              <w:rPr>
                <w:rFonts w:ascii="Arial" w:cs="Arial" w:eastAsia="Arial" w:hAnsi="Arial"/>
                <w:sz w:val="15"/>
                <w:szCs w:val="15"/>
                <w:b w:val="1"/>
                <w:bCs w:val="1"/>
                <w:color w:val="auto"/>
              </w:rPr>
              <w:t>Years Ended</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5"/>
                <w:szCs w:val="15"/>
                <w:b w:val="1"/>
                <w:bCs w:val="1"/>
                <w:color w:val="auto"/>
              </w:rPr>
              <w:t>June 30,</w:t>
            </w:r>
          </w:p>
        </w:tc>
        <w:tc>
          <w:tcPr>
            <w:tcW w:w="102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ind w:right="183"/>
              <w:spacing w:after="0"/>
              <w:rPr>
                <w:sz w:val="20"/>
                <w:szCs w:val="20"/>
                <w:color w:val="auto"/>
              </w:rPr>
            </w:pPr>
            <w:r>
              <w:rPr>
                <w:rFonts w:ascii="Arial" w:cs="Arial" w:eastAsia="Arial" w:hAnsi="Arial"/>
                <w:sz w:val="15"/>
                <w:szCs w:val="15"/>
                <w:b w:val="1"/>
                <w:bCs w:val="1"/>
                <w:color w:val="auto"/>
              </w:rPr>
              <w:t>June 30,</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ind w:left="220"/>
              <w:spacing w:after="0"/>
              <w:rPr>
                <w:sz w:val="20"/>
                <w:szCs w:val="20"/>
                <w:color w:val="auto"/>
              </w:rPr>
            </w:pPr>
            <w:r>
              <w:rPr>
                <w:rFonts w:ascii="Arial" w:cs="Arial" w:eastAsia="Arial" w:hAnsi="Arial"/>
                <w:sz w:val="15"/>
                <w:szCs w:val="15"/>
                <w:b w:val="1"/>
                <w:bCs w:val="1"/>
                <w:color w:val="auto"/>
              </w:rPr>
              <w:t>2006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43"/>
              <w:spacing w:after="0"/>
              <w:rPr>
                <w:sz w:val="20"/>
                <w:szCs w:val="20"/>
                <w:color w:val="auto"/>
              </w:rPr>
            </w:pPr>
            <w:r>
              <w:rPr>
                <w:rFonts w:ascii="Arial" w:cs="Arial" w:eastAsia="Arial" w:hAnsi="Arial"/>
                <w:sz w:val="15"/>
                <w:szCs w:val="15"/>
                <w:b w:val="1"/>
                <w:bCs w:val="1"/>
                <w:color w:val="auto"/>
              </w:rPr>
              <w:t>2005</w:t>
            </w:r>
          </w:p>
        </w:tc>
        <w:tc>
          <w:tcPr>
            <w:tcW w:w="2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63"/>
              <w:spacing w:after="0"/>
              <w:rPr>
                <w:sz w:val="20"/>
                <w:szCs w:val="20"/>
                <w:color w:val="auto"/>
              </w:rPr>
            </w:pPr>
            <w:r>
              <w:rPr>
                <w:rFonts w:ascii="Arial" w:cs="Arial" w:eastAsia="Arial" w:hAnsi="Arial"/>
                <w:sz w:val="15"/>
                <w:szCs w:val="15"/>
                <w:b w:val="1"/>
                <w:bCs w:val="1"/>
                <w:color w:val="auto"/>
              </w:rPr>
              <w:t>2006</w:t>
            </w:r>
          </w:p>
        </w:tc>
        <w:tc>
          <w:tcPr>
            <w:tcW w:w="2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63"/>
              <w:spacing w:after="0"/>
              <w:rPr>
                <w:sz w:val="20"/>
                <w:szCs w:val="20"/>
                <w:color w:val="auto"/>
              </w:rPr>
            </w:pPr>
            <w:r>
              <w:rPr>
                <w:rFonts w:ascii="Arial" w:cs="Arial" w:eastAsia="Arial" w:hAnsi="Arial"/>
                <w:sz w:val="15"/>
                <w:szCs w:val="15"/>
                <w:b w:val="1"/>
                <w:bCs w:val="1"/>
                <w:color w:val="auto"/>
              </w:rPr>
              <w:t>2005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5"/>
                <w:szCs w:val="15"/>
                <w:color w:val="auto"/>
              </w:rPr>
              <w:t>Revenue</w:t>
            </w: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9,730</w:t>
            </w:r>
          </w:p>
        </w:tc>
        <w:tc>
          <w:tcPr>
            <w:tcW w:w="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9,103</w:t>
            </w:r>
          </w:p>
        </w:tc>
        <w:tc>
          <w:tcPr>
            <w:tcW w:w="30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37,632</w:t>
            </w:r>
          </w:p>
        </w:tc>
        <w:tc>
          <w:tcPr>
            <w:tcW w:w="420" w:type="dxa"/>
            <w:vAlign w:val="bottom"/>
            <w:shd w:val="clear" w:color="auto" w:fill="CCEEFF"/>
          </w:tcPr>
          <w:p>
            <w:pPr>
              <w:jc w:val="right"/>
              <w:ind w:right="263"/>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31,645</w:t>
            </w:r>
          </w:p>
        </w:tc>
        <w:tc>
          <w:tcPr>
            <w:tcW w:w="0" w:type="dxa"/>
            <w:vAlign w:val="bottom"/>
          </w:tcPr>
          <w:p>
            <w:pPr>
              <w:spacing w:after="0"/>
              <w:rPr>
                <w:sz w:val="1"/>
                <w:szCs w:val="1"/>
                <w:color w:val="auto"/>
              </w:rPr>
            </w:pPr>
          </w:p>
        </w:tc>
      </w:tr>
      <w:tr>
        <w:trPr>
          <w:trHeight w:val="231"/>
        </w:trPr>
        <w:tc>
          <w:tcPr>
            <w:tcW w:w="4920" w:type="dxa"/>
            <w:vAlign w:val="bottom"/>
            <w:gridSpan w:val="2"/>
          </w:tcPr>
          <w:p>
            <w:pPr>
              <w:spacing w:after="0"/>
              <w:rPr>
                <w:sz w:val="20"/>
                <w:szCs w:val="20"/>
                <w:color w:val="auto"/>
              </w:rPr>
            </w:pPr>
            <w:r>
              <w:rPr>
                <w:rFonts w:ascii="Arial" w:cs="Arial" w:eastAsia="Arial" w:hAnsi="Arial"/>
                <w:sz w:val="15"/>
                <w:szCs w:val="15"/>
                <w:color w:val="auto"/>
              </w:rPr>
              <w:t>Cost of goods sold</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5,071</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5"/>
                <w:szCs w:val="15"/>
                <w:color w:val="auto"/>
              </w:rPr>
              <w:t>4,026</w:t>
            </w:r>
          </w:p>
        </w:tc>
        <w:tc>
          <w:tcPr>
            <w:tcW w:w="30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5"/>
                <w:szCs w:val="15"/>
                <w:color w:val="auto"/>
              </w:rPr>
              <w:t>19,284</w:t>
            </w:r>
          </w:p>
        </w:tc>
        <w:tc>
          <w:tcPr>
            <w:tcW w:w="42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5"/>
                <w:szCs w:val="15"/>
                <w:color w:val="auto"/>
              </w:rPr>
              <w:t>14,951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vMerge w:val="continue"/>
          </w:tcPr>
          <w:p>
            <w:pPr>
              <w:spacing w:after="0"/>
              <w:rPr>
                <w:sz w:val="17"/>
                <w:szCs w:val="17"/>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5"/>
                <w:szCs w:val="15"/>
                <w:color w:val="auto"/>
              </w:rPr>
              <w:t>Gross profit</w:t>
            </w: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4,659</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5,077</w:t>
            </w:r>
          </w:p>
        </w:tc>
        <w:tc>
          <w:tcPr>
            <w:tcW w:w="30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18,348</w:t>
            </w:r>
          </w:p>
        </w:tc>
        <w:tc>
          <w:tcPr>
            <w:tcW w:w="4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16,694</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90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5"/>
                <w:szCs w:val="15"/>
                <w:color w:val="auto"/>
              </w:rPr>
              <w:t>Operating expenses:</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900" w:type="dxa"/>
            <w:vAlign w:val="bottom"/>
          </w:tcPr>
          <w:p>
            <w:pPr>
              <w:ind w:left="240"/>
              <w:spacing w:after="0"/>
              <w:rPr>
                <w:sz w:val="20"/>
                <w:szCs w:val="20"/>
                <w:color w:val="auto"/>
              </w:rPr>
            </w:pPr>
            <w:r>
              <w:rPr>
                <w:rFonts w:ascii="Arial" w:cs="Arial" w:eastAsia="Arial" w:hAnsi="Arial"/>
                <w:sz w:val="15"/>
                <w:szCs w:val="15"/>
                <w:color w:val="auto"/>
              </w:rPr>
              <w:t>Marketing and selling</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2,324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5"/>
                <w:szCs w:val="15"/>
                <w:color w:val="auto"/>
              </w:rPr>
              <w:t>2,492</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7,866</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5"/>
                <w:szCs w:val="15"/>
                <w:color w:val="auto"/>
              </w:rPr>
              <w:t>9,070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900" w:type="dxa"/>
            <w:vAlign w:val="bottom"/>
            <w:shd w:val="clear" w:color="auto" w:fill="CCEEFF"/>
          </w:tcPr>
          <w:p>
            <w:pPr>
              <w:ind w:left="240"/>
              <w:spacing w:after="0"/>
              <w:rPr>
                <w:sz w:val="20"/>
                <w:szCs w:val="20"/>
                <w:color w:val="auto"/>
              </w:rPr>
            </w:pPr>
            <w:r>
              <w:rPr>
                <w:rFonts w:ascii="Arial" w:cs="Arial" w:eastAsia="Arial" w:hAnsi="Arial"/>
                <w:sz w:val="15"/>
                <w:szCs w:val="15"/>
                <w:color w:val="auto"/>
              </w:rPr>
              <w:t>Research and product development</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2,521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1,495</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8,299</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5,305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900" w:type="dxa"/>
            <w:vAlign w:val="bottom"/>
          </w:tcPr>
          <w:p>
            <w:pPr>
              <w:ind w:left="240"/>
              <w:spacing w:after="0"/>
              <w:rPr>
                <w:sz w:val="20"/>
                <w:szCs w:val="20"/>
                <w:color w:val="auto"/>
              </w:rPr>
            </w:pPr>
            <w:r>
              <w:rPr>
                <w:rFonts w:ascii="Arial" w:cs="Arial" w:eastAsia="Arial" w:hAnsi="Arial"/>
                <w:sz w:val="15"/>
                <w:szCs w:val="15"/>
                <w:color w:val="auto"/>
              </w:rPr>
              <w:t>General and administrative</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820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5"/>
                <w:szCs w:val="15"/>
                <w:color w:val="auto"/>
              </w:rPr>
              <w:t>1,379</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5,108</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5"/>
                <w:szCs w:val="15"/>
                <w:color w:val="auto"/>
              </w:rPr>
              <w:t>5,489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900" w:type="dxa"/>
            <w:vAlign w:val="bottom"/>
            <w:shd w:val="clear" w:color="auto" w:fill="CCEEFF"/>
          </w:tcPr>
          <w:p>
            <w:pPr>
              <w:ind w:left="240"/>
              <w:spacing w:after="0"/>
              <w:rPr>
                <w:sz w:val="20"/>
                <w:szCs w:val="20"/>
                <w:color w:val="auto"/>
              </w:rPr>
            </w:pPr>
            <w:r>
              <w:rPr>
                <w:rFonts w:ascii="Arial" w:cs="Arial" w:eastAsia="Arial" w:hAnsi="Arial"/>
                <w:sz w:val="15"/>
                <w:szCs w:val="15"/>
                <w:color w:val="auto"/>
              </w:rPr>
              <w:t>Settlement in shareholders' class action</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563</w:t>
            </w: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(1,205)</w:t>
            </w:r>
          </w:p>
        </w:tc>
        <w:tc>
          <w:tcPr>
            <w:tcW w:w="4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(2,046)</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900" w:type="dxa"/>
            <w:vAlign w:val="bottom"/>
          </w:tcPr>
          <w:p>
            <w:pPr>
              <w:ind w:left="240"/>
              <w:spacing w:after="0"/>
              <w:rPr>
                <w:sz w:val="20"/>
                <w:szCs w:val="20"/>
                <w:color w:val="auto"/>
              </w:rPr>
            </w:pPr>
            <w:r>
              <w:rPr>
                <w:rFonts w:ascii="Arial" w:cs="Arial" w:eastAsia="Arial" w:hAnsi="Arial"/>
                <w:sz w:val="15"/>
                <w:szCs w:val="15"/>
                <w:color w:val="auto"/>
              </w:rPr>
              <w:t>Other operating expenses</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5"/>
                <w:szCs w:val="15"/>
                <w:color w:val="auto"/>
              </w:rPr>
              <w:t>290</w:t>
            </w: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5"/>
                <w:szCs w:val="15"/>
                <w:color w:val="auto"/>
              </w:rPr>
              <w:t>290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4900" w:type="dxa"/>
            <w:vAlign w:val="bottom"/>
            <w:shd w:val="clear" w:color="auto" w:fill="CCEEFF"/>
          </w:tcPr>
          <w:p>
            <w:pPr>
              <w:ind w:left="380"/>
              <w:spacing w:after="0"/>
              <w:rPr>
                <w:sz w:val="20"/>
                <w:szCs w:val="20"/>
                <w:color w:val="auto"/>
              </w:rPr>
            </w:pPr>
            <w:r>
              <w:rPr>
                <w:rFonts w:ascii="Arial" w:cs="Arial" w:eastAsia="Arial" w:hAnsi="Arial"/>
                <w:sz w:val="15"/>
                <w:szCs w:val="15"/>
                <w:color w:val="auto"/>
              </w:rPr>
              <w:t>Total operating expenses</w:t>
            </w: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5,665</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6,219</w:t>
            </w:r>
          </w:p>
        </w:tc>
        <w:tc>
          <w:tcPr>
            <w:tcW w:w="30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20,068</w:t>
            </w:r>
          </w:p>
        </w:tc>
        <w:tc>
          <w:tcPr>
            <w:tcW w:w="4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18,108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4920" w:type="dxa"/>
            <w:vAlign w:val="bottom"/>
            <w:gridSpan w:val="2"/>
          </w:tcPr>
          <w:p>
            <w:pPr>
              <w:spacing w:after="0"/>
              <w:rPr>
                <w:sz w:val="20"/>
                <w:szCs w:val="20"/>
                <w:color w:val="auto"/>
              </w:rPr>
            </w:pPr>
            <w:r>
              <w:rPr>
                <w:rFonts w:ascii="Arial" w:cs="Arial" w:eastAsia="Arial" w:hAnsi="Arial"/>
                <w:sz w:val="15"/>
                <w:szCs w:val="15"/>
                <w:color w:val="auto"/>
              </w:rPr>
              <w:t>Operating loss</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5"/>
                <w:szCs w:val="15"/>
                <w:color w:val="auto"/>
              </w:rPr>
              <w:t>(1,006)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5"/>
                <w:szCs w:val="15"/>
                <w:color w:val="auto"/>
              </w:rPr>
              <w:t>(1,142)</w:t>
            </w:r>
          </w:p>
        </w:tc>
        <w:tc>
          <w:tcPr>
            <w:tcW w:w="30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5"/>
                <w:szCs w:val="15"/>
                <w:color w:val="auto"/>
              </w:rPr>
              <w:t>(1,720)</w:t>
            </w:r>
          </w:p>
        </w:tc>
        <w:tc>
          <w:tcPr>
            <w:tcW w:w="420" w:type="dxa"/>
            <w:vAlign w:val="bottom"/>
          </w:tcPr>
          <w:p>
            <w:pPr>
              <w:spacing w:after="0"/>
              <w:rPr>
                <w:sz w:val="17"/>
                <w:szCs w:val="17"/>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5"/>
                <w:szCs w:val="15"/>
                <w:color w:val="auto"/>
              </w:rPr>
              <w:t>(1,414)</w:t>
            </w: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4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5"/>
                <w:szCs w:val="15"/>
                <w:color w:val="auto"/>
              </w:rPr>
              <w:t>Other income (expense), net</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422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5"/>
                <w:szCs w:val="15"/>
                <w:color w:val="auto"/>
              </w:rPr>
              <w:t>125</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1,016</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5"/>
                <w:szCs w:val="15"/>
                <w:color w:val="auto"/>
              </w:rPr>
              <w:t>318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5"/>
                <w:szCs w:val="15"/>
                <w:color w:val="auto"/>
              </w:rPr>
              <w:t>Loss from continuing operations before income taxes</w:t>
            </w: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(584)</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(1,017)</w:t>
            </w:r>
          </w:p>
        </w:tc>
        <w:tc>
          <w:tcPr>
            <w:tcW w:w="30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(704)</w:t>
            </w:r>
          </w:p>
        </w:tc>
        <w:tc>
          <w:tcPr>
            <w:tcW w:w="4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(1,096)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5"/>
                <w:szCs w:val="15"/>
                <w:color w:val="auto"/>
              </w:rPr>
              <w:t>Benefit for income taxes</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5"/>
                <w:szCs w:val="15"/>
                <w:color w:val="auto"/>
              </w:rPr>
              <w:t>(180)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5"/>
                <w:szCs w:val="15"/>
                <w:color w:val="auto"/>
              </w:rPr>
              <w:t>3,219</w:t>
            </w:r>
          </w:p>
        </w:tc>
        <w:tc>
          <w:tcPr>
            <w:tcW w:w="30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5"/>
                <w:szCs w:val="15"/>
                <w:color w:val="auto"/>
              </w:rPr>
              <w:t>870</w:t>
            </w:r>
          </w:p>
        </w:tc>
        <w:tc>
          <w:tcPr>
            <w:tcW w:w="4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5"/>
                <w:szCs w:val="15"/>
                <w:color w:val="auto"/>
              </w:rPr>
              <w:t>3,248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5"/>
                <w:szCs w:val="15"/>
                <w:color w:val="auto"/>
              </w:rPr>
              <w:t>Income (loss) from continuing operations</w:t>
            </w: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(764)</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2,202</w:t>
            </w:r>
          </w:p>
        </w:tc>
        <w:tc>
          <w:tcPr>
            <w:tcW w:w="30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166</w:t>
            </w:r>
          </w:p>
        </w:tc>
        <w:tc>
          <w:tcPr>
            <w:tcW w:w="4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2,152</w:t>
            </w:r>
          </w:p>
        </w:tc>
        <w:tc>
          <w:tcPr>
            <w:tcW w:w="0" w:type="dxa"/>
            <w:vAlign w:val="bottom"/>
          </w:tcPr>
          <w:p>
            <w:pPr>
              <w:spacing w:after="0"/>
              <w:rPr>
                <w:sz w:val="1"/>
                <w:szCs w:val="1"/>
                <w:color w:val="auto"/>
              </w:rPr>
            </w:pPr>
          </w:p>
        </w:tc>
      </w:tr>
      <w:tr>
        <w:trPr>
          <w:trHeight w:val="208"/>
        </w:trPr>
        <w:tc>
          <w:tcPr>
            <w:tcW w:w="492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Income from discontinued operations</w:t>
            </w:r>
          </w:p>
        </w:tc>
        <w:tc>
          <w:tcPr>
            <w:tcW w:w="2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252</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116</w:t>
            </w:r>
          </w:p>
        </w:tc>
        <w:tc>
          <w:tcPr>
            <w:tcW w:w="3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1,930</w:t>
            </w:r>
          </w:p>
        </w:tc>
        <w:tc>
          <w:tcPr>
            <w:tcW w:w="2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13,923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920" w:type="dxa"/>
            <w:vAlign w:val="bottom"/>
            <w:gridSpan w:val="2"/>
          </w:tcPr>
          <w:p>
            <w:pPr>
              <w:spacing w:after="0"/>
              <w:rPr>
                <w:sz w:val="20"/>
                <w:szCs w:val="20"/>
                <w:color w:val="auto"/>
              </w:rPr>
            </w:pPr>
            <w:r>
              <w:rPr>
                <w:rFonts w:ascii="Arial" w:cs="Arial" w:eastAsia="Arial" w:hAnsi="Arial"/>
                <w:sz w:val="15"/>
                <w:szCs w:val="15"/>
                <w:color w:val="auto"/>
              </w:rPr>
              <w:t>Net income (loss)</w:t>
            </w:r>
          </w:p>
        </w:tc>
        <w:tc>
          <w:tcPr>
            <w:tcW w:w="5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200" w:type="dxa"/>
            <w:vAlign w:val="bottom"/>
            <w:gridSpan w:val="2"/>
          </w:tcPr>
          <w:p>
            <w:pPr>
              <w:jc w:val="right"/>
              <w:ind w:right="80"/>
              <w:spacing w:after="0"/>
              <w:rPr>
                <w:sz w:val="20"/>
                <w:szCs w:val="20"/>
                <w:color w:val="auto"/>
              </w:rPr>
            </w:pPr>
            <w:r>
              <w:rPr>
                <w:rFonts w:ascii="Arial" w:cs="Arial" w:eastAsia="Arial" w:hAnsi="Arial"/>
                <w:sz w:val="15"/>
                <w:szCs w:val="15"/>
                <w:color w:val="auto"/>
              </w:rPr>
              <w:t>(512)</w:t>
            </w:r>
          </w:p>
        </w:tc>
        <w:tc>
          <w:tcPr>
            <w:tcW w:w="44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260" w:type="dxa"/>
            <w:vAlign w:val="bottom"/>
            <w:gridSpan w:val="2"/>
          </w:tcPr>
          <w:p>
            <w:pPr>
              <w:jc w:val="right"/>
              <w:ind w:right="240"/>
              <w:spacing w:after="0"/>
              <w:rPr>
                <w:sz w:val="20"/>
                <w:szCs w:val="20"/>
                <w:color w:val="auto"/>
              </w:rPr>
            </w:pPr>
            <w:r>
              <w:rPr>
                <w:rFonts w:ascii="Arial" w:cs="Arial" w:eastAsia="Arial" w:hAnsi="Arial"/>
                <w:sz w:val="15"/>
                <w:szCs w:val="15"/>
                <w:color w:val="auto"/>
              </w:rPr>
              <w:t>2,318</w:t>
            </w:r>
          </w:p>
        </w:tc>
        <w:tc>
          <w:tcPr>
            <w:tcW w:w="300" w:type="dxa"/>
            <w:vAlign w:val="bottom"/>
          </w:tcPr>
          <w:p>
            <w:pPr>
              <w:jc w:val="right"/>
              <w:ind w:right="143"/>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2,096</w:t>
            </w:r>
          </w:p>
        </w:tc>
        <w:tc>
          <w:tcPr>
            <w:tcW w:w="220" w:type="dxa"/>
            <w:vAlign w:val="bottom"/>
          </w:tcPr>
          <w:p>
            <w:pPr>
              <w:spacing w:after="0"/>
              <w:rPr>
                <w:sz w:val="17"/>
                <w:szCs w:val="17"/>
                <w:color w:val="auto"/>
              </w:rPr>
            </w:pPr>
          </w:p>
        </w:tc>
        <w:tc>
          <w:tcPr>
            <w:tcW w:w="420" w:type="dxa"/>
            <w:vAlign w:val="bottom"/>
          </w:tcPr>
          <w:p>
            <w:pPr>
              <w:jc w:val="right"/>
              <w:ind w:right="263"/>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00"/>
              <w:spacing w:after="0"/>
              <w:rPr>
                <w:sz w:val="20"/>
                <w:szCs w:val="20"/>
                <w:color w:val="auto"/>
              </w:rPr>
            </w:pPr>
            <w:r>
              <w:rPr>
                <w:rFonts w:ascii="Arial" w:cs="Arial" w:eastAsia="Arial" w:hAnsi="Arial"/>
                <w:sz w:val="15"/>
                <w:szCs w:val="15"/>
                <w:color w:val="auto"/>
              </w:rPr>
              <w:t>16,075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4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4920" w:type="dxa"/>
            <w:vAlign w:val="bottom"/>
            <w:gridSpan w:val="2"/>
          </w:tcPr>
          <w:p>
            <w:pPr>
              <w:spacing w:after="0"/>
              <w:rPr>
                <w:sz w:val="20"/>
                <w:szCs w:val="20"/>
                <w:color w:val="auto"/>
              </w:rPr>
            </w:pPr>
            <w:r>
              <w:rPr>
                <w:rFonts w:ascii="Arial" w:cs="Arial" w:eastAsia="Arial" w:hAnsi="Arial"/>
                <w:sz w:val="15"/>
                <w:szCs w:val="15"/>
                <w:color w:val="auto"/>
              </w:rPr>
              <w:t>Diluted earnings (loss) per common share from continuing operations</w:t>
            </w:r>
          </w:p>
        </w:tc>
        <w:tc>
          <w:tcPr>
            <w:tcW w:w="5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200" w:type="dxa"/>
            <w:vAlign w:val="bottom"/>
            <w:gridSpan w:val="2"/>
          </w:tcPr>
          <w:p>
            <w:pPr>
              <w:jc w:val="right"/>
              <w:ind w:right="80"/>
              <w:spacing w:after="0"/>
              <w:rPr>
                <w:sz w:val="20"/>
                <w:szCs w:val="20"/>
                <w:color w:val="auto"/>
              </w:rPr>
            </w:pPr>
            <w:r>
              <w:rPr>
                <w:rFonts w:ascii="Arial" w:cs="Arial" w:eastAsia="Arial" w:hAnsi="Arial"/>
                <w:sz w:val="15"/>
                <w:szCs w:val="15"/>
                <w:color w:val="auto"/>
              </w:rPr>
              <w:t>(0.06)</w:t>
            </w:r>
          </w:p>
        </w:tc>
        <w:tc>
          <w:tcPr>
            <w:tcW w:w="44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5"/>
                <w:szCs w:val="15"/>
                <w:color w:val="auto"/>
              </w:rPr>
              <w:t>0.18</w:t>
            </w:r>
          </w:p>
        </w:tc>
        <w:tc>
          <w:tcPr>
            <w:tcW w:w="300" w:type="dxa"/>
            <w:vAlign w:val="bottom"/>
          </w:tcPr>
          <w:p>
            <w:pPr>
              <w:jc w:val="right"/>
              <w:ind w:right="143"/>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220"/>
              <w:spacing w:after="0"/>
              <w:rPr>
                <w:sz w:val="20"/>
                <w:szCs w:val="20"/>
                <w:color w:val="auto"/>
              </w:rPr>
            </w:pPr>
            <w:r>
              <w:rPr>
                <w:rFonts w:ascii="Arial" w:cs="Arial" w:eastAsia="Arial" w:hAnsi="Arial"/>
                <w:sz w:val="15"/>
                <w:szCs w:val="15"/>
                <w:color w:val="auto"/>
              </w:rPr>
              <w:t>0.01</w:t>
            </w:r>
          </w:p>
        </w:tc>
        <w:tc>
          <w:tcPr>
            <w:tcW w:w="420" w:type="dxa"/>
            <w:vAlign w:val="bottom"/>
          </w:tcPr>
          <w:p>
            <w:pPr>
              <w:jc w:val="right"/>
              <w:ind w:right="263"/>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00"/>
              <w:spacing w:after="0"/>
              <w:rPr>
                <w:sz w:val="20"/>
                <w:szCs w:val="20"/>
                <w:color w:val="auto"/>
              </w:rPr>
            </w:pPr>
            <w:r>
              <w:rPr>
                <w:rFonts w:ascii="Arial" w:cs="Arial" w:eastAsia="Arial" w:hAnsi="Arial"/>
                <w:sz w:val="15"/>
                <w:szCs w:val="15"/>
                <w:color w:val="auto"/>
              </w:rPr>
              <w:t>0.17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5"/>
                <w:szCs w:val="15"/>
                <w:color w:val="auto"/>
              </w:rPr>
              <w:t>Diluted earnings per common share from discontinued operations</w:t>
            </w: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0.02</w:t>
            </w:r>
          </w:p>
        </w:tc>
        <w:tc>
          <w:tcPr>
            <w:tcW w:w="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0.01</w:t>
            </w:r>
          </w:p>
        </w:tc>
        <w:tc>
          <w:tcPr>
            <w:tcW w:w="30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0.16</w:t>
            </w:r>
          </w:p>
        </w:tc>
        <w:tc>
          <w:tcPr>
            <w:tcW w:w="420" w:type="dxa"/>
            <w:vAlign w:val="bottom"/>
            <w:shd w:val="clear" w:color="auto" w:fill="CCEEFF"/>
          </w:tcPr>
          <w:p>
            <w:pPr>
              <w:jc w:val="right"/>
              <w:ind w:right="263"/>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1.13</w:t>
            </w:r>
          </w:p>
        </w:tc>
        <w:tc>
          <w:tcPr>
            <w:tcW w:w="0" w:type="dxa"/>
            <w:vAlign w:val="bottom"/>
          </w:tcPr>
          <w:p>
            <w:pPr>
              <w:spacing w:after="0"/>
              <w:rPr>
                <w:sz w:val="1"/>
                <w:szCs w:val="1"/>
                <w:color w:val="auto"/>
              </w:rPr>
            </w:pPr>
          </w:p>
        </w:tc>
      </w:tr>
      <w:tr>
        <w:trPr>
          <w:trHeight w:val="208"/>
        </w:trPr>
        <w:tc>
          <w:tcPr>
            <w:tcW w:w="4920" w:type="dxa"/>
            <w:vAlign w:val="bottom"/>
            <w:gridSpan w:val="2"/>
          </w:tcPr>
          <w:p>
            <w:pPr>
              <w:spacing w:after="0"/>
              <w:rPr>
                <w:sz w:val="20"/>
                <w:szCs w:val="20"/>
                <w:color w:val="auto"/>
              </w:rPr>
            </w:pPr>
            <w:r>
              <w:rPr>
                <w:rFonts w:ascii="Arial" w:cs="Arial" w:eastAsia="Arial" w:hAnsi="Arial"/>
                <w:sz w:val="15"/>
                <w:szCs w:val="15"/>
                <w:color w:val="auto"/>
              </w:rPr>
              <w:t>Diluted earnings (loss) per common share</w:t>
            </w:r>
          </w:p>
        </w:tc>
        <w:tc>
          <w:tcPr>
            <w:tcW w:w="5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200" w:type="dxa"/>
            <w:vAlign w:val="bottom"/>
            <w:gridSpan w:val="2"/>
          </w:tcPr>
          <w:p>
            <w:pPr>
              <w:jc w:val="right"/>
              <w:ind w:right="80"/>
              <w:spacing w:after="0"/>
              <w:rPr>
                <w:sz w:val="20"/>
                <w:szCs w:val="20"/>
                <w:color w:val="auto"/>
              </w:rPr>
            </w:pPr>
            <w:r>
              <w:rPr>
                <w:rFonts w:ascii="Arial" w:cs="Arial" w:eastAsia="Arial" w:hAnsi="Arial"/>
                <w:sz w:val="15"/>
                <w:szCs w:val="15"/>
                <w:color w:val="auto"/>
              </w:rPr>
              <w:t>(0.04)</w:t>
            </w:r>
          </w:p>
        </w:tc>
        <w:tc>
          <w:tcPr>
            <w:tcW w:w="44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5"/>
                <w:szCs w:val="15"/>
                <w:color w:val="auto"/>
              </w:rPr>
              <w:t>0.19</w:t>
            </w:r>
          </w:p>
        </w:tc>
        <w:tc>
          <w:tcPr>
            <w:tcW w:w="300" w:type="dxa"/>
            <w:vAlign w:val="bottom"/>
          </w:tcPr>
          <w:p>
            <w:pPr>
              <w:jc w:val="right"/>
              <w:ind w:right="143"/>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220"/>
              <w:spacing w:after="0"/>
              <w:rPr>
                <w:sz w:val="20"/>
                <w:szCs w:val="20"/>
                <w:color w:val="auto"/>
              </w:rPr>
            </w:pPr>
            <w:r>
              <w:rPr>
                <w:rFonts w:ascii="Arial" w:cs="Arial" w:eastAsia="Arial" w:hAnsi="Arial"/>
                <w:sz w:val="15"/>
                <w:szCs w:val="15"/>
                <w:color w:val="auto"/>
              </w:rPr>
              <w:t>0.17</w:t>
            </w:r>
          </w:p>
        </w:tc>
        <w:tc>
          <w:tcPr>
            <w:tcW w:w="420" w:type="dxa"/>
            <w:vAlign w:val="bottom"/>
          </w:tcPr>
          <w:p>
            <w:pPr>
              <w:jc w:val="right"/>
              <w:ind w:right="263"/>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00"/>
              <w:spacing w:after="0"/>
              <w:rPr>
                <w:sz w:val="20"/>
                <w:szCs w:val="20"/>
                <w:color w:val="auto"/>
              </w:rPr>
            </w:pPr>
            <w:r>
              <w:rPr>
                <w:rFonts w:ascii="Arial" w:cs="Arial" w:eastAsia="Arial" w:hAnsi="Arial"/>
                <w:sz w:val="15"/>
                <w:szCs w:val="15"/>
                <w:color w:val="auto"/>
              </w:rPr>
              <w:t>1.30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5"/>
                <w:szCs w:val="15"/>
                <w:color w:val="auto"/>
              </w:rPr>
              <w:t>Diluted weighted average shares outstanding</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12,209,749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12,273,062</w:t>
            </w: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12,206,618</w:t>
            </w:r>
          </w:p>
        </w:tc>
        <w:tc>
          <w:tcPr>
            <w:tcW w:w="4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12,332,106</w:t>
            </w:r>
          </w:p>
        </w:tc>
        <w:tc>
          <w:tcPr>
            <w:tcW w:w="0" w:type="dxa"/>
            <w:vAlign w:val="bottom"/>
          </w:tcPr>
          <w:p>
            <w:pPr>
              <w:spacing w:after="0"/>
              <w:rPr>
                <w:sz w:val="1"/>
                <w:szCs w:val="1"/>
                <w:color w:val="auto"/>
              </w:rPr>
            </w:pPr>
          </w:p>
        </w:tc>
      </w:tr>
      <w:tr>
        <w:trPr>
          <w:trHeight w:val="579"/>
        </w:trPr>
        <w:tc>
          <w:tcPr>
            <w:tcW w:w="2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ind w:left="220"/>
              <w:spacing w:after="0"/>
              <w:rPr>
                <w:sz w:val="20"/>
                <w:szCs w:val="20"/>
                <w:color w:val="auto"/>
              </w:rPr>
            </w:pPr>
            <w:r>
              <w:rPr>
                <w:rFonts w:ascii="Arial" w:cs="Arial" w:eastAsia="Arial" w:hAnsi="Arial"/>
                <w:sz w:val="12"/>
                <w:szCs w:val="12"/>
                <w:color w:val="auto"/>
              </w:rPr>
              <w:t>3</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490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320" w:type="dxa"/>
            <w:vAlign w:val="bottom"/>
            <w:tcBorders>
              <w:bottom w:val="single" w:sz="8" w:color="808080"/>
            </w:tcBorders>
          </w:tcPr>
          <w:p>
            <w:pPr>
              <w:spacing w:after="0"/>
              <w:rPr>
                <w:sz w:val="7"/>
                <w:szCs w:val="7"/>
                <w:color w:val="auto"/>
              </w:rPr>
            </w:pPr>
          </w:p>
        </w:tc>
        <w:tc>
          <w:tcPr>
            <w:tcW w:w="1060" w:type="dxa"/>
            <w:vAlign w:val="bottom"/>
            <w:tcBorders>
              <w:bottom w:val="single" w:sz="8" w:color="808080"/>
            </w:tcBorders>
          </w:tcPr>
          <w:p>
            <w:pPr>
              <w:spacing w:after="0"/>
              <w:rPr>
                <w:sz w:val="7"/>
                <w:szCs w:val="7"/>
                <w:color w:val="auto"/>
              </w:rPr>
            </w:pPr>
          </w:p>
        </w:tc>
        <w:tc>
          <w:tcPr>
            <w:tcW w:w="14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340" w:type="dxa"/>
            <w:vAlign w:val="bottom"/>
            <w:tcBorders>
              <w:bottom w:val="single" w:sz="8" w:color="808080"/>
            </w:tcBorders>
          </w:tcPr>
          <w:p>
            <w:pPr>
              <w:spacing w:after="0"/>
              <w:rPr>
                <w:sz w:val="7"/>
                <w:szCs w:val="7"/>
                <w:color w:val="auto"/>
              </w:rPr>
            </w:pPr>
          </w:p>
        </w:tc>
        <w:tc>
          <w:tcPr>
            <w:tcW w:w="102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108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420" w:type="dxa"/>
            <w:vAlign w:val="bottom"/>
            <w:tcBorders>
              <w:bottom w:val="single" w:sz="8" w:color="808080"/>
            </w:tcBorders>
          </w:tcPr>
          <w:p>
            <w:pPr>
              <w:spacing w:after="0"/>
              <w:rPr>
                <w:sz w:val="7"/>
                <w:szCs w:val="7"/>
                <w:color w:val="auto"/>
              </w:rPr>
            </w:pPr>
          </w:p>
        </w:tc>
        <w:tc>
          <w:tcPr>
            <w:tcW w:w="96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7251700</wp:posOffset>
            </wp:positionH>
            <wp:positionV relativeFrom="paragraph">
              <wp:posOffset>-13335</wp:posOffset>
            </wp:positionV>
            <wp:extent cx="1270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-13335</wp:posOffset>
            </wp:positionV>
            <wp:extent cx="1270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585" w:right="219" w:bottom="1440" w:gutter="0" w:footer="0" w:header="0"/>
        </w:sectPr>
      </w:pPr>
    </w:p>
    <w:bookmarkStart w:id="5" w:name="page6"/>
    <w:bookmarkEnd w:id="5"/>
    <w:p>
      <w:pPr>
        <w:jc w:val="center"/>
        <w:ind w:right="59"/>
        <w:spacing w:after="0"/>
        <w:rPr>
          <w:sz w:val="20"/>
          <w:szCs w:val="20"/>
          <w:color w:val="auto"/>
        </w:rPr>
      </w:pPr>
      <w:r>
        <w:rPr>
          <w:rFonts w:ascii="Arial" w:cs="Arial" w:eastAsia="Arial" w:hAnsi="Arial"/>
          <w:sz w:val="15"/>
          <w:szCs w:val="15"/>
          <w:b w:val="1"/>
          <w:bCs w:val="1"/>
          <w:color w:val="auto"/>
        </w:rPr>
        <w:t>CLEARONE COMMUNICATIONS, INC. AND SUBSIDIARIES</w:t>
      </w:r>
    </w:p>
    <w:p>
      <w:pPr>
        <w:spacing w:after="0" w:line="36" w:lineRule="exact"/>
        <w:rPr>
          <w:sz w:val="20"/>
          <w:szCs w:val="20"/>
          <w:color w:val="auto"/>
        </w:rPr>
      </w:pPr>
    </w:p>
    <w:p>
      <w:pPr>
        <w:jc w:val="center"/>
        <w:ind w:right="59"/>
        <w:spacing w:after="0"/>
        <w:rPr>
          <w:sz w:val="20"/>
          <w:szCs w:val="20"/>
          <w:color w:val="auto"/>
        </w:rPr>
      </w:pPr>
      <w:r>
        <w:rPr>
          <w:rFonts w:ascii="Arial" w:cs="Arial" w:eastAsia="Arial" w:hAnsi="Arial"/>
          <w:sz w:val="15"/>
          <w:szCs w:val="15"/>
          <w:b w:val="1"/>
          <w:bCs w:val="1"/>
          <w:color w:val="auto"/>
        </w:rPr>
        <w:t>CONDENSED CONSOLIDATED BALANCE SHEETS</w:t>
      </w:r>
    </w:p>
    <w:p>
      <w:pPr>
        <w:spacing w:after="0" w:line="42"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(in thousands of dollars, except per share amount)</w:t>
      </w:r>
    </w:p>
    <w:p>
      <w:pPr>
        <w:spacing w:after="0" w:line="36"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(unaudited)</w:t>
      </w:r>
    </w:p>
    <w:p>
      <w:pPr>
        <w:spacing w:after="0" w:line="261" w:lineRule="exact"/>
        <w:rPr>
          <w:sz w:val="20"/>
          <w:szCs w:val="20"/>
          <w:color w:val="auto"/>
        </w:rPr>
      </w:pPr>
    </w:p>
    <w:tbl>
      <w:tblPr>
        <w:tblLayout w:type="fixed"/>
        <w:tblInd w:w="500" w:type="dxa"/>
        <w:tblCellMar>
          <w:top w:w="0" w:type="dxa"/>
          <w:left w:w="0" w:type="dxa"/>
          <w:bottom w:w="0" w:type="dxa"/>
          <w:right w:w="0" w:type="dxa"/>
        </w:tblCellMar>
      </w:tblPr>
      <w:tr>
        <w:trPr>
          <w:trHeight w:val="201"/>
        </w:trPr>
        <w:tc>
          <w:tcPr>
            <w:tcW w:w="20" w:type="dxa"/>
            <w:vAlign w:val="bottom"/>
          </w:tcPr>
          <w:p>
            <w:pPr>
              <w:spacing w:after="0"/>
              <w:rPr>
                <w:sz w:val="17"/>
                <w:szCs w:val="17"/>
                <w:color w:val="auto"/>
              </w:rPr>
            </w:pPr>
          </w:p>
        </w:tc>
        <w:tc>
          <w:tcPr>
            <w:tcW w:w="5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5"/>
                <w:szCs w:val="15"/>
                <w:b w:val="1"/>
                <w:bCs w:val="1"/>
                <w:color w:val="auto"/>
              </w:rPr>
              <w:t>June 30,</w:t>
            </w:r>
          </w:p>
        </w:tc>
        <w:tc>
          <w:tcPr>
            <w:tcW w:w="7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63"/>
              <w:spacing w:after="0"/>
              <w:rPr>
                <w:sz w:val="20"/>
                <w:szCs w:val="20"/>
                <w:color w:val="auto"/>
              </w:rPr>
            </w:pPr>
            <w:r>
              <w:rPr>
                <w:rFonts w:ascii="Arial" w:cs="Arial" w:eastAsia="Arial" w:hAnsi="Arial"/>
                <w:sz w:val="15"/>
                <w:szCs w:val="15"/>
                <w:b w:val="1"/>
                <w:bCs w:val="1"/>
                <w:color w:val="auto"/>
              </w:rPr>
              <w:t>2006</w:t>
            </w:r>
          </w:p>
        </w:tc>
        <w:tc>
          <w:tcPr>
            <w:tcW w:w="1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23"/>
              <w:spacing w:after="0"/>
              <w:rPr>
                <w:sz w:val="20"/>
                <w:szCs w:val="20"/>
                <w:color w:val="auto"/>
              </w:rPr>
            </w:pPr>
            <w:r>
              <w:rPr>
                <w:rFonts w:ascii="Arial" w:cs="Arial" w:eastAsia="Arial" w:hAnsi="Arial"/>
                <w:sz w:val="15"/>
                <w:szCs w:val="15"/>
                <w:b w:val="1"/>
                <w:bCs w:val="1"/>
                <w:color w:val="auto"/>
              </w:rPr>
              <w:t>2005</w:t>
            </w:r>
          </w:p>
        </w:tc>
        <w:tc>
          <w:tcPr>
            <w:tcW w:w="0" w:type="dxa"/>
            <w:vAlign w:val="bottom"/>
          </w:tcPr>
          <w:p>
            <w:pPr>
              <w:spacing w:after="0"/>
              <w:rPr>
                <w:sz w:val="1"/>
                <w:szCs w:val="1"/>
                <w:color w:val="auto"/>
              </w:rPr>
            </w:pPr>
          </w:p>
        </w:tc>
      </w:tr>
      <w:tr>
        <w:trPr>
          <w:trHeight w:val="408"/>
        </w:trPr>
        <w:tc>
          <w:tcPr>
            <w:tcW w:w="20" w:type="dxa"/>
            <w:vAlign w:val="bottom"/>
          </w:tcPr>
          <w:p>
            <w:pPr>
              <w:spacing w:after="0"/>
              <w:rPr>
                <w:sz w:val="24"/>
                <w:szCs w:val="24"/>
                <w:color w:val="auto"/>
              </w:rPr>
            </w:pPr>
          </w:p>
        </w:tc>
        <w:tc>
          <w:tcPr>
            <w:tcW w:w="5700" w:type="dxa"/>
            <w:vAlign w:val="bottom"/>
          </w:tcPr>
          <w:p>
            <w:pPr>
              <w:ind w:left="2560"/>
              <w:spacing w:after="0"/>
              <w:rPr>
                <w:sz w:val="20"/>
                <w:szCs w:val="20"/>
                <w:color w:val="auto"/>
              </w:rPr>
            </w:pPr>
            <w:r>
              <w:rPr>
                <w:rFonts w:ascii="Arial" w:cs="Arial" w:eastAsia="Arial" w:hAnsi="Arial"/>
                <w:sz w:val="15"/>
                <w:szCs w:val="15"/>
                <w:b w:val="1"/>
                <w:bCs w:val="1"/>
                <w:color w:val="auto"/>
              </w:rPr>
              <w:t>ASSETS</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5720" w:type="dxa"/>
            <w:vAlign w:val="bottom"/>
            <w:gridSpan w:val="2"/>
          </w:tcPr>
          <w:p>
            <w:pPr>
              <w:spacing w:after="0"/>
              <w:rPr>
                <w:sz w:val="20"/>
                <w:szCs w:val="20"/>
                <w:color w:val="auto"/>
              </w:rPr>
            </w:pPr>
            <w:r>
              <w:rPr>
                <w:rFonts w:ascii="Arial" w:cs="Arial" w:eastAsia="Arial" w:hAnsi="Arial"/>
                <w:sz w:val="15"/>
                <w:szCs w:val="15"/>
                <w:color w:val="auto"/>
              </w:rPr>
              <w:t>Current assets:</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700" w:type="dxa"/>
            <w:vAlign w:val="bottom"/>
            <w:shd w:val="clear" w:color="auto" w:fill="CCEEFF"/>
          </w:tcPr>
          <w:p>
            <w:pPr>
              <w:ind w:left="260"/>
              <w:spacing w:after="0"/>
              <w:rPr>
                <w:sz w:val="20"/>
                <w:szCs w:val="20"/>
                <w:color w:val="auto"/>
              </w:rPr>
            </w:pPr>
            <w:r>
              <w:rPr>
                <w:rFonts w:ascii="Arial" w:cs="Arial" w:eastAsia="Arial" w:hAnsi="Arial"/>
                <w:sz w:val="15"/>
                <w:szCs w:val="15"/>
                <w:color w:val="auto"/>
              </w:rPr>
              <w:t>Cash and cash equivalents</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1,240</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780" w:type="dxa"/>
            <w:vAlign w:val="bottom"/>
            <w:tcBorders>
              <w:right w:val="single" w:sz="8" w:color="CCEEFF"/>
            </w:tcBorders>
            <w:shd w:val="clear" w:color="auto" w:fill="CCEEFF"/>
          </w:tcPr>
          <w:p>
            <w:pPr>
              <w:jc w:val="right"/>
              <w:ind w:right="3"/>
              <w:spacing w:after="0"/>
              <w:rPr>
                <w:sz w:val="20"/>
                <w:szCs w:val="20"/>
                <w:color w:val="auto"/>
              </w:rPr>
            </w:pPr>
            <w:r>
              <w:rPr>
                <w:rFonts w:ascii="Arial" w:cs="Arial" w:eastAsia="Arial" w:hAnsi="Arial"/>
                <w:sz w:val="15"/>
                <w:szCs w:val="15"/>
                <w:color w:val="auto"/>
              </w:rPr>
              <w:t>1,892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700" w:type="dxa"/>
            <w:vAlign w:val="bottom"/>
          </w:tcPr>
          <w:p>
            <w:pPr>
              <w:ind w:left="260"/>
              <w:spacing w:after="0"/>
              <w:rPr>
                <w:sz w:val="20"/>
                <w:szCs w:val="20"/>
                <w:color w:val="auto"/>
              </w:rPr>
            </w:pPr>
            <w:r>
              <w:rPr>
                <w:rFonts w:ascii="Arial" w:cs="Arial" w:eastAsia="Arial" w:hAnsi="Arial"/>
                <w:sz w:val="15"/>
                <w:szCs w:val="15"/>
                <w:color w:val="auto"/>
              </w:rPr>
              <w:t>Marketable securities</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20,550</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ind w:right="3"/>
              <w:spacing w:after="0"/>
              <w:rPr>
                <w:sz w:val="20"/>
                <w:szCs w:val="20"/>
                <w:color w:val="auto"/>
              </w:rPr>
            </w:pPr>
            <w:r>
              <w:rPr>
                <w:rFonts w:ascii="Arial" w:cs="Arial" w:eastAsia="Arial" w:hAnsi="Arial"/>
                <w:sz w:val="15"/>
                <w:szCs w:val="15"/>
                <w:color w:val="auto"/>
              </w:rPr>
              <w:t>15,800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700" w:type="dxa"/>
            <w:vAlign w:val="bottom"/>
            <w:shd w:val="clear" w:color="auto" w:fill="CCEEFF"/>
          </w:tcPr>
          <w:p>
            <w:pPr>
              <w:ind w:left="260"/>
              <w:spacing w:after="0"/>
              <w:rPr>
                <w:sz w:val="20"/>
                <w:szCs w:val="20"/>
                <w:color w:val="auto"/>
              </w:rPr>
            </w:pPr>
            <w:r>
              <w:rPr>
                <w:rFonts w:ascii="Arial" w:cs="Arial" w:eastAsia="Arial" w:hAnsi="Arial"/>
                <w:sz w:val="15"/>
                <w:szCs w:val="15"/>
                <w:color w:val="auto"/>
              </w:rPr>
              <w:t>Accounts receivable</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7,784</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ind w:right="3"/>
              <w:spacing w:after="0"/>
              <w:rPr>
                <w:sz w:val="20"/>
                <w:szCs w:val="20"/>
                <w:color w:val="auto"/>
              </w:rPr>
            </w:pPr>
            <w:r>
              <w:rPr>
                <w:rFonts w:ascii="Arial" w:cs="Arial" w:eastAsia="Arial" w:hAnsi="Arial"/>
                <w:sz w:val="15"/>
                <w:szCs w:val="15"/>
                <w:color w:val="auto"/>
              </w:rPr>
              <w:t>6,859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700" w:type="dxa"/>
            <w:vAlign w:val="bottom"/>
          </w:tcPr>
          <w:p>
            <w:pPr>
              <w:ind w:left="260"/>
              <w:spacing w:after="0"/>
              <w:rPr>
                <w:sz w:val="20"/>
                <w:szCs w:val="20"/>
                <w:color w:val="auto"/>
              </w:rPr>
            </w:pPr>
            <w:r>
              <w:rPr>
                <w:rFonts w:ascii="Arial" w:cs="Arial" w:eastAsia="Arial" w:hAnsi="Arial"/>
                <w:sz w:val="15"/>
                <w:szCs w:val="15"/>
                <w:color w:val="auto"/>
              </w:rPr>
              <w:t>Inventories</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7,025</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ind w:right="3"/>
              <w:spacing w:after="0"/>
              <w:rPr>
                <w:sz w:val="20"/>
                <w:szCs w:val="20"/>
                <w:color w:val="auto"/>
              </w:rPr>
            </w:pPr>
            <w:r>
              <w:rPr>
                <w:rFonts w:ascii="Arial" w:cs="Arial" w:eastAsia="Arial" w:hAnsi="Arial"/>
                <w:sz w:val="15"/>
                <w:szCs w:val="15"/>
                <w:color w:val="auto"/>
              </w:rPr>
              <w:t>5,806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700" w:type="dxa"/>
            <w:vAlign w:val="bottom"/>
            <w:shd w:val="clear" w:color="auto" w:fill="CCEEFF"/>
          </w:tcPr>
          <w:p>
            <w:pPr>
              <w:ind w:left="260"/>
              <w:spacing w:after="0"/>
              <w:rPr>
                <w:sz w:val="20"/>
                <w:szCs w:val="20"/>
                <w:color w:val="auto"/>
              </w:rPr>
            </w:pPr>
            <w:r>
              <w:rPr>
                <w:rFonts w:ascii="Arial" w:cs="Arial" w:eastAsia="Arial" w:hAnsi="Arial"/>
                <w:sz w:val="15"/>
                <w:szCs w:val="15"/>
                <w:color w:val="auto"/>
              </w:rPr>
              <w:t>Income tax receivable</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2,607</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ind w:right="3"/>
              <w:spacing w:after="0"/>
              <w:rPr>
                <w:sz w:val="20"/>
                <w:szCs w:val="20"/>
                <w:color w:val="auto"/>
              </w:rPr>
            </w:pPr>
            <w:r>
              <w:rPr>
                <w:rFonts w:ascii="Arial" w:cs="Arial" w:eastAsia="Arial" w:hAnsi="Arial"/>
                <w:sz w:val="15"/>
                <w:szCs w:val="15"/>
                <w:color w:val="auto"/>
              </w:rPr>
              <w:t>3,952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700" w:type="dxa"/>
            <w:vAlign w:val="bottom"/>
          </w:tcPr>
          <w:p>
            <w:pPr>
              <w:ind w:left="260"/>
              <w:spacing w:after="0"/>
              <w:rPr>
                <w:sz w:val="20"/>
                <w:szCs w:val="20"/>
                <w:color w:val="auto"/>
              </w:rPr>
            </w:pPr>
            <w:r>
              <w:rPr>
                <w:rFonts w:ascii="Arial" w:cs="Arial" w:eastAsia="Arial" w:hAnsi="Arial"/>
                <w:sz w:val="15"/>
                <w:szCs w:val="15"/>
                <w:color w:val="auto"/>
              </w:rPr>
              <w:t>Other current assets</w:t>
            </w:r>
          </w:p>
        </w:tc>
        <w:tc>
          <w:tcPr>
            <w:tcW w:w="1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383</w:t>
            </w:r>
          </w:p>
        </w:tc>
        <w:tc>
          <w:tcPr>
            <w:tcW w:w="1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570</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700" w:type="dxa"/>
            <w:vAlign w:val="bottom"/>
            <w:shd w:val="clear" w:color="auto" w:fill="CCEEFF"/>
          </w:tcPr>
          <w:p>
            <w:pPr>
              <w:ind w:left="400"/>
              <w:spacing w:after="0"/>
              <w:rPr>
                <w:sz w:val="20"/>
                <w:szCs w:val="20"/>
                <w:color w:val="auto"/>
              </w:rPr>
            </w:pPr>
            <w:r>
              <w:rPr>
                <w:rFonts w:ascii="Arial" w:cs="Arial" w:eastAsia="Arial" w:hAnsi="Arial"/>
                <w:sz w:val="15"/>
                <w:szCs w:val="15"/>
                <w:color w:val="auto"/>
              </w:rPr>
              <w:t>Total current assets</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39,589</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jc w:val="right"/>
              <w:ind w:right="3"/>
              <w:spacing w:after="0"/>
              <w:rPr>
                <w:sz w:val="20"/>
                <w:szCs w:val="20"/>
                <w:color w:val="auto"/>
              </w:rPr>
            </w:pPr>
            <w:r>
              <w:rPr>
                <w:rFonts w:ascii="Arial" w:cs="Arial" w:eastAsia="Arial" w:hAnsi="Arial"/>
                <w:sz w:val="15"/>
                <w:szCs w:val="15"/>
                <w:color w:val="auto"/>
              </w:rPr>
              <w:t>34,879</w:t>
            </w:r>
          </w:p>
        </w:tc>
        <w:tc>
          <w:tcPr>
            <w:tcW w:w="0" w:type="dxa"/>
            <w:vAlign w:val="bottom"/>
          </w:tcPr>
          <w:p>
            <w:pPr>
              <w:spacing w:after="0"/>
              <w:rPr>
                <w:sz w:val="1"/>
                <w:szCs w:val="1"/>
                <w:color w:val="auto"/>
              </w:rPr>
            </w:pPr>
          </w:p>
        </w:tc>
      </w:tr>
      <w:tr>
        <w:trPr>
          <w:trHeight w:val="208"/>
        </w:trPr>
        <w:tc>
          <w:tcPr>
            <w:tcW w:w="572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5"/>
                <w:szCs w:val="15"/>
                <w:color w:val="auto"/>
              </w:rPr>
              <w:t>Property and equipment, net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1,647</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ind w:right="3"/>
              <w:spacing w:after="0"/>
              <w:rPr>
                <w:sz w:val="20"/>
                <w:szCs w:val="20"/>
                <w:color w:val="auto"/>
              </w:rPr>
            </w:pPr>
            <w:r>
              <w:rPr>
                <w:rFonts w:ascii="Arial" w:cs="Arial" w:eastAsia="Arial" w:hAnsi="Arial"/>
                <w:sz w:val="15"/>
                <w:szCs w:val="15"/>
                <w:color w:val="auto"/>
              </w:rPr>
              <w:t>2,805</w:t>
            </w:r>
          </w:p>
        </w:tc>
        <w:tc>
          <w:tcPr>
            <w:tcW w:w="0" w:type="dxa"/>
            <w:vAlign w:val="bottom"/>
          </w:tcPr>
          <w:p>
            <w:pPr>
              <w:spacing w:after="0"/>
              <w:rPr>
                <w:sz w:val="1"/>
                <w:szCs w:val="1"/>
                <w:color w:val="auto"/>
              </w:rPr>
            </w:pPr>
          </w:p>
        </w:tc>
      </w:tr>
      <w:tr>
        <w:trPr>
          <w:trHeight w:val="208"/>
        </w:trPr>
        <w:tc>
          <w:tcPr>
            <w:tcW w:w="5720" w:type="dxa"/>
            <w:vAlign w:val="bottom"/>
            <w:gridSpan w:val="2"/>
          </w:tcPr>
          <w:p>
            <w:pPr>
              <w:spacing w:after="0"/>
              <w:rPr>
                <w:sz w:val="20"/>
                <w:szCs w:val="20"/>
                <w:color w:val="auto"/>
              </w:rPr>
            </w:pPr>
            <w:r>
              <w:rPr>
                <w:rFonts w:ascii="Arial" w:cs="Arial" w:eastAsia="Arial" w:hAnsi="Arial"/>
                <w:sz w:val="15"/>
                <w:szCs w:val="15"/>
                <w:color w:val="auto"/>
              </w:rPr>
              <w:t>Intangibles, net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154</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ind w:right="3"/>
              <w:spacing w:after="0"/>
              <w:rPr>
                <w:sz w:val="20"/>
                <w:szCs w:val="20"/>
                <w:color w:val="auto"/>
              </w:rPr>
            </w:pPr>
            <w:r>
              <w:rPr>
                <w:rFonts w:ascii="Arial" w:cs="Arial" w:eastAsia="Arial" w:hAnsi="Arial"/>
                <w:sz w:val="15"/>
                <w:szCs w:val="15"/>
                <w:color w:val="auto"/>
              </w:rPr>
              <w:t>322</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Other assets</w:t>
            </w:r>
          </w:p>
        </w:tc>
        <w:tc>
          <w:tcPr>
            <w:tcW w:w="1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15</w:t>
            </w:r>
          </w:p>
        </w:tc>
        <w:tc>
          <w:tcPr>
            <w:tcW w:w="1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right w:val="single" w:sz="8" w:color="CCEEFF"/>
            </w:tcBorders>
            <w:shd w:val="clear" w:color="auto" w:fill="CCEEFF"/>
          </w:tcPr>
          <w:p>
            <w:pPr>
              <w:jc w:val="right"/>
              <w:ind w:right="3"/>
              <w:spacing w:after="0"/>
              <w:rPr>
                <w:sz w:val="20"/>
                <w:szCs w:val="20"/>
                <w:color w:val="auto"/>
              </w:rPr>
            </w:pPr>
            <w:r>
              <w:rPr>
                <w:rFonts w:ascii="Arial" w:cs="Arial" w:eastAsia="Arial" w:hAnsi="Arial"/>
                <w:sz w:val="15"/>
                <w:szCs w:val="15"/>
                <w:color w:val="auto"/>
              </w:rPr>
              <w:t>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5700" w:type="dxa"/>
            <w:vAlign w:val="bottom"/>
          </w:tcPr>
          <w:p>
            <w:pPr>
              <w:ind w:left="400"/>
              <w:spacing w:after="0"/>
              <w:rPr>
                <w:sz w:val="20"/>
                <w:szCs w:val="20"/>
                <w:color w:val="auto"/>
              </w:rPr>
            </w:pPr>
            <w:r>
              <w:rPr>
                <w:rFonts w:ascii="Arial" w:cs="Arial" w:eastAsia="Arial" w:hAnsi="Arial"/>
                <w:sz w:val="15"/>
                <w:szCs w:val="15"/>
                <w:color w:val="auto"/>
              </w:rPr>
              <w:t>Total assets</w:t>
            </w:r>
          </w:p>
        </w:tc>
        <w:tc>
          <w:tcPr>
            <w:tcW w:w="3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41,405</w:t>
            </w:r>
          </w:p>
        </w:tc>
        <w:tc>
          <w:tcPr>
            <w:tcW w:w="4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780" w:type="dxa"/>
            <w:vAlign w:val="bottom"/>
          </w:tcPr>
          <w:p>
            <w:pPr>
              <w:jc w:val="right"/>
              <w:ind w:right="3"/>
              <w:spacing w:after="0"/>
              <w:rPr>
                <w:sz w:val="20"/>
                <w:szCs w:val="20"/>
                <w:color w:val="auto"/>
              </w:rPr>
            </w:pPr>
            <w:r>
              <w:rPr>
                <w:rFonts w:ascii="Arial" w:cs="Arial" w:eastAsia="Arial" w:hAnsi="Arial"/>
                <w:sz w:val="15"/>
                <w:szCs w:val="15"/>
                <w:color w:val="auto"/>
              </w:rPr>
              <w:t>38,021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57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tcBorders>
              <w:right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700" w:type="dxa"/>
            <w:vAlign w:val="bottom"/>
          </w:tcPr>
          <w:p>
            <w:pPr>
              <w:ind w:left="1180"/>
              <w:spacing w:after="0"/>
              <w:rPr>
                <w:sz w:val="20"/>
                <w:szCs w:val="20"/>
                <w:color w:val="auto"/>
              </w:rPr>
            </w:pPr>
            <w:r>
              <w:rPr>
                <w:rFonts w:ascii="Arial" w:cs="Arial" w:eastAsia="Arial" w:hAnsi="Arial"/>
                <w:sz w:val="15"/>
                <w:szCs w:val="15"/>
                <w:b w:val="1"/>
                <w:bCs w:val="1"/>
                <w:color w:val="auto"/>
              </w:rPr>
              <w:t>LIABILITIES AND SHAREHOLDERS' EQUITY</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5"/>
                <w:szCs w:val="15"/>
                <w:color w:val="auto"/>
              </w:rPr>
              <w:t>Current liabilities:</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700" w:type="dxa"/>
            <w:vAlign w:val="bottom"/>
          </w:tcPr>
          <w:p>
            <w:pPr>
              <w:ind w:left="260"/>
              <w:spacing w:after="0"/>
              <w:rPr>
                <w:sz w:val="20"/>
                <w:szCs w:val="20"/>
                <w:color w:val="auto"/>
              </w:rPr>
            </w:pPr>
            <w:r>
              <w:rPr>
                <w:rFonts w:ascii="Arial" w:cs="Arial" w:eastAsia="Arial" w:hAnsi="Arial"/>
                <w:sz w:val="15"/>
                <w:szCs w:val="15"/>
                <w:color w:val="auto"/>
              </w:rPr>
              <w:t>Accounts payable</w:t>
            </w:r>
          </w:p>
        </w:tc>
        <w:tc>
          <w:tcPr>
            <w:tcW w:w="3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2,597</w:t>
            </w:r>
          </w:p>
        </w:tc>
        <w:tc>
          <w:tcPr>
            <w:tcW w:w="4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780" w:type="dxa"/>
            <w:vAlign w:val="bottom"/>
          </w:tcPr>
          <w:p>
            <w:pPr>
              <w:jc w:val="right"/>
              <w:ind w:right="3"/>
              <w:spacing w:after="0"/>
              <w:rPr>
                <w:sz w:val="20"/>
                <w:szCs w:val="20"/>
                <w:color w:val="auto"/>
              </w:rPr>
            </w:pPr>
            <w:r>
              <w:rPr>
                <w:rFonts w:ascii="Arial" w:cs="Arial" w:eastAsia="Arial" w:hAnsi="Arial"/>
                <w:sz w:val="15"/>
                <w:szCs w:val="15"/>
                <w:color w:val="auto"/>
              </w:rPr>
              <w:t>2,163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700" w:type="dxa"/>
            <w:vAlign w:val="bottom"/>
            <w:shd w:val="clear" w:color="auto" w:fill="CCEEFF"/>
          </w:tcPr>
          <w:p>
            <w:pPr>
              <w:ind w:left="260"/>
              <w:spacing w:after="0"/>
              <w:rPr>
                <w:sz w:val="20"/>
                <w:szCs w:val="20"/>
                <w:color w:val="auto"/>
              </w:rPr>
            </w:pPr>
            <w:r>
              <w:rPr>
                <w:rFonts w:ascii="Arial" w:cs="Arial" w:eastAsia="Arial" w:hAnsi="Arial"/>
                <w:sz w:val="15"/>
                <w:szCs w:val="15"/>
                <w:color w:val="auto"/>
              </w:rPr>
              <w:t>Accrued liabilities</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2,397</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ind w:right="3"/>
              <w:spacing w:after="0"/>
              <w:rPr>
                <w:sz w:val="20"/>
                <w:szCs w:val="20"/>
                <w:color w:val="auto"/>
              </w:rPr>
            </w:pPr>
            <w:r>
              <w:rPr>
                <w:rFonts w:ascii="Arial" w:cs="Arial" w:eastAsia="Arial" w:hAnsi="Arial"/>
                <w:sz w:val="15"/>
                <w:szCs w:val="15"/>
                <w:color w:val="auto"/>
              </w:rPr>
              <w:t>5,622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700" w:type="dxa"/>
            <w:vAlign w:val="bottom"/>
          </w:tcPr>
          <w:p>
            <w:pPr>
              <w:ind w:left="260"/>
              <w:spacing w:after="0"/>
              <w:rPr>
                <w:sz w:val="20"/>
                <w:szCs w:val="20"/>
                <w:color w:val="auto"/>
              </w:rPr>
            </w:pPr>
            <w:r>
              <w:rPr>
                <w:rFonts w:ascii="Arial" w:cs="Arial" w:eastAsia="Arial" w:hAnsi="Arial"/>
                <w:sz w:val="15"/>
                <w:szCs w:val="15"/>
                <w:color w:val="auto"/>
              </w:rPr>
              <w:t>Deferred product revenue</w:t>
            </w:r>
          </w:p>
        </w:tc>
        <w:tc>
          <w:tcPr>
            <w:tcW w:w="1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5,871</w:t>
            </w:r>
          </w:p>
        </w:tc>
        <w:tc>
          <w:tcPr>
            <w:tcW w:w="1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5,055</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700" w:type="dxa"/>
            <w:vAlign w:val="bottom"/>
            <w:shd w:val="clear" w:color="auto" w:fill="CCEEFF"/>
          </w:tcPr>
          <w:p>
            <w:pPr>
              <w:ind w:left="400"/>
              <w:spacing w:after="0"/>
              <w:rPr>
                <w:sz w:val="20"/>
                <w:szCs w:val="20"/>
                <w:color w:val="auto"/>
              </w:rPr>
            </w:pPr>
            <w:r>
              <w:rPr>
                <w:rFonts w:ascii="Arial" w:cs="Arial" w:eastAsia="Arial" w:hAnsi="Arial"/>
                <w:sz w:val="15"/>
                <w:szCs w:val="15"/>
                <w:color w:val="auto"/>
              </w:rPr>
              <w:t>Total current liabilities</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10,865</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jc w:val="right"/>
              <w:ind w:right="3"/>
              <w:spacing w:after="0"/>
              <w:rPr>
                <w:sz w:val="20"/>
                <w:szCs w:val="20"/>
                <w:color w:val="auto"/>
              </w:rPr>
            </w:pPr>
            <w:r>
              <w:rPr>
                <w:rFonts w:ascii="Arial" w:cs="Arial" w:eastAsia="Arial" w:hAnsi="Arial"/>
                <w:sz w:val="15"/>
                <w:szCs w:val="15"/>
                <w:color w:val="auto"/>
              </w:rPr>
              <w:t>12,840</w:t>
            </w:r>
          </w:p>
        </w:tc>
        <w:tc>
          <w:tcPr>
            <w:tcW w:w="0" w:type="dxa"/>
            <w:vAlign w:val="bottom"/>
          </w:tcPr>
          <w:p>
            <w:pPr>
              <w:spacing w:after="0"/>
              <w:rPr>
                <w:sz w:val="1"/>
                <w:szCs w:val="1"/>
                <w:color w:val="auto"/>
              </w:rPr>
            </w:pPr>
          </w:p>
        </w:tc>
      </w:tr>
      <w:tr>
        <w:trPr>
          <w:trHeight w:val="208"/>
        </w:trPr>
        <w:tc>
          <w:tcPr>
            <w:tcW w:w="572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Deferred income taxes, net</w:t>
            </w:r>
          </w:p>
        </w:tc>
        <w:tc>
          <w:tcPr>
            <w:tcW w:w="1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128</w:t>
            </w:r>
          </w:p>
        </w:tc>
        <w:tc>
          <w:tcPr>
            <w:tcW w:w="1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right w:val="single" w:sz="8" w:color="CCEEFF"/>
            </w:tcBorders>
            <w:shd w:val="clear" w:color="auto" w:fill="CCEEFF"/>
          </w:tcPr>
          <w:p>
            <w:pPr>
              <w:jc w:val="right"/>
              <w:ind w:right="3"/>
              <w:spacing w:after="0"/>
              <w:rPr>
                <w:sz w:val="20"/>
                <w:szCs w:val="20"/>
                <w:color w:val="auto"/>
              </w:rPr>
            </w:pPr>
            <w:r>
              <w:rPr>
                <w:rFonts w:ascii="Arial" w:cs="Arial" w:eastAsia="Arial" w:hAnsi="Arial"/>
                <w:sz w:val="15"/>
                <w:szCs w:val="15"/>
                <w:color w:val="auto"/>
              </w:rPr>
              <w:t>270</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700" w:type="dxa"/>
            <w:vAlign w:val="bottom"/>
            <w:tcBorders>
              <w:top w:val="single" w:sz="8" w:color="CCEEFF"/>
            </w:tcBorders>
          </w:tcPr>
          <w:p>
            <w:pPr>
              <w:ind w:left="400"/>
              <w:spacing w:after="0"/>
              <w:rPr>
                <w:sz w:val="20"/>
                <w:szCs w:val="20"/>
                <w:color w:val="auto"/>
              </w:rPr>
            </w:pPr>
            <w:r>
              <w:rPr>
                <w:rFonts w:ascii="Arial" w:cs="Arial" w:eastAsia="Arial" w:hAnsi="Arial"/>
                <w:sz w:val="15"/>
                <w:szCs w:val="15"/>
                <w:color w:val="auto"/>
              </w:rPr>
              <w:t>Total liabilities</w:t>
            </w:r>
          </w:p>
        </w:tc>
        <w:tc>
          <w:tcPr>
            <w:tcW w:w="160" w:type="dxa"/>
            <w:vAlign w:val="bottom"/>
            <w:tcBorders>
              <w:top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10,993</w:t>
            </w:r>
          </w:p>
        </w:tc>
        <w:tc>
          <w:tcPr>
            <w:tcW w:w="160" w:type="dxa"/>
            <w:vAlign w:val="bottom"/>
            <w:tcBorders>
              <w:top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rPr>
              <w:t>13,110</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5720" w:type="dxa"/>
            <w:vAlign w:val="bottom"/>
            <w:gridSpan w:val="2"/>
          </w:tcPr>
          <w:p>
            <w:pPr>
              <w:spacing w:after="0"/>
              <w:rPr>
                <w:sz w:val="20"/>
                <w:szCs w:val="20"/>
                <w:color w:val="auto"/>
              </w:rPr>
            </w:pPr>
            <w:r>
              <w:rPr>
                <w:rFonts w:ascii="Arial" w:cs="Arial" w:eastAsia="Arial" w:hAnsi="Arial"/>
                <w:sz w:val="15"/>
                <w:szCs w:val="15"/>
                <w:color w:val="auto"/>
              </w:rPr>
              <w:t>Shareholders' equity:</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70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5"/>
                <w:szCs w:val="15"/>
                <w:color w:val="auto"/>
              </w:rPr>
              <w:t>Total shareholders' equity</w:t>
            </w:r>
          </w:p>
        </w:tc>
        <w:tc>
          <w:tcPr>
            <w:tcW w:w="1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30,412</w:t>
            </w:r>
          </w:p>
        </w:tc>
        <w:tc>
          <w:tcPr>
            <w:tcW w:w="1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right w:val="single" w:sz="8" w:color="CCEEFF"/>
            </w:tcBorders>
            <w:shd w:val="clear" w:color="auto" w:fill="CCEEFF"/>
          </w:tcPr>
          <w:p>
            <w:pPr>
              <w:jc w:val="right"/>
              <w:ind w:right="3"/>
              <w:spacing w:after="0"/>
              <w:rPr>
                <w:sz w:val="20"/>
                <w:szCs w:val="20"/>
                <w:color w:val="auto"/>
              </w:rPr>
            </w:pPr>
            <w:r>
              <w:rPr>
                <w:rFonts w:ascii="Arial" w:cs="Arial" w:eastAsia="Arial" w:hAnsi="Arial"/>
                <w:sz w:val="15"/>
                <w:szCs w:val="15"/>
                <w:color w:val="auto"/>
              </w:rPr>
              <w:t>24,911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5700" w:type="dxa"/>
            <w:vAlign w:val="bottom"/>
          </w:tcPr>
          <w:p>
            <w:pPr>
              <w:ind w:left="540"/>
              <w:spacing w:after="0"/>
              <w:rPr>
                <w:sz w:val="20"/>
                <w:szCs w:val="20"/>
                <w:color w:val="auto"/>
              </w:rPr>
            </w:pPr>
            <w:r>
              <w:rPr>
                <w:rFonts w:ascii="Arial" w:cs="Arial" w:eastAsia="Arial" w:hAnsi="Arial"/>
                <w:sz w:val="15"/>
                <w:szCs w:val="15"/>
                <w:color w:val="auto"/>
              </w:rPr>
              <w:t>Total liabilities and shareholders' equity</w:t>
            </w:r>
          </w:p>
        </w:tc>
        <w:tc>
          <w:tcPr>
            <w:tcW w:w="3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41,405</w:t>
            </w:r>
          </w:p>
        </w:tc>
        <w:tc>
          <w:tcPr>
            <w:tcW w:w="4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780" w:type="dxa"/>
            <w:vAlign w:val="bottom"/>
          </w:tcPr>
          <w:p>
            <w:pPr>
              <w:jc w:val="right"/>
              <w:ind w:right="3"/>
              <w:spacing w:after="0"/>
              <w:rPr>
                <w:sz w:val="20"/>
                <w:szCs w:val="20"/>
                <w:color w:val="auto"/>
              </w:rPr>
            </w:pPr>
            <w:r>
              <w:rPr>
                <w:rFonts w:ascii="Arial" w:cs="Arial" w:eastAsia="Arial" w:hAnsi="Arial"/>
                <w:sz w:val="15"/>
                <w:szCs w:val="15"/>
                <w:color w:val="auto"/>
              </w:rPr>
              <w:t>38,021</w:t>
            </w:r>
          </w:p>
        </w:tc>
        <w:tc>
          <w:tcPr>
            <w:tcW w:w="0" w:type="dxa"/>
            <w:vAlign w:val="bottom"/>
          </w:tcPr>
          <w:p>
            <w:pPr>
              <w:spacing w:after="0"/>
              <w:rPr>
                <w:sz w:val="1"/>
                <w:szCs w:val="1"/>
                <w:color w:val="auto"/>
              </w:rPr>
            </w:pPr>
          </w:p>
        </w:tc>
      </w:tr>
      <w:tr>
        <w:trPr>
          <w:trHeight w:val="20"/>
        </w:trPr>
        <w:tc>
          <w:tcPr>
            <w:tcW w:w="5720" w:type="dxa"/>
            <w:vAlign w:val="bottom"/>
            <w:gridSpan w:val="2"/>
            <w:vMerge w:val="restart"/>
          </w:tcPr>
          <w:p>
            <w:pPr>
              <w:jc w:val="right"/>
              <w:ind w:right="1603"/>
              <w:spacing w:after="0"/>
              <w:rPr>
                <w:sz w:val="20"/>
                <w:szCs w:val="20"/>
                <w:color w:val="auto"/>
              </w:rPr>
            </w:pPr>
            <w:r>
              <w:rPr>
                <w:rFonts w:ascii="Arial" w:cs="Arial" w:eastAsia="Arial" w:hAnsi="Arial"/>
                <w:sz w:val="12"/>
                <w:szCs w:val="12"/>
                <w:color w:val="auto"/>
              </w:rPr>
              <w:t>4</w:t>
            </w: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72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9019"/>
      </w:cols>
      <w:pgMar w:left="1440" w:top="58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2019-12-13T18:12:50Z</dcterms:created>
  <dcterms:modified xsi:type="dcterms:W3CDTF">2019-12-13T18:12:50Z</dcterms:modified>
</cp:coreProperties>
</file>