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BAGLEY E BRYAN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40" w:type="dxa"/>
            <w:vAlign w:val="bottom"/>
            <w:tcBorders>
              <w:top w:val="single" w:sz="8" w:color="0000EE"/>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11/05/2013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CLEARONE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CLRO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8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8"/>
              </w:rPr>
              <w:t>1470 ARLINGTON DRIVE</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SALT LAKE</w:t>
            </w:r>
          </w:p>
        </w:tc>
        <w:tc>
          <w:tcPr>
            <w:tcW w:w="1060" w:type="dxa"/>
            <w:vAlign w:val="bottom"/>
          </w:tcPr>
          <w:p>
            <w:pPr>
              <w:ind w:left="80"/>
              <w:spacing w:after="0"/>
              <w:rPr>
                <w:sz w:val="20"/>
                <w:szCs w:val="20"/>
                <w:color w:val="auto"/>
              </w:rPr>
            </w:pPr>
            <w:r>
              <w:rPr>
                <w:rFonts w:ascii="Arial" w:cs="Arial" w:eastAsia="Arial" w:hAnsi="Arial"/>
                <w:sz w:val="18"/>
                <w:szCs w:val="18"/>
                <w:color w:val="0000FF"/>
              </w:rPr>
              <w:t>UT</w:t>
            </w:r>
          </w:p>
        </w:tc>
        <w:tc>
          <w:tcPr>
            <w:tcW w:w="1140" w:type="dxa"/>
            <w:vAlign w:val="bottom"/>
          </w:tcPr>
          <w:p>
            <w:pPr>
              <w:ind w:left="100"/>
              <w:spacing w:after="0"/>
              <w:rPr>
                <w:sz w:val="20"/>
                <w:szCs w:val="20"/>
                <w:color w:val="auto"/>
              </w:rPr>
            </w:pPr>
            <w:r>
              <w:rPr>
                <w:rFonts w:ascii="Arial" w:cs="Arial" w:eastAsia="Arial" w:hAnsi="Arial"/>
                <w:sz w:val="18"/>
                <w:szCs w:val="18"/>
                <w:color w:val="0000FF"/>
              </w:rPr>
              <w:t>84103</w:t>
            </w:r>
          </w:p>
        </w:tc>
      </w:tr>
      <w:tr>
        <w:trPr>
          <w:trHeight w:val="222"/>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CITY</w:t>
            </w: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7"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tcPr>
          <w:p>
            <w:pPr>
              <w:jc w:val="right"/>
              <w:ind w:right="504"/>
              <w:spacing w:after="0"/>
              <w:rPr>
                <w:sz w:val="20"/>
                <w:szCs w:val="20"/>
                <w:color w:val="auto"/>
              </w:rPr>
            </w:pPr>
            <w:r>
              <w:rPr>
                <w:rFonts w:ascii="Arial" w:cs="Arial" w:eastAsia="Arial" w:hAnsi="Arial"/>
                <w:sz w:val="18"/>
                <w:szCs w:val="18"/>
                <w:color w:val="0000FF"/>
              </w:rPr>
              <w:t>8,602</w:t>
            </w:r>
          </w:p>
        </w:tc>
        <w:tc>
          <w:tcPr>
            <w:tcW w:w="1100" w:type="dxa"/>
            <w:vAlign w:val="bottom"/>
          </w:tcPr>
          <w:p>
            <w:pPr>
              <w:ind w:left="8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right"/>
              <w:ind w:right="424"/>
              <w:spacing w:after="0"/>
              <w:rPr>
                <w:sz w:val="20"/>
                <w:szCs w:val="20"/>
                <w:color w:val="auto"/>
              </w:rPr>
            </w:pPr>
            <w:r>
              <w:rPr>
                <w:rFonts w:ascii="Arial" w:cs="Arial" w:eastAsia="Arial" w:hAnsi="Arial"/>
                <w:sz w:val="18"/>
                <w:szCs w:val="18"/>
                <w:color w:val="0000FF"/>
              </w:rPr>
              <w:t>588,638</w:t>
            </w:r>
          </w:p>
        </w:tc>
        <w:tc>
          <w:tcPr>
            <w:tcW w:w="1100" w:type="dxa"/>
            <w:vAlign w:val="bottom"/>
            <w:tcBorders>
              <w:bottom w:val="single" w:sz="8" w:color="2C2C2C"/>
            </w:tcBorders>
          </w:tcPr>
          <w:p>
            <w:pPr>
              <w:ind w:left="90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358,638 shares of common stock that Mr. Bagley is deemed to indirectly own because they are in revocable trusts for which he acts as a co-trustee with his wife, 30,000 shares that Mr. Bagley is deemed to indirectly own because they are held in his profit sharing account, and 200,000 shares that Mr. Bagley is deemed to indirectly own because he has a pecuniary interest in that number of shares that are held in a irrevocable trust for which Mr. Bagley acts a co-trustee.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E BRYAN BAGLEY</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11/11/2013</w:t>
            </w: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2764" TargetMode="External"/><Relationship Id="rId12"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2019-12-16T20:20:39Z</dcterms:created>
  <dcterms:modified xsi:type="dcterms:W3CDTF">2019-12-16T20:20:39Z</dcterms:modified>
</cp:coreProperties>
</file>