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13,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29" w:lineRule="exact"/>
        <w:rPr>
          <w:sz w:val="20"/>
          <w:szCs w:val="20"/>
          <w:color w:val="auto"/>
        </w:rPr>
      </w:pPr>
    </w:p>
    <w:p>
      <w:pPr>
        <w:ind w:firstLine="8"/>
        <w:spacing w:after="0" w:line="255"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October 13, 2015,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Please refer to the Company's Form 8-K previously filed on October 14, 2015 for information regarding the Company's previous registered public accounting firm, McGladrey LLP.</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years ended December 31, 2014, December 31, 2013 and December 31, 2012 and through October 13, 2015, neither the Company nor anyone acting on its behalf consulted Tanner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14,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2019-12-06T03:42:40Z</dcterms:created>
  <dcterms:modified xsi:type="dcterms:W3CDTF">2019-12-06T03:42:40Z</dcterms:modified>
</cp:coreProperties>
</file>