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 SECURITIES AND EXCHANGE COMMISSION</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53" w:lineRule="exact"/>
        <w:rPr>
          <w:sz w:val="24"/>
          <w:szCs w:val="24"/>
          <w:color w:val="auto"/>
        </w:rPr>
      </w:pPr>
    </w:p>
    <w:p>
      <w:pPr>
        <w:ind w:left="460"/>
        <w:spacing w:after="0"/>
        <w:rPr>
          <w:sz w:val="20"/>
          <w:szCs w:val="20"/>
          <w:color w:val="auto"/>
        </w:rPr>
      </w:pPr>
      <w:r>
        <w:rPr>
          <w:rFonts w:ascii="Arial" w:cs="Arial" w:eastAsia="Arial" w:hAnsi="Arial"/>
          <w:sz w:val="18"/>
          <w:szCs w:val="18"/>
          <w:color w:val="auto"/>
        </w:rPr>
        <w:t>(Mark One)</w:t>
      </w:r>
    </w:p>
    <w:p>
      <w:pPr>
        <w:spacing w:after="0" w:line="221" w:lineRule="exact"/>
        <w:rPr>
          <w:sz w:val="24"/>
          <w:szCs w:val="24"/>
          <w:color w:val="auto"/>
        </w:rPr>
      </w:pPr>
    </w:p>
    <w:p>
      <w:pPr>
        <w:ind w:left="380" w:right="1740" w:hanging="372"/>
        <w:spacing w:after="0" w:line="282" w:lineRule="auto"/>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QUARTERLY REPORT PURSUANT TO SECTION 13 OR 15(D) OF THE SECURITIES EXCHANGE ACT OF 1934 </w:t>
      </w:r>
      <w:r>
        <w:rPr>
          <w:rFonts w:ascii="Arial" w:cs="Arial" w:eastAsia="Arial" w:hAnsi="Arial"/>
          <w:sz w:val="18"/>
          <w:szCs w:val="18"/>
          <w:color w:val="auto"/>
        </w:rPr>
        <w:t xml:space="preserve">For the quarterly period ended </w:t>
      </w:r>
      <w:r>
        <w:rPr>
          <w:rFonts w:ascii="Arial" w:cs="Arial" w:eastAsia="Arial" w:hAnsi="Arial"/>
          <w:sz w:val="18"/>
          <w:szCs w:val="18"/>
          <w:u w:val="single" w:color="auto"/>
          <w:color w:val="auto"/>
        </w:rPr>
        <w:t>June 30, 2023</w:t>
      </w:r>
    </w:p>
    <w:p>
      <w:pPr>
        <w:spacing w:after="0" w:line="162" w:lineRule="exact"/>
        <w:rPr>
          <w:sz w:val="24"/>
          <w:szCs w:val="24"/>
          <w:color w:val="auto"/>
        </w:rPr>
      </w:pPr>
    </w:p>
    <w:p>
      <w:pPr>
        <w:ind w:left="380" w:right="1740" w:hanging="372"/>
        <w:spacing w:after="0" w:line="282" w:lineRule="auto"/>
        <w:tabs>
          <w:tab w:leader="none" w:pos="3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TRANSITION REPORT PURSUANT TO SECTION 13 OR 15(d) OF THE SECURITIES EXCHANGE ACT OF 1934 </w:t>
      </w:r>
      <w:r>
        <w:rPr>
          <w:rFonts w:ascii="Arial" w:cs="Arial" w:eastAsia="Arial" w:hAnsi="Arial"/>
          <w:sz w:val="18"/>
          <w:szCs w:val="18"/>
          <w:color w:val="auto"/>
        </w:rPr>
        <w:t>For the transition period _______ to _______</w:t>
      </w:r>
    </w:p>
    <w:p>
      <w:pPr>
        <w:spacing w:after="0" w:line="162" w:lineRule="exact"/>
        <w:rPr>
          <w:sz w:val="24"/>
          <w:szCs w:val="24"/>
          <w:color w:val="auto"/>
        </w:rPr>
      </w:pPr>
    </w:p>
    <w:p>
      <w:pPr>
        <w:spacing w:after="0"/>
        <w:rPr>
          <w:sz w:val="20"/>
          <w:szCs w:val="20"/>
          <w:color w:val="auto"/>
        </w:rPr>
      </w:pPr>
      <w:r>
        <w:rPr>
          <w:rFonts w:ascii="Arial" w:cs="Arial" w:eastAsia="Arial" w:hAnsi="Arial"/>
          <w:sz w:val="18"/>
          <w:szCs w:val="18"/>
          <w:color w:val="auto"/>
        </w:rPr>
        <w:t>Commission file number:</w:t>
      </w:r>
      <w:r>
        <w:rPr>
          <w:rFonts w:ascii="Arial" w:cs="Arial" w:eastAsia="Arial" w:hAnsi="Arial"/>
          <w:sz w:val="18"/>
          <w:szCs w:val="18"/>
          <w:b w:val="1"/>
          <w:bCs w:val="1"/>
          <w:u w:val="single" w:color="auto"/>
          <w:color w:val="auto"/>
        </w:rPr>
        <w:t>001-33660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CLEARONE, INC.</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920" w:type="dxa"/>
            <w:vAlign w:val="bottom"/>
            <w:tcBorders>
              <w:bottom w:val="single" w:sz="8" w:color="auto"/>
            </w:tcBorders>
            <w:gridSpan w:val="4"/>
          </w:tcPr>
          <w:p>
            <w:pPr>
              <w:jc w:val="center"/>
              <w:ind w:left="510"/>
              <w:spacing w:after="0"/>
              <w:rPr>
                <w:sz w:val="20"/>
                <w:szCs w:val="20"/>
                <w:color w:val="auto"/>
              </w:rPr>
            </w:pPr>
            <w:r>
              <w:rPr>
                <w:rFonts w:ascii="Arial" w:cs="Arial" w:eastAsia="Arial" w:hAnsi="Arial"/>
                <w:sz w:val="18"/>
                <w:szCs w:val="18"/>
                <w:b w:val="1"/>
                <w:bCs w:val="1"/>
                <w:color w:val="auto"/>
                <w:w w:val="91"/>
              </w:rPr>
              <w:t>Delaware</w:t>
            </w:r>
          </w:p>
        </w:tc>
        <w:tc>
          <w:tcPr>
            <w:tcW w:w="6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4540" w:type="dxa"/>
            <w:vAlign w:val="bottom"/>
            <w:tcBorders>
              <w:bottom w:val="single" w:sz="8" w:color="auto"/>
            </w:tcBorders>
            <w:gridSpan w:val="3"/>
          </w:tcPr>
          <w:p>
            <w:pPr>
              <w:jc w:val="right"/>
              <w:ind w:right="2230"/>
              <w:spacing w:after="0"/>
              <w:rPr>
                <w:sz w:val="20"/>
                <w:szCs w:val="20"/>
                <w:color w:val="auto"/>
              </w:rPr>
            </w:pPr>
            <w:r>
              <w:rPr>
                <w:rFonts w:ascii="Arial" w:cs="Arial" w:eastAsia="Arial" w:hAnsi="Arial"/>
                <w:sz w:val="18"/>
                <w:szCs w:val="18"/>
                <w:b w:val="1"/>
                <w:bCs w:val="1"/>
                <w:color w:val="auto"/>
              </w:rPr>
              <w:t>87-0398877</w:t>
            </w:r>
          </w:p>
        </w:tc>
      </w:tr>
      <w:tr>
        <w:trPr>
          <w:trHeight w:val="224"/>
        </w:trPr>
        <w:tc>
          <w:tcPr>
            <w:tcW w:w="4920" w:type="dxa"/>
            <w:vAlign w:val="bottom"/>
            <w:gridSpan w:val="4"/>
          </w:tcPr>
          <w:p>
            <w:pPr>
              <w:jc w:val="center"/>
              <w:ind w:left="51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540" w:type="dxa"/>
            <w:vAlign w:val="bottom"/>
            <w:gridSpan w:val="3"/>
          </w:tcPr>
          <w:p>
            <w:pPr>
              <w:jc w:val="center"/>
              <w:ind w:right="870"/>
              <w:spacing w:after="0"/>
              <w:rPr>
                <w:sz w:val="20"/>
                <w:szCs w:val="20"/>
                <w:color w:val="auto"/>
              </w:rPr>
            </w:pPr>
            <w:r>
              <w:rPr>
                <w:rFonts w:ascii="Arial" w:cs="Arial" w:eastAsia="Arial" w:hAnsi="Arial"/>
                <w:sz w:val="18"/>
                <w:szCs w:val="18"/>
                <w:color w:val="auto"/>
                <w:w w:val="93"/>
              </w:rPr>
              <w:t>(I.R.S. employer identification number)</w:t>
            </w:r>
          </w:p>
        </w:tc>
      </w:tr>
      <w:tr>
        <w:trPr>
          <w:trHeight w:val="445"/>
        </w:trPr>
        <w:tc>
          <w:tcPr>
            <w:tcW w:w="4920" w:type="dxa"/>
            <w:vAlign w:val="bottom"/>
            <w:tcBorders>
              <w:bottom w:val="single" w:sz="8" w:color="auto"/>
            </w:tcBorders>
            <w:gridSpan w:val="4"/>
          </w:tcPr>
          <w:p>
            <w:pPr>
              <w:jc w:val="center"/>
              <w:ind w:left="510"/>
              <w:spacing w:after="0"/>
              <w:rPr>
                <w:sz w:val="20"/>
                <w:szCs w:val="20"/>
                <w:color w:val="auto"/>
              </w:rPr>
            </w:pPr>
            <w:r>
              <w:rPr>
                <w:rFonts w:ascii="Arial" w:cs="Arial" w:eastAsia="Arial" w:hAnsi="Arial"/>
                <w:sz w:val="18"/>
                <w:szCs w:val="18"/>
                <w:b w:val="1"/>
                <w:bCs w:val="1"/>
                <w:color w:val="auto"/>
                <w:w w:val="90"/>
              </w:rPr>
              <w:t>5225 Wiley Post Way, Suite 500, Salt Lake City, Utah</w:t>
            </w:r>
          </w:p>
        </w:tc>
        <w:tc>
          <w:tcPr>
            <w:tcW w:w="6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gridSpan w:val="3"/>
          </w:tcPr>
          <w:p>
            <w:pPr>
              <w:jc w:val="right"/>
              <w:ind w:right="2450"/>
              <w:spacing w:after="0"/>
              <w:rPr>
                <w:sz w:val="20"/>
                <w:szCs w:val="20"/>
                <w:color w:val="auto"/>
              </w:rPr>
            </w:pPr>
            <w:r>
              <w:rPr>
                <w:rFonts w:ascii="Arial" w:cs="Arial" w:eastAsia="Arial" w:hAnsi="Arial"/>
                <w:sz w:val="18"/>
                <w:szCs w:val="18"/>
                <w:b w:val="1"/>
                <w:bCs w:val="1"/>
                <w:color w:val="auto"/>
              </w:rPr>
              <w:t>84116</w:t>
            </w:r>
          </w:p>
        </w:tc>
      </w:tr>
      <w:tr>
        <w:trPr>
          <w:trHeight w:val="224"/>
        </w:trPr>
        <w:tc>
          <w:tcPr>
            <w:tcW w:w="4920" w:type="dxa"/>
            <w:vAlign w:val="bottom"/>
            <w:gridSpan w:val="4"/>
          </w:tcPr>
          <w:p>
            <w:pPr>
              <w:jc w:val="center"/>
              <w:ind w:left="510"/>
              <w:spacing w:after="0"/>
              <w:rPr>
                <w:sz w:val="20"/>
                <w:szCs w:val="20"/>
                <w:color w:val="auto"/>
              </w:rPr>
            </w:pPr>
            <w:r>
              <w:rPr>
                <w:rFonts w:ascii="Arial" w:cs="Arial" w:eastAsia="Arial" w:hAnsi="Arial"/>
                <w:sz w:val="18"/>
                <w:szCs w:val="18"/>
                <w:color w:val="auto"/>
                <w:w w:val="92"/>
              </w:rPr>
              <w:t>(Address of principal executive offices)</w:t>
            </w: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0" w:type="dxa"/>
            <w:vAlign w:val="bottom"/>
          </w:tcPr>
          <w:p>
            <w:pPr>
              <w:jc w:val="center"/>
              <w:ind w:right="1810"/>
              <w:spacing w:after="0"/>
              <w:rPr>
                <w:sz w:val="20"/>
                <w:szCs w:val="20"/>
                <w:color w:val="auto"/>
              </w:rPr>
            </w:pPr>
            <w:r>
              <w:rPr>
                <w:rFonts w:ascii="Arial" w:cs="Arial" w:eastAsia="Arial" w:hAnsi="Arial"/>
                <w:sz w:val="18"/>
                <w:szCs w:val="18"/>
                <w:color w:val="auto"/>
                <w:w w:val="91"/>
              </w:rPr>
              <w:t>(Zip Code)</w:t>
            </w:r>
          </w:p>
        </w:tc>
      </w:tr>
      <w:tr>
        <w:trPr>
          <w:trHeight w:val="391"/>
        </w:trPr>
        <w:tc>
          <w:tcPr>
            <w:tcW w:w="6700" w:type="dxa"/>
            <w:vAlign w:val="bottom"/>
            <w:gridSpan w:val="7"/>
          </w:tcPr>
          <w:p>
            <w:pPr>
              <w:spacing w:after="0"/>
              <w:rPr>
                <w:sz w:val="20"/>
                <w:szCs w:val="20"/>
                <w:color w:val="auto"/>
              </w:rPr>
            </w:pPr>
            <w:r>
              <w:rPr>
                <w:rFonts w:ascii="Arial" w:cs="Arial" w:eastAsia="Arial" w:hAnsi="Arial"/>
                <w:sz w:val="18"/>
                <w:szCs w:val="18"/>
                <w:color w:val="auto"/>
              </w:rPr>
              <w:t>Registrant’s telephone number, including area code: (801) 975-7200</w:t>
            </w: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0"/>
        </w:trPr>
        <w:tc>
          <w:tcPr>
            <w:tcW w:w="3800" w:type="dxa"/>
            <w:vAlign w:val="bottom"/>
            <w:gridSpan w:val="2"/>
          </w:tcPr>
          <w:p>
            <w:pPr>
              <w:spacing w:after="0" w:line="20" w:lineRule="exact"/>
              <w:rPr>
                <w:sz w:val="1"/>
                <w:szCs w:val="1"/>
                <w:color w:val="auto"/>
              </w:rPr>
            </w:pPr>
          </w:p>
        </w:tc>
        <w:tc>
          <w:tcPr>
            <w:tcW w:w="1120" w:type="dxa"/>
            <w:vAlign w:val="bottom"/>
            <w:tcBorders>
              <w:right w:val="single" w:sz="8" w:color="auto"/>
            </w:tcBorders>
            <w:gridSpan w:val="2"/>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r>
      <w:tr>
        <w:trPr>
          <w:trHeight w:val="453"/>
        </w:trPr>
        <w:tc>
          <w:tcPr>
            <w:tcW w:w="4920" w:type="dxa"/>
            <w:vAlign w:val="bottom"/>
            <w:gridSpan w:val="4"/>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432"/>
        </w:trPr>
        <w:tc>
          <w:tcPr>
            <w:tcW w:w="4920" w:type="dxa"/>
            <w:vAlign w:val="bottom"/>
            <w:gridSpan w:val="4"/>
          </w:tcPr>
          <w:p>
            <w:pPr>
              <w:jc w:val="center"/>
              <w:ind w:right="1320"/>
              <w:spacing w:after="0"/>
              <w:rPr>
                <w:sz w:val="20"/>
                <w:szCs w:val="20"/>
                <w:color w:val="auto"/>
              </w:rPr>
            </w:pPr>
            <w:r>
              <w:rPr>
                <w:rFonts w:ascii="Arial" w:cs="Arial" w:eastAsia="Arial" w:hAnsi="Arial"/>
                <w:sz w:val="18"/>
                <w:szCs w:val="18"/>
                <w:b w:val="1"/>
                <w:bCs w:val="1"/>
                <w:color w:val="auto"/>
                <w:w w:val="87"/>
              </w:rPr>
              <w:t>Title of each class</w:t>
            </w:r>
          </w:p>
        </w:tc>
        <w:tc>
          <w:tcPr>
            <w:tcW w:w="178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89"/>
              </w:rPr>
              <w:t>Trading Symbol(s)</w:t>
            </w: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$0.001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780" w:type="dxa"/>
            <w:vAlign w:val="bottom"/>
            <w:tcBorders>
              <w:top w:val="single" w:sz="8" w:color="auto"/>
            </w:tcBorders>
            <w:gridSpan w:val="3"/>
          </w:tcPr>
          <w:p>
            <w:pPr>
              <w:jc w:val="center"/>
              <w:ind w:right="380"/>
              <w:spacing w:after="0"/>
              <w:rPr>
                <w:sz w:val="20"/>
                <w:szCs w:val="20"/>
                <w:color w:val="auto"/>
              </w:rPr>
            </w:pPr>
            <w:r>
              <w:rPr>
                <w:rFonts w:ascii="Arial" w:cs="Arial" w:eastAsia="Arial" w:hAnsi="Arial"/>
                <w:sz w:val="18"/>
                <w:szCs w:val="18"/>
                <w:color w:val="auto"/>
                <w:w w:val="95"/>
              </w:rPr>
              <w:t>CLRO</w:t>
            </w:r>
          </w:p>
        </w:tc>
        <w:tc>
          <w:tcPr>
            <w:tcW w:w="7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The NASDAQ Capital Market</w:t>
            </w:r>
          </w:p>
        </w:tc>
      </w:tr>
    </w:tbl>
    <w:p>
      <w:pPr>
        <w:spacing w:after="0" w:line="187" w:lineRule="exact"/>
        <w:rPr>
          <w:sz w:val="24"/>
          <w:szCs w:val="24"/>
          <w:color w:val="auto"/>
        </w:rPr>
      </w:pPr>
    </w:p>
    <w:p>
      <w:pPr>
        <w:jc w:val="both"/>
        <w:spacing w:after="0" w:line="230" w:lineRule="exact"/>
        <w:rPr>
          <w:sz w:val="20"/>
          <w:szCs w:val="20"/>
          <w:color w:val="auto"/>
        </w:rPr>
      </w:pPr>
      <w:r>
        <w:rPr>
          <w:rFonts w:ascii="Arial" w:cs="Arial" w:eastAsia="Arial" w:hAnsi="Arial"/>
          <w:sz w:val="18"/>
          <w:szCs w:val="18"/>
          <w:color w:val="auto"/>
        </w:rPr>
        <w:t xml:space="preserve">Indicate by check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62" w:lineRule="exact"/>
        <w:rPr>
          <w:sz w:val="24"/>
          <w:szCs w:val="24"/>
          <w:color w:val="auto"/>
        </w:rPr>
      </w:pPr>
    </w:p>
    <w:p>
      <w:pPr>
        <w:jc w:val="both"/>
        <w:spacing w:after="0" w:line="287"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ind w:left="220" w:hanging="212"/>
        <w:spacing w:after="0" w:line="207" w:lineRule="exact"/>
        <w:tabs>
          <w:tab w:leader="none" w:pos="2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16"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240"/>
          </w:cols>
          <w:pgMar w:left="320" w:top="234" w:right="339" w:bottom="1440" w:gutter="0" w:footer="0" w:header="0"/>
        </w:sectPr>
      </w:pPr>
    </w:p>
    <w:p>
      <w:pPr>
        <w:spacing w:after="0" w:line="13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Larger Accelerated Filer </w:t>
      </w:r>
      <w:r>
        <w:rPr>
          <w:rFonts w:ascii="MS PGothic" w:cs="MS PGothic" w:eastAsia="MS PGothic" w:hAnsi="MS PGothic"/>
          <w:sz w:val="16"/>
          <w:szCs w:val="16"/>
          <w:color w:val="auto"/>
        </w:rPr>
        <w:t>☐</w:t>
      </w:r>
    </w:p>
    <w:p>
      <w:pPr>
        <w:spacing w:after="0" w:line="106"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8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46"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4900" w:space="720"/>
            <w:col w:w="5620"/>
          </w:cols>
          <w:pgMar w:left="320" w:top="234" w:right="339" w:bottom="1440" w:gutter="0" w:footer="0" w:header="0"/>
          <w:type w:val="continuous"/>
        </w:sectPr>
      </w:pPr>
    </w:p>
    <w:p>
      <w:pPr>
        <w:spacing w:after="0" w:line="32" w:lineRule="exact"/>
        <w:rPr>
          <w:sz w:val="24"/>
          <w:szCs w:val="24"/>
          <w:color w:val="auto"/>
        </w:rPr>
      </w:pPr>
    </w:p>
    <w:p>
      <w:pPr>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2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70"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of ClearOne common stock outstanding as of August 8, 2023 was 23,958,979.</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 FOR THE QUARTER ENDED JUNE 30, 2023</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880" w:type="dxa"/>
            <w:vAlign w:val="bottom"/>
            <w:gridSpan w:val="5"/>
          </w:tcPr>
          <w:p>
            <w:pPr>
              <w:ind w:left="80"/>
              <w:spacing w:after="0"/>
              <w:rPr>
                <w:sz w:val="20"/>
                <w:szCs w:val="20"/>
                <w:color w:val="auto"/>
              </w:rPr>
            </w:pPr>
            <w:r>
              <w:rPr>
                <w:rFonts w:ascii="Arial" w:cs="Arial" w:eastAsia="Arial" w:hAnsi="Arial"/>
                <w:sz w:val="18"/>
                <w:szCs w:val="18"/>
                <w:b w:val="1"/>
                <w:bCs w:val="1"/>
                <w:color w:val="auto"/>
              </w:rPr>
              <w:t>INDEX</w:t>
            </w:r>
            <w:r>
              <w:rPr>
                <w:rFonts w:ascii="Arial" w:cs="Arial" w:eastAsia="Arial" w:hAnsi="Arial"/>
                <w:sz w:val="18"/>
                <w:szCs w:val="18"/>
                <w:color w:val="auto"/>
              </w:rPr>
              <w:t>​</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0" w:type="dxa"/>
            <w:vAlign w:val="bottom"/>
            <w:shd w:val="clear" w:color="auto" w:fill="CCEEFF"/>
          </w:tcPr>
          <w:p>
            <w:pPr>
              <w:spacing w:after="0"/>
              <w:rPr>
                <w:sz w:val="18"/>
                <w:szCs w:val="18"/>
                <w:color w:val="auto"/>
              </w:rPr>
            </w:pPr>
          </w:p>
        </w:tc>
        <w:tc>
          <w:tcPr>
            <w:tcW w:w="9360" w:type="dxa"/>
            <w:vAlign w:val="bottom"/>
            <w:gridSpan w:val="16"/>
            <w:shd w:val="clear" w:color="auto" w:fill="CCEEFF"/>
          </w:tcPr>
          <w:p>
            <w:pPr>
              <w:ind w:left="120"/>
              <w:spacing w:after="0" w:line="176" w:lineRule="exact"/>
              <w:rPr>
                <w:sz w:val="20"/>
                <w:szCs w:val="20"/>
                <w:color w:val="auto"/>
              </w:rPr>
            </w:pPr>
            <w:r>
              <w:rPr>
                <w:rFonts w:ascii="Arial" w:cs="Arial" w:eastAsia="Arial" w:hAnsi="Arial"/>
                <w:sz w:val="18"/>
                <w:szCs w:val="18"/>
                <w:b w:val="1"/>
                <w:bCs w:val="1"/>
                <w:color w:val="0000EE"/>
              </w:rPr>
              <w:t>PART I - FINANCIAL INFORMATION</w:t>
            </w: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8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280" w:type="dxa"/>
            <w:vAlign w:val="bottom"/>
            <w:tcBorders>
              <w:top w:val="single" w:sz="8" w:color="0000EE"/>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166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1160" w:type="dxa"/>
            <w:vAlign w:val="bottom"/>
            <w:tcBorders>
              <w:top w:val="single" w:sz="8" w:color="CCEEFF"/>
            </w:tcBorders>
          </w:tcPr>
          <w:p>
            <w:pPr>
              <w:spacing w:after="0"/>
              <w:rPr>
                <w:sz w:val="19"/>
                <w:szCs w:val="19"/>
                <w:color w:val="auto"/>
              </w:rPr>
            </w:pPr>
          </w:p>
        </w:tc>
        <w:tc>
          <w:tcPr>
            <w:tcW w:w="1140" w:type="dxa"/>
            <w:vAlign w:val="bottom"/>
            <w:tcBorders>
              <w:top w:val="single" w:sz="8" w:color="CCEEFF"/>
            </w:tcBorders>
          </w:tcPr>
          <w:p>
            <w:pPr>
              <w:spacing w:after="0"/>
              <w:rPr>
                <w:sz w:val="19"/>
                <w:szCs w:val="19"/>
                <w:color w:val="auto"/>
              </w:rPr>
            </w:pPr>
          </w:p>
        </w:tc>
        <w:tc>
          <w:tcPr>
            <w:tcW w:w="1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9360" w:type="dxa"/>
            <w:vAlign w:val="bottom"/>
            <w:gridSpan w:val="16"/>
            <w:shd w:val="clear" w:color="auto" w:fill="CCEEFF"/>
          </w:tcPr>
          <w:p>
            <w:pPr>
              <w:ind w:left="120"/>
              <w:spacing w:after="0" w:line="176" w:lineRule="exact"/>
              <w:rPr>
                <w:sz w:val="20"/>
                <w:szCs w:val="20"/>
                <w:color w:val="auto"/>
              </w:rPr>
            </w:pPr>
            <w:r>
              <w:rPr>
                <w:rFonts w:ascii="Arial" w:cs="Arial" w:eastAsia="Arial" w:hAnsi="Arial"/>
                <w:sz w:val="18"/>
                <w:szCs w:val="18"/>
                <w:color w:val="0000EE"/>
              </w:rPr>
              <w:t>Financial Statements</w:t>
            </w:r>
          </w:p>
        </w:tc>
        <w:tc>
          <w:tcPr>
            <w:tcW w:w="1100" w:type="dxa"/>
            <w:vAlign w:val="bottom"/>
            <w:shd w:val="clear" w:color="auto" w:fill="CCEEFF"/>
          </w:tcPr>
          <w:p>
            <w:pPr>
              <w:jc w:val="center"/>
              <w:ind w:left="110"/>
              <w:spacing w:after="0" w:line="176" w:lineRule="exact"/>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29"/>
        </w:trPr>
        <w:tc>
          <w:tcPr>
            <w:tcW w:w="78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166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1160" w:type="dxa"/>
            <w:vAlign w:val="bottom"/>
            <w:tcBorders>
              <w:top w:val="single" w:sz="8" w:color="CCEEFF"/>
            </w:tcBorders>
          </w:tcPr>
          <w:p>
            <w:pPr>
              <w:spacing w:after="0"/>
              <w:rPr>
                <w:sz w:val="19"/>
                <w:szCs w:val="19"/>
                <w:color w:val="auto"/>
              </w:rPr>
            </w:pPr>
          </w:p>
        </w:tc>
        <w:tc>
          <w:tcPr>
            <w:tcW w:w="1140" w:type="dxa"/>
            <w:vAlign w:val="bottom"/>
            <w:tcBorders>
              <w:top w:val="single" w:sz="8" w:color="CCEEFF"/>
            </w:tcBorders>
          </w:tcPr>
          <w:p>
            <w:pPr>
              <w:spacing w:after="0"/>
              <w:rPr>
                <w:sz w:val="19"/>
                <w:szCs w:val="19"/>
                <w:color w:val="auto"/>
              </w:rPr>
            </w:pPr>
          </w:p>
        </w:tc>
        <w:tc>
          <w:tcPr>
            <w:tcW w:w="1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80" w:type="dxa"/>
            <w:vAlign w:val="bottom"/>
            <w:shd w:val="clear" w:color="auto" w:fill="CCEEFF"/>
          </w:tcPr>
          <w:p>
            <w:pPr>
              <w:spacing w:after="0"/>
              <w:rPr>
                <w:sz w:val="18"/>
                <w:szCs w:val="18"/>
                <w:color w:val="auto"/>
              </w:rPr>
            </w:pPr>
          </w:p>
        </w:tc>
        <w:tc>
          <w:tcPr>
            <w:tcW w:w="9360" w:type="dxa"/>
            <w:vAlign w:val="bottom"/>
            <w:gridSpan w:val="16"/>
            <w:shd w:val="clear" w:color="auto" w:fill="CCEEFF"/>
          </w:tcPr>
          <w:p>
            <w:pPr>
              <w:ind w:left="120"/>
              <w:spacing w:after="0" w:line="176" w:lineRule="exact"/>
              <w:rPr>
                <w:sz w:val="20"/>
                <w:szCs w:val="20"/>
                <w:color w:val="auto"/>
              </w:rPr>
            </w:pPr>
            <w:r>
              <w:rPr>
                <w:rFonts w:ascii="Arial" w:cs="Arial" w:eastAsia="Arial" w:hAnsi="Arial"/>
                <w:sz w:val="18"/>
                <w:szCs w:val="18"/>
                <w:color w:val="0000EE"/>
              </w:rPr>
              <w:t>Unaudited Condensed Consolidated Balance Sheets as of June 30, 2023 and December 31, 2022</w:t>
            </w:r>
          </w:p>
        </w:tc>
        <w:tc>
          <w:tcPr>
            <w:tcW w:w="1100" w:type="dxa"/>
            <w:vAlign w:val="bottom"/>
            <w:shd w:val="clear" w:color="auto" w:fill="CCEEFF"/>
          </w:tcPr>
          <w:p>
            <w:pPr>
              <w:jc w:val="center"/>
              <w:ind w:left="110"/>
              <w:spacing w:after="0" w:line="176" w:lineRule="exact"/>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30"/>
        </w:trPr>
        <w:tc>
          <w:tcPr>
            <w:tcW w:w="78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280" w:type="dxa"/>
            <w:vAlign w:val="bottom"/>
            <w:tcBorders>
              <w:top w:val="single" w:sz="8" w:color="0000EE"/>
            </w:tcBorders>
          </w:tcPr>
          <w:p>
            <w:pPr>
              <w:spacing w:after="0"/>
              <w:rPr>
                <w:sz w:val="19"/>
                <w:szCs w:val="19"/>
                <w:color w:val="auto"/>
              </w:rPr>
            </w:pPr>
          </w:p>
        </w:tc>
        <w:tc>
          <w:tcPr>
            <w:tcW w:w="124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1660" w:type="dxa"/>
            <w:vAlign w:val="bottom"/>
            <w:tcBorders>
              <w:top w:val="single" w:sz="8" w:color="0000EE"/>
            </w:tcBorders>
          </w:tcPr>
          <w:p>
            <w:pPr>
              <w:spacing w:after="0"/>
              <w:rPr>
                <w:sz w:val="19"/>
                <w:szCs w:val="19"/>
                <w:color w:val="auto"/>
              </w:rPr>
            </w:pPr>
          </w:p>
        </w:tc>
        <w:tc>
          <w:tcPr>
            <w:tcW w:w="480" w:type="dxa"/>
            <w:vAlign w:val="bottom"/>
            <w:tcBorders>
              <w:top w:val="single" w:sz="8" w:color="0000EE"/>
            </w:tcBorders>
          </w:tcPr>
          <w:p>
            <w:pPr>
              <w:spacing w:after="0"/>
              <w:rPr>
                <w:sz w:val="19"/>
                <w:szCs w:val="19"/>
                <w:color w:val="auto"/>
              </w:rPr>
            </w:pPr>
          </w:p>
        </w:tc>
        <w:tc>
          <w:tcPr>
            <w:tcW w:w="1160" w:type="dxa"/>
            <w:vAlign w:val="bottom"/>
            <w:tcBorders>
              <w:top w:val="single" w:sz="8" w:color="CCEEFF"/>
            </w:tcBorders>
          </w:tcPr>
          <w:p>
            <w:pPr>
              <w:spacing w:after="0"/>
              <w:rPr>
                <w:sz w:val="19"/>
                <w:szCs w:val="19"/>
                <w:color w:val="auto"/>
              </w:rPr>
            </w:pPr>
          </w:p>
        </w:tc>
        <w:tc>
          <w:tcPr>
            <w:tcW w:w="1140" w:type="dxa"/>
            <w:vAlign w:val="bottom"/>
            <w:tcBorders>
              <w:top w:val="single" w:sz="8" w:color="CCEEFF"/>
            </w:tcBorders>
          </w:tcPr>
          <w:p>
            <w:pPr>
              <w:spacing w:after="0"/>
              <w:rPr>
                <w:sz w:val="19"/>
                <w:szCs w:val="19"/>
                <w:color w:val="auto"/>
              </w:rPr>
            </w:pPr>
          </w:p>
        </w:tc>
        <w:tc>
          <w:tcPr>
            <w:tcW w:w="1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240" w:type="dxa"/>
            <w:vAlign w:val="bottom"/>
            <w:tcBorders>
              <w:bottom w:val="single" w:sz="8" w:color="0000EE"/>
            </w:tcBorders>
            <w:gridSpan w:val="15"/>
            <w:shd w:val="clear" w:color="auto" w:fill="CCEEFF"/>
          </w:tcPr>
          <w:p>
            <w:pPr>
              <w:spacing w:after="0" w:line="176" w:lineRule="exact"/>
              <w:rPr>
                <w:sz w:val="20"/>
                <w:szCs w:val="20"/>
                <w:color w:val="auto"/>
              </w:rPr>
            </w:pPr>
            <w:r>
              <w:rPr>
                <w:rFonts w:ascii="Arial" w:cs="Arial" w:eastAsia="Arial" w:hAnsi="Arial"/>
                <w:sz w:val="18"/>
                <w:szCs w:val="18"/>
                <w:color w:val="0000EE"/>
                <w:w w:val="89"/>
              </w:rPr>
              <w:t>Unaudited Condensed Consolidated Statements of Operations and Comprehensive Loss for the three and six months ended June</w:t>
            </w:r>
          </w:p>
        </w:tc>
        <w:tc>
          <w:tcPr>
            <w:tcW w:w="1100" w:type="dxa"/>
            <w:vAlign w:val="bottom"/>
            <w:tcBorders>
              <w:bottom w:val="single" w:sz="8" w:color="CCEEFF"/>
            </w:tcBorders>
            <w:vMerge w:val="restart"/>
            <w:shd w:val="clear" w:color="auto" w:fill="CCEEFF"/>
          </w:tcPr>
          <w:p>
            <w:pPr>
              <w:jc w:val="center"/>
              <w:ind w:left="110"/>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129"/>
        </w:trPr>
        <w:tc>
          <w:tcPr>
            <w:tcW w:w="780" w:type="dxa"/>
            <w:vAlign w:val="bottom"/>
            <w:shd w:val="clear" w:color="auto" w:fill="CCEEFF"/>
          </w:tcPr>
          <w:p>
            <w:pPr>
              <w:spacing w:after="0"/>
              <w:rPr>
                <w:sz w:val="11"/>
                <w:szCs w:val="11"/>
                <w:color w:val="auto"/>
              </w:rPr>
            </w:pPr>
          </w:p>
        </w:tc>
        <w:tc>
          <w:tcPr>
            <w:tcW w:w="9360" w:type="dxa"/>
            <w:vAlign w:val="bottom"/>
            <w:gridSpan w:val="16"/>
            <w:vMerge w:val="restart"/>
            <w:shd w:val="clear" w:color="auto" w:fill="CCEEFF"/>
          </w:tcPr>
          <w:p>
            <w:pPr>
              <w:ind w:left="120"/>
              <w:spacing w:after="0" w:line="196" w:lineRule="exact"/>
              <w:rPr>
                <w:sz w:val="20"/>
                <w:szCs w:val="20"/>
                <w:color w:val="auto"/>
              </w:rPr>
            </w:pPr>
            <w:r>
              <w:rPr>
                <w:rFonts w:ascii="Arial" w:cs="Arial" w:eastAsia="Arial" w:hAnsi="Arial"/>
                <w:sz w:val="18"/>
                <w:szCs w:val="18"/>
                <w:color w:val="0000EE"/>
              </w:rPr>
              <w:t>30, 2023 and 2022</w:t>
            </w:r>
          </w:p>
        </w:tc>
        <w:tc>
          <w:tcPr>
            <w:tcW w:w="110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780" w:type="dxa"/>
            <w:vAlign w:val="bottom"/>
            <w:shd w:val="clear" w:color="auto" w:fill="CCEEFF"/>
          </w:tcPr>
          <w:p>
            <w:pPr>
              <w:spacing w:after="0"/>
              <w:rPr>
                <w:sz w:val="7"/>
                <w:szCs w:val="7"/>
                <w:color w:val="auto"/>
              </w:rPr>
            </w:pPr>
          </w:p>
        </w:tc>
        <w:tc>
          <w:tcPr>
            <w:tcW w:w="9360" w:type="dxa"/>
            <w:vAlign w:val="bottom"/>
            <w:gridSpan w:val="16"/>
            <w:vMerge w:val="continue"/>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78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166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1160" w:type="dxa"/>
            <w:vAlign w:val="bottom"/>
            <w:tcBorders>
              <w:top w:val="single" w:sz="8" w:color="CCEEFF"/>
            </w:tcBorders>
          </w:tcPr>
          <w:p>
            <w:pPr>
              <w:spacing w:after="0"/>
              <w:rPr>
                <w:sz w:val="19"/>
                <w:szCs w:val="19"/>
                <w:color w:val="auto"/>
              </w:rPr>
            </w:pPr>
          </w:p>
        </w:tc>
        <w:tc>
          <w:tcPr>
            <w:tcW w:w="1140" w:type="dxa"/>
            <w:vAlign w:val="bottom"/>
            <w:tcBorders>
              <w:top w:val="single" w:sz="8" w:color="CCEEFF"/>
            </w:tcBorders>
          </w:tcPr>
          <w:p>
            <w:pPr>
              <w:spacing w:after="0"/>
              <w:rPr>
                <w:sz w:val="19"/>
                <w:szCs w:val="19"/>
                <w:color w:val="auto"/>
              </w:rPr>
            </w:pPr>
          </w:p>
        </w:tc>
        <w:tc>
          <w:tcPr>
            <w:tcW w:w="1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80" w:type="dxa"/>
            <w:vAlign w:val="bottom"/>
            <w:shd w:val="clear" w:color="auto" w:fill="CCEEFF"/>
          </w:tcPr>
          <w:p>
            <w:pPr>
              <w:spacing w:after="0"/>
              <w:rPr>
                <w:sz w:val="18"/>
                <w:szCs w:val="18"/>
                <w:color w:val="auto"/>
              </w:rPr>
            </w:pPr>
          </w:p>
        </w:tc>
        <w:tc>
          <w:tcPr>
            <w:tcW w:w="9360" w:type="dxa"/>
            <w:vAlign w:val="bottom"/>
            <w:gridSpan w:val="16"/>
            <w:shd w:val="clear" w:color="auto" w:fill="CCEEFF"/>
          </w:tcPr>
          <w:p>
            <w:pPr>
              <w:ind w:left="120"/>
              <w:spacing w:after="0" w:line="176" w:lineRule="exact"/>
              <w:rPr>
                <w:sz w:val="20"/>
                <w:szCs w:val="20"/>
                <w:color w:val="auto"/>
              </w:rPr>
            </w:pPr>
            <w:r>
              <w:rPr>
                <w:rFonts w:ascii="Arial" w:cs="Arial" w:eastAsia="Arial" w:hAnsi="Arial"/>
                <w:sz w:val="18"/>
                <w:szCs w:val="18"/>
                <w:color w:val="0000EE"/>
              </w:rPr>
              <w:t>Unaudited Condensed Consolidated Statements of Cash Flows for the six months ended June 30, 2023 and 2022</w:t>
            </w:r>
          </w:p>
        </w:tc>
        <w:tc>
          <w:tcPr>
            <w:tcW w:w="1100" w:type="dxa"/>
            <w:vAlign w:val="bottom"/>
            <w:shd w:val="clear" w:color="auto" w:fill="CCEEFF"/>
          </w:tcPr>
          <w:p>
            <w:pPr>
              <w:jc w:val="center"/>
              <w:ind w:left="110"/>
              <w:spacing w:after="0" w:line="176" w:lineRule="exact"/>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29"/>
        </w:trPr>
        <w:tc>
          <w:tcPr>
            <w:tcW w:w="78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280" w:type="dxa"/>
            <w:vAlign w:val="bottom"/>
            <w:tcBorders>
              <w:top w:val="single" w:sz="8" w:color="0000EE"/>
            </w:tcBorders>
          </w:tcPr>
          <w:p>
            <w:pPr>
              <w:spacing w:after="0"/>
              <w:rPr>
                <w:sz w:val="19"/>
                <w:szCs w:val="19"/>
                <w:color w:val="auto"/>
              </w:rPr>
            </w:pPr>
          </w:p>
        </w:tc>
        <w:tc>
          <w:tcPr>
            <w:tcW w:w="124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1660" w:type="dxa"/>
            <w:vAlign w:val="bottom"/>
            <w:tcBorders>
              <w:top w:val="single" w:sz="8" w:color="0000EE"/>
            </w:tcBorders>
          </w:tcPr>
          <w:p>
            <w:pPr>
              <w:spacing w:after="0"/>
              <w:rPr>
                <w:sz w:val="19"/>
                <w:szCs w:val="19"/>
                <w:color w:val="auto"/>
              </w:rPr>
            </w:pPr>
          </w:p>
        </w:tc>
        <w:tc>
          <w:tcPr>
            <w:tcW w:w="480" w:type="dxa"/>
            <w:vAlign w:val="bottom"/>
            <w:tcBorders>
              <w:top w:val="single" w:sz="8" w:color="0000EE"/>
            </w:tcBorders>
          </w:tcPr>
          <w:p>
            <w:pPr>
              <w:spacing w:after="0"/>
              <w:rPr>
                <w:sz w:val="19"/>
                <w:szCs w:val="19"/>
                <w:color w:val="auto"/>
              </w:rPr>
            </w:pPr>
          </w:p>
        </w:tc>
        <w:tc>
          <w:tcPr>
            <w:tcW w:w="1160" w:type="dxa"/>
            <w:vAlign w:val="bottom"/>
            <w:tcBorders>
              <w:top w:val="single" w:sz="8" w:color="0000EE"/>
            </w:tcBorders>
          </w:tcPr>
          <w:p>
            <w:pPr>
              <w:spacing w:after="0"/>
              <w:rPr>
                <w:sz w:val="19"/>
                <w:szCs w:val="19"/>
                <w:color w:val="auto"/>
              </w:rPr>
            </w:pPr>
          </w:p>
        </w:tc>
        <w:tc>
          <w:tcPr>
            <w:tcW w:w="1140" w:type="dxa"/>
            <w:vAlign w:val="bottom"/>
            <w:tcBorders>
              <w:top w:val="single" w:sz="8" w:color="CCEEFF"/>
            </w:tcBorders>
          </w:tcPr>
          <w:p>
            <w:pPr>
              <w:spacing w:after="0"/>
              <w:rPr>
                <w:sz w:val="19"/>
                <w:szCs w:val="19"/>
                <w:color w:val="auto"/>
              </w:rPr>
            </w:pPr>
          </w:p>
        </w:tc>
        <w:tc>
          <w:tcPr>
            <w:tcW w:w="1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80" w:type="dxa"/>
            <w:vAlign w:val="bottom"/>
            <w:shd w:val="clear" w:color="auto" w:fill="CCEEFF"/>
          </w:tcPr>
          <w:p>
            <w:pPr>
              <w:spacing w:after="0"/>
              <w:rPr>
                <w:sz w:val="18"/>
                <w:szCs w:val="18"/>
                <w:color w:val="auto"/>
              </w:rPr>
            </w:pPr>
          </w:p>
        </w:tc>
        <w:tc>
          <w:tcPr>
            <w:tcW w:w="9360" w:type="dxa"/>
            <w:vAlign w:val="bottom"/>
            <w:gridSpan w:val="16"/>
            <w:shd w:val="clear" w:color="auto" w:fill="CCEEFF"/>
          </w:tcPr>
          <w:p>
            <w:pPr>
              <w:ind w:left="120"/>
              <w:spacing w:after="0" w:line="176" w:lineRule="exact"/>
              <w:rPr>
                <w:sz w:val="20"/>
                <w:szCs w:val="20"/>
                <w:color w:val="auto"/>
              </w:rPr>
            </w:pPr>
            <w:r>
              <w:rPr>
                <w:rFonts w:ascii="Arial" w:cs="Arial" w:eastAsia="Arial" w:hAnsi="Arial"/>
                <w:sz w:val="18"/>
                <w:szCs w:val="18"/>
                <w:color w:val="0000EE"/>
              </w:rPr>
              <w:t>Unaudited Notes to Condensed Consolidated Financial Statements</w:t>
            </w:r>
          </w:p>
        </w:tc>
        <w:tc>
          <w:tcPr>
            <w:tcW w:w="1100" w:type="dxa"/>
            <w:vAlign w:val="bottom"/>
            <w:shd w:val="clear" w:color="auto" w:fill="CCEEFF"/>
          </w:tcPr>
          <w:p>
            <w:pPr>
              <w:jc w:val="center"/>
              <w:ind w:left="110"/>
              <w:spacing w:after="0" w:line="176" w:lineRule="exact"/>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29"/>
        </w:trPr>
        <w:tc>
          <w:tcPr>
            <w:tcW w:w="78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280" w:type="dxa"/>
            <w:vAlign w:val="bottom"/>
            <w:tcBorders>
              <w:top w:val="single" w:sz="8" w:color="0000EE"/>
            </w:tcBorders>
          </w:tcPr>
          <w:p>
            <w:pPr>
              <w:spacing w:after="0"/>
              <w:rPr>
                <w:sz w:val="19"/>
                <w:szCs w:val="19"/>
                <w:color w:val="auto"/>
              </w:rPr>
            </w:pPr>
          </w:p>
        </w:tc>
        <w:tc>
          <w:tcPr>
            <w:tcW w:w="124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166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1160" w:type="dxa"/>
            <w:vAlign w:val="bottom"/>
            <w:tcBorders>
              <w:top w:val="single" w:sz="8" w:color="CCEEFF"/>
            </w:tcBorders>
          </w:tcPr>
          <w:p>
            <w:pPr>
              <w:spacing w:after="0"/>
              <w:rPr>
                <w:sz w:val="19"/>
                <w:szCs w:val="19"/>
                <w:color w:val="auto"/>
              </w:rPr>
            </w:pPr>
          </w:p>
        </w:tc>
        <w:tc>
          <w:tcPr>
            <w:tcW w:w="1140" w:type="dxa"/>
            <w:vAlign w:val="bottom"/>
            <w:tcBorders>
              <w:top w:val="single" w:sz="8" w:color="CCEEFF"/>
            </w:tcBorders>
          </w:tcPr>
          <w:p>
            <w:pPr>
              <w:spacing w:after="0"/>
              <w:rPr>
                <w:sz w:val="19"/>
                <w:szCs w:val="19"/>
                <w:color w:val="auto"/>
              </w:rPr>
            </w:pPr>
          </w:p>
        </w:tc>
        <w:tc>
          <w:tcPr>
            <w:tcW w:w="1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360" w:type="dxa"/>
            <w:vAlign w:val="bottom"/>
            <w:gridSpan w:val="16"/>
            <w:shd w:val="clear" w:color="auto" w:fill="CCEEFF"/>
          </w:tcPr>
          <w:p>
            <w:pPr>
              <w:ind w:left="120"/>
              <w:spacing w:after="0" w:line="176" w:lineRule="exact"/>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1100" w:type="dxa"/>
            <w:vAlign w:val="bottom"/>
            <w:shd w:val="clear" w:color="auto" w:fill="CCEEFF"/>
          </w:tcPr>
          <w:p>
            <w:pPr>
              <w:jc w:val="center"/>
              <w:ind w:left="110"/>
              <w:spacing w:after="0" w:line="176" w:lineRule="exact"/>
              <w:rPr>
                <w:sz w:val="20"/>
                <w:szCs w:val="20"/>
                <w:color w:val="auto"/>
              </w:rPr>
            </w:pPr>
            <w:r>
              <w:rPr>
                <w:rFonts w:ascii="Arial" w:cs="Arial" w:eastAsia="Arial" w:hAnsi="Arial"/>
                <w:sz w:val="18"/>
                <w:szCs w:val="18"/>
                <w:color w:val="auto"/>
                <w:w w:val="89"/>
              </w:rPr>
              <w:t>19</w:t>
            </w:r>
          </w:p>
        </w:tc>
        <w:tc>
          <w:tcPr>
            <w:tcW w:w="0" w:type="dxa"/>
            <w:vAlign w:val="bottom"/>
          </w:tcPr>
          <w:p>
            <w:pPr>
              <w:spacing w:after="0"/>
              <w:rPr>
                <w:sz w:val="1"/>
                <w:szCs w:val="1"/>
                <w:color w:val="auto"/>
              </w:rPr>
            </w:pPr>
          </w:p>
        </w:tc>
      </w:tr>
      <w:tr>
        <w:trPr>
          <w:trHeight w:val="229"/>
        </w:trPr>
        <w:tc>
          <w:tcPr>
            <w:tcW w:w="78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280" w:type="dxa"/>
            <w:vAlign w:val="bottom"/>
            <w:tcBorders>
              <w:top w:val="single" w:sz="8" w:color="0000EE"/>
            </w:tcBorders>
          </w:tcPr>
          <w:p>
            <w:pPr>
              <w:spacing w:after="0"/>
              <w:rPr>
                <w:sz w:val="19"/>
                <w:szCs w:val="19"/>
                <w:color w:val="auto"/>
              </w:rPr>
            </w:pPr>
          </w:p>
        </w:tc>
        <w:tc>
          <w:tcPr>
            <w:tcW w:w="124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1660" w:type="dxa"/>
            <w:vAlign w:val="bottom"/>
            <w:tcBorders>
              <w:top w:val="single" w:sz="8" w:color="0000EE"/>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1160" w:type="dxa"/>
            <w:vAlign w:val="bottom"/>
            <w:tcBorders>
              <w:top w:val="single" w:sz="8" w:color="CCEEFF"/>
            </w:tcBorders>
          </w:tcPr>
          <w:p>
            <w:pPr>
              <w:spacing w:after="0"/>
              <w:rPr>
                <w:sz w:val="19"/>
                <w:szCs w:val="19"/>
                <w:color w:val="auto"/>
              </w:rPr>
            </w:pPr>
          </w:p>
        </w:tc>
        <w:tc>
          <w:tcPr>
            <w:tcW w:w="1140" w:type="dxa"/>
            <w:vAlign w:val="bottom"/>
            <w:tcBorders>
              <w:top w:val="single" w:sz="8" w:color="CCEEFF"/>
            </w:tcBorders>
          </w:tcPr>
          <w:p>
            <w:pPr>
              <w:spacing w:after="0"/>
              <w:rPr>
                <w:sz w:val="19"/>
                <w:szCs w:val="19"/>
                <w:color w:val="auto"/>
              </w:rPr>
            </w:pPr>
          </w:p>
        </w:tc>
        <w:tc>
          <w:tcPr>
            <w:tcW w:w="1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360" w:type="dxa"/>
            <w:vAlign w:val="bottom"/>
            <w:gridSpan w:val="16"/>
            <w:shd w:val="clear" w:color="auto" w:fill="CCEEFF"/>
          </w:tcPr>
          <w:p>
            <w:pPr>
              <w:ind w:left="120"/>
              <w:spacing w:after="0" w:line="176" w:lineRule="exact"/>
              <w:rPr>
                <w:sz w:val="20"/>
                <w:szCs w:val="20"/>
                <w:color w:val="auto"/>
              </w:rPr>
            </w:pPr>
            <w:r>
              <w:rPr>
                <w:rFonts w:ascii="Arial" w:cs="Arial" w:eastAsia="Arial" w:hAnsi="Arial"/>
                <w:sz w:val="18"/>
                <w:szCs w:val="18"/>
                <w:color w:val="0000EE"/>
              </w:rPr>
              <w:t>Quantitative and Qualitative Disclosures About Market Risk</w:t>
            </w:r>
          </w:p>
        </w:tc>
        <w:tc>
          <w:tcPr>
            <w:tcW w:w="1100" w:type="dxa"/>
            <w:vAlign w:val="bottom"/>
            <w:shd w:val="clear" w:color="auto" w:fill="CCEEFF"/>
          </w:tcPr>
          <w:p>
            <w:pPr>
              <w:jc w:val="center"/>
              <w:ind w:left="110"/>
              <w:spacing w:after="0" w:line="176" w:lineRule="exact"/>
              <w:rPr>
                <w:sz w:val="20"/>
                <w:szCs w:val="20"/>
                <w:color w:val="auto"/>
              </w:rPr>
            </w:pPr>
            <w:r>
              <w:rPr>
                <w:rFonts w:ascii="Arial" w:cs="Arial" w:eastAsia="Arial" w:hAnsi="Arial"/>
                <w:sz w:val="18"/>
                <w:szCs w:val="18"/>
                <w:color w:val="auto"/>
                <w:w w:val="89"/>
              </w:rPr>
              <w:t>26</w:t>
            </w:r>
          </w:p>
        </w:tc>
        <w:tc>
          <w:tcPr>
            <w:tcW w:w="0" w:type="dxa"/>
            <w:vAlign w:val="bottom"/>
          </w:tcPr>
          <w:p>
            <w:pPr>
              <w:spacing w:after="0"/>
              <w:rPr>
                <w:sz w:val="1"/>
                <w:szCs w:val="1"/>
                <w:color w:val="auto"/>
              </w:rPr>
            </w:pPr>
          </w:p>
        </w:tc>
      </w:tr>
      <w:tr>
        <w:trPr>
          <w:trHeight w:val="230"/>
        </w:trPr>
        <w:tc>
          <w:tcPr>
            <w:tcW w:w="78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280" w:type="dxa"/>
            <w:vAlign w:val="bottom"/>
            <w:tcBorders>
              <w:top w:val="single" w:sz="8" w:color="0000EE"/>
            </w:tcBorders>
          </w:tcPr>
          <w:p>
            <w:pPr>
              <w:spacing w:after="0"/>
              <w:rPr>
                <w:sz w:val="19"/>
                <w:szCs w:val="19"/>
                <w:color w:val="auto"/>
              </w:rPr>
            </w:pPr>
          </w:p>
        </w:tc>
        <w:tc>
          <w:tcPr>
            <w:tcW w:w="1240" w:type="dxa"/>
            <w:vAlign w:val="bottom"/>
            <w:tcBorders>
              <w:top w:val="single" w:sz="8" w:color="0000EE"/>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166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1160" w:type="dxa"/>
            <w:vAlign w:val="bottom"/>
            <w:tcBorders>
              <w:top w:val="single" w:sz="8" w:color="CCEEFF"/>
            </w:tcBorders>
          </w:tcPr>
          <w:p>
            <w:pPr>
              <w:spacing w:after="0"/>
              <w:rPr>
                <w:sz w:val="19"/>
                <w:szCs w:val="19"/>
                <w:color w:val="auto"/>
              </w:rPr>
            </w:pPr>
          </w:p>
        </w:tc>
        <w:tc>
          <w:tcPr>
            <w:tcW w:w="1140" w:type="dxa"/>
            <w:vAlign w:val="bottom"/>
            <w:tcBorders>
              <w:top w:val="single" w:sz="8" w:color="CCEEFF"/>
            </w:tcBorders>
          </w:tcPr>
          <w:p>
            <w:pPr>
              <w:spacing w:after="0"/>
              <w:rPr>
                <w:sz w:val="19"/>
                <w:szCs w:val="19"/>
                <w:color w:val="auto"/>
              </w:rPr>
            </w:pPr>
          </w:p>
        </w:tc>
        <w:tc>
          <w:tcPr>
            <w:tcW w:w="1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360" w:type="dxa"/>
            <w:vAlign w:val="bottom"/>
            <w:gridSpan w:val="16"/>
            <w:shd w:val="clear" w:color="auto" w:fill="CCEEFF"/>
          </w:tcPr>
          <w:p>
            <w:pPr>
              <w:ind w:left="120"/>
              <w:spacing w:after="0" w:line="176" w:lineRule="exact"/>
              <w:rPr>
                <w:sz w:val="20"/>
                <w:szCs w:val="20"/>
                <w:color w:val="auto"/>
              </w:rPr>
            </w:pPr>
            <w:r>
              <w:rPr>
                <w:rFonts w:ascii="Arial" w:cs="Arial" w:eastAsia="Arial" w:hAnsi="Arial"/>
                <w:sz w:val="18"/>
                <w:szCs w:val="18"/>
                <w:color w:val="0000EE"/>
              </w:rPr>
              <w:t>Controls and Procedures</w:t>
            </w:r>
          </w:p>
        </w:tc>
        <w:tc>
          <w:tcPr>
            <w:tcW w:w="1100" w:type="dxa"/>
            <w:vAlign w:val="bottom"/>
            <w:shd w:val="clear" w:color="auto" w:fill="CCEEFF"/>
          </w:tcPr>
          <w:p>
            <w:pPr>
              <w:jc w:val="center"/>
              <w:ind w:left="110"/>
              <w:spacing w:after="0" w:line="176" w:lineRule="exact"/>
              <w:rPr>
                <w:sz w:val="20"/>
                <w:szCs w:val="20"/>
                <w:color w:val="auto"/>
              </w:rPr>
            </w:pPr>
            <w:r>
              <w:rPr>
                <w:rFonts w:ascii="Arial" w:cs="Arial" w:eastAsia="Arial" w:hAnsi="Arial"/>
                <w:sz w:val="18"/>
                <w:szCs w:val="18"/>
                <w:color w:val="auto"/>
                <w:w w:val="89"/>
              </w:rPr>
              <w:t>26</w:t>
            </w:r>
          </w:p>
        </w:tc>
        <w:tc>
          <w:tcPr>
            <w:tcW w:w="0" w:type="dxa"/>
            <w:vAlign w:val="bottom"/>
          </w:tcPr>
          <w:p>
            <w:pPr>
              <w:spacing w:after="0"/>
              <w:rPr>
                <w:sz w:val="1"/>
                <w:szCs w:val="1"/>
                <w:color w:val="auto"/>
              </w:rPr>
            </w:pPr>
          </w:p>
        </w:tc>
      </w:tr>
      <w:tr>
        <w:trPr>
          <w:trHeight w:val="230"/>
        </w:trPr>
        <w:tc>
          <w:tcPr>
            <w:tcW w:w="78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166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1160" w:type="dxa"/>
            <w:vAlign w:val="bottom"/>
            <w:tcBorders>
              <w:top w:val="single" w:sz="8" w:color="CCEEFF"/>
            </w:tcBorders>
          </w:tcPr>
          <w:p>
            <w:pPr>
              <w:spacing w:after="0"/>
              <w:rPr>
                <w:sz w:val="19"/>
                <w:szCs w:val="19"/>
                <w:color w:val="auto"/>
              </w:rPr>
            </w:pPr>
          </w:p>
        </w:tc>
        <w:tc>
          <w:tcPr>
            <w:tcW w:w="1140" w:type="dxa"/>
            <w:vAlign w:val="bottom"/>
            <w:tcBorders>
              <w:top w:val="single" w:sz="8" w:color="CCEEFF"/>
            </w:tcBorders>
          </w:tcPr>
          <w:p>
            <w:pPr>
              <w:spacing w:after="0"/>
              <w:rPr>
                <w:sz w:val="19"/>
                <w:szCs w:val="19"/>
                <w:color w:val="auto"/>
              </w:rPr>
            </w:pPr>
          </w:p>
        </w:tc>
        <w:tc>
          <w:tcPr>
            <w:tcW w:w="1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80" w:type="dxa"/>
            <w:vAlign w:val="bottom"/>
            <w:shd w:val="clear" w:color="auto" w:fill="CCEEFF"/>
          </w:tcPr>
          <w:p>
            <w:pPr>
              <w:spacing w:after="0"/>
              <w:rPr>
                <w:sz w:val="18"/>
                <w:szCs w:val="18"/>
                <w:color w:val="auto"/>
              </w:rPr>
            </w:pPr>
          </w:p>
        </w:tc>
        <w:tc>
          <w:tcPr>
            <w:tcW w:w="9360" w:type="dxa"/>
            <w:vAlign w:val="bottom"/>
            <w:gridSpan w:val="16"/>
            <w:shd w:val="clear" w:color="auto" w:fill="CCEEFF"/>
          </w:tcPr>
          <w:p>
            <w:pPr>
              <w:ind w:left="120"/>
              <w:spacing w:after="0" w:line="176" w:lineRule="exact"/>
              <w:rPr>
                <w:sz w:val="20"/>
                <w:szCs w:val="20"/>
                <w:color w:val="auto"/>
              </w:rPr>
            </w:pPr>
            <w:r>
              <w:rPr>
                <w:rFonts w:ascii="Arial" w:cs="Arial" w:eastAsia="Arial" w:hAnsi="Arial"/>
                <w:sz w:val="18"/>
                <w:szCs w:val="18"/>
                <w:b w:val="1"/>
                <w:bCs w:val="1"/>
                <w:color w:val="0000EE"/>
              </w:rPr>
              <w:t>PART II - OTHER INFORMATION</w:t>
            </w: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8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166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1160" w:type="dxa"/>
            <w:vAlign w:val="bottom"/>
            <w:tcBorders>
              <w:top w:val="single" w:sz="8" w:color="CCEEFF"/>
            </w:tcBorders>
          </w:tcPr>
          <w:p>
            <w:pPr>
              <w:spacing w:after="0"/>
              <w:rPr>
                <w:sz w:val="19"/>
                <w:szCs w:val="19"/>
                <w:color w:val="auto"/>
              </w:rPr>
            </w:pPr>
          </w:p>
        </w:tc>
        <w:tc>
          <w:tcPr>
            <w:tcW w:w="1140" w:type="dxa"/>
            <w:vAlign w:val="bottom"/>
            <w:tcBorders>
              <w:top w:val="single" w:sz="8" w:color="CCEEFF"/>
            </w:tcBorders>
          </w:tcPr>
          <w:p>
            <w:pPr>
              <w:spacing w:after="0"/>
              <w:rPr>
                <w:sz w:val="19"/>
                <w:szCs w:val="19"/>
                <w:color w:val="auto"/>
              </w:rPr>
            </w:pPr>
          </w:p>
        </w:tc>
        <w:tc>
          <w:tcPr>
            <w:tcW w:w="1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9360" w:type="dxa"/>
            <w:vAlign w:val="bottom"/>
            <w:gridSpan w:val="16"/>
            <w:shd w:val="clear" w:color="auto" w:fill="CCEEFF"/>
          </w:tcPr>
          <w:p>
            <w:pPr>
              <w:ind w:left="120"/>
              <w:spacing w:after="0" w:line="176" w:lineRule="exact"/>
              <w:rPr>
                <w:sz w:val="20"/>
                <w:szCs w:val="20"/>
                <w:color w:val="auto"/>
              </w:rPr>
            </w:pPr>
            <w:r>
              <w:rPr>
                <w:rFonts w:ascii="Arial" w:cs="Arial" w:eastAsia="Arial" w:hAnsi="Arial"/>
                <w:sz w:val="18"/>
                <w:szCs w:val="18"/>
                <w:color w:val="0000EE"/>
              </w:rPr>
              <w:t>Legal Proceedings</w:t>
            </w:r>
          </w:p>
        </w:tc>
        <w:tc>
          <w:tcPr>
            <w:tcW w:w="1100" w:type="dxa"/>
            <w:vAlign w:val="bottom"/>
            <w:shd w:val="clear" w:color="auto" w:fill="CCEEFF"/>
          </w:tcPr>
          <w:p>
            <w:pPr>
              <w:jc w:val="center"/>
              <w:ind w:left="110"/>
              <w:spacing w:after="0" w:line="176" w:lineRule="exact"/>
              <w:rPr>
                <w:sz w:val="20"/>
                <w:szCs w:val="20"/>
                <w:color w:val="auto"/>
              </w:rPr>
            </w:pPr>
            <w:r>
              <w:rPr>
                <w:rFonts w:ascii="Arial" w:cs="Arial" w:eastAsia="Arial" w:hAnsi="Arial"/>
                <w:sz w:val="18"/>
                <w:szCs w:val="18"/>
                <w:color w:val="auto"/>
                <w:w w:val="89"/>
              </w:rPr>
              <w:t>27</w:t>
            </w:r>
          </w:p>
        </w:tc>
        <w:tc>
          <w:tcPr>
            <w:tcW w:w="0" w:type="dxa"/>
            <w:vAlign w:val="bottom"/>
          </w:tcPr>
          <w:p>
            <w:pPr>
              <w:spacing w:after="0"/>
              <w:rPr>
                <w:sz w:val="1"/>
                <w:szCs w:val="1"/>
                <w:color w:val="auto"/>
              </w:rPr>
            </w:pPr>
          </w:p>
        </w:tc>
      </w:tr>
      <w:tr>
        <w:trPr>
          <w:trHeight w:val="229"/>
        </w:trPr>
        <w:tc>
          <w:tcPr>
            <w:tcW w:w="78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166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1160" w:type="dxa"/>
            <w:vAlign w:val="bottom"/>
            <w:tcBorders>
              <w:top w:val="single" w:sz="8" w:color="CCEEFF"/>
            </w:tcBorders>
          </w:tcPr>
          <w:p>
            <w:pPr>
              <w:spacing w:after="0"/>
              <w:rPr>
                <w:sz w:val="19"/>
                <w:szCs w:val="19"/>
                <w:color w:val="auto"/>
              </w:rPr>
            </w:pPr>
          </w:p>
        </w:tc>
        <w:tc>
          <w:tcPr>
            <w:tcW w:w="1140" w:type="dxa"/>
            <w:vAlign w:val="bottom"/>
            <w:tcBorders>
              <w:top w:val="single" w:sz="8" w:color="CCEEFF"/>
            </w:tcBorders>
          </w:tcPr>
          <w:p>
            <w:pPr>
              <w:spacing w:after="0"/>
              <w:rPr>
                <w:sz w:val="19"/>
                <w:szCs w:val="19"/>
                <w:color w:val="auto"/>
              </w:rPr>
            </w:pPr>
          </w:p>
        </w:tc>
        <w:tc>
          <w:tcPr>
            <w:tcW w:w="1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1A.</w:t>
            </w:r>
          </w:p>
        </w:tc>
        <w:tc>
          <w:tcPr>
            <w:tcW w:w="9360" w:type="dxa"/>
            <w:vAlign w:val="bottom"/>
            <w:gridSpan w:val="16"/>
            <w:shd w:val="clear" w:color="auto" w:fill="CCEEFF"/>
          </w:tcPr>
          <w:p>
            <w:pPr>
              <w:ind w:left="120"/>
              <w:spacing w:after="0" w:line="176" w:lineRule="exact"/>
              <w:rPr>
                <w:sz w:val="20"/>
                <w:szCs w:val="20"/>
                <w:color w:val="auto"/>
              </w:rPr>
            </w:pPr>
            <w:r>
              <w:rPr>
                <w:rFonts w:ascii="Arial" w:cs="Arial" w:eastAsia="Arial" w:hAnsi="Arial"/>
                <w:sz w:val="18"/>
                <w:szCs w:val="18"/>
                <w:color w:val="0000EE"/>
              </w:rPr>
              <w:t>Risk Factors</w:t>
            </w:r>
          </w:p>
        </w:tc>
        <w:tc>
          <w:tcPr>
            <w:tcW w:w="1100" w:type="dxa"/>
            <w:vAlign w:val="bottom"/>
            <w:shd w:val="clear" w:color="auto" w:fill="CCEEFF"/>
          </w:tcPr>
          <w:p>
            <w:pPr>
              <w:jc w:val="center"/>
              <w:ind w:left="110"/>
              <w:spacing w:after="0" w:line="176" w:lineRule="exact"/>
              <w:rPr>
                <w:sz w:val="20"/>
                <w:szCs w:val="20"/>
                <w:color w:val="auto"/>
              </w:rPr>
            </w:pPr>
            <w:r>
              <w:rPr>
                <w:rFonts w:ascii="Arial" w:cs="Arial" w:eastAsia="Arial" w:hAnsi="Arial"/>
                <w:sz w:val="18"/>
                <w:szCs w:val="18"/>
                <w:color w:val="auto"/>
                <w:w w:val="89"/>
              </w:rPr>
              <w:t>27</w:t>
            </w:r>
          </w:p>
        </w:tc>
        <w:tc>
          <w:tcPr>
            <w:tcW w:w="0" w:type="dxa"/>
            <w:vAlign w:val="bottom"/>
          </w:tcPr>
          <w:p>
            <w:pPr>
              <w:spacing w:after="0"/>
              <w:rPr>
                <w:sz w:val="1"/>
                <w:szCs w:val="1"/>
                <w:color w:val="auto"/>
              </w:rPr>
            </w:pPr>
          </w:p>
        </w:tc>
      </w:tr>
      <w:tr>
        <w:trPr>
          <w:trHeight w:val="230"/>
        </w:trPr>
        <w:tc>
          <w:tcPr>
            <w:tcW w:w="78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166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1160" w:type="dxa"/>
            <w:vAlign w:val="bottom"/>
            <w:tcBorders>
              <w:top w:val="single" w:sz="8" w:color="CCEEFF"/>
            </w:tcBorders>
          </w:tcPr>
          <w:p>
            <w:pPr>
              <w:spacing w:after="0"/>
              <w:rPr>
                <w:sz w:val="19"/>
                <w:szCs w:val="19"/>
                <w:color w:val="auto"/>
              </w:rPr>
            </w:pPr>
          </w:p>
        </w:tc>
        <w:tc>
          <w:tcPr>
            <w:tcW w:w="1140" w:type="dxa"/>
            <w:vAlign w:val="bottom"/>
            <w:tcBorders>
              <w:top w:val="single" w:sz="8" w:color="CCEEFF"/>
            </w:tcBorders>
          </w:tcPr>
          <w:p>
            <w:pPr>
              <w:spacing w:after="0"/>
              <w:rPr>
                <w:sz w:val="19"/>
                <w:szCs w:val="19"/>
                <w:color w:val="auto"/>
              </w:rPr>
            </w:pPr>
          </w:p>
        </w:tc>
        <w:tc>
          <w:tcPr>
            <w:tcW w:w="1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360" w:type="dxa"/>
            <w:vAlign w:val="bottom"/>
            <w:gridSpan w:val="16"/>
            <w:shd w:val="clear" w:color="auto" w:fill="CCEEFF"/>
          </w:tcPr>
          <w:p>
            <w:pPr>
              <w:ind w:left="120"/>
              <w:spacing w:after="0" w:line="176" w:lineRule="exact"/>
              <w:rPr>
                <w:sz w:val="20"/>
                <w:szCs w:val="20"/>
                <w:color w:val="auto"/>
              </w:rPr>
            </w:pPr>
            <w:r>
              <w:rPr>
                <w:rFonts w:ascii="Arial" w:cs="Arial" w:eastAsia="Arial" w:hAnsi="Arial"/>
                <w:sz w:val="18"/>
                <w:szCs w:val="18"/>
                <w:color w:val="0000EE"/>
              </w:rPr>
              <w:t>Unregistered Sales of Equity Securities and Use of Proceeds</w:t>
            </w:r>
          </w:p>
        </w:tc>
        <w:tc>
          <w:tcPr>
            <w:tcW w:w="1100" w:type="dxa"/>
            <w:vAlign w:val="bottom"/>
            <w:shd w:val="clear" w:color="auto" w:fill="CCEEFF"/>
          </w:tcPr>
          <w:p>
            <w:pPr>
              <w:jc w:val="center"/>
              <w:ind w:left="110"/>
              <w:spacing w:after="0" w:line="176" w:lineRule="exact"/>
              <w:rPr>
                <w:sz w:val="20"/>
                <w:szCs w:val="20"/>
                <w:color w:val="auto"/>
              </w:rPr>
            </w:pPr>
            <w:r>
              <w:rPr>
                <w:rFonts w:ascii="Arial" w:cs="Arial" w:eastAsia="Arial" w:hAnsi="Arial"/>
                <w:sz w:val="18"/>
                <w:szCs w:val="18"/>
                <w:color w:val="auto"/>
                <w:w w:val="89"/>
              </w:rPr>
              <w:t>27</w:t>
            </w:r>
          </w:p>
        </w:tc>
        <w:tc>
          <w:tcPr>
            <w:tcW w:w="0" w:type="dxa"/>
            <w:vAlign w:val="bottom"/>
          </w:tcPr>
          <w:p>
            <w:pPr>
              <w:spacing w:after="0"/>
              <w:rPr>
                <w:sz w:val="1"/>
                <w:szCs w:val="1"/>
                <w:color w:val="auto"/>
              </w:rPr>
            </w:pPr>
          </w:p>
        </w:tc>
      </w:tr>
      <w:tr>
        <w:trPr>
          <w:trHeight w:val="229"/>
        </w:trPr>
        <w:tc>
          <w:tcPr>
            <w:tcW w:w="78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280" w:type="dxa"/>
            <w:vAlign w:val="bottom"/>
            <w:tcBorders>
              <w:top w:val="single" w:sz="8" w:color="0000EE"/>
            </w:tcBorders>
          </w:tcPr>
          <w:p>
            <w:pPr>
              <w:spacing w:after="0"/>
              <w:rPr>
                <w:sz w:val="19"/>
                <w:szCs w:val="19"/>
                <w:color w:val="auto"/>
              </w:rPr>
            </w:pPr>
          </w:p>
        </w:tc>
        <w:tc>
          <w:tcPr>
            <w:tcW w:w="1240" w:type="dxa"/>
            <w:vAlign w:val="bottom"/>
            <w:tcBorders>
              <w:top w:val="single" w:sz="8" w:color="0000EE"/>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166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1160" w:type="dxa"/>
            <w:vAlign w:val="bottom"/>
            <w:tcBorders>
              <w:top w:val="single" w:sz="8" w:color="CCEEFF"/>
            </w:tcBorders>
          </w:tcPr>
          <w:p>
            <w:pPr>
              <w:spacing w:after="0"/>
              <w:rPr>
                <w:sz w:val="19"/>
                <w:szCs w:val="19"/>
                <w:color w:val="auto"/>
              </w:rPr>
            </w:pPr>
          </w:p>
        </w:tc>
        <w:tc>
          <w:tcPr>
            <w:tcW w:w="1140" w:type="dxa"/>
            <w:vAlign w:val="bottom"/>
            <w:tcBorders>
              <w:top w:val="single" w:sz="8" w:color="CCEEFF"/>
            </w:tcBorders>
          </w:tcPr>
          <w:p>
            <w:pPr>
              <w:spacing w:after="0"/>
              <w:rPr>
                <w:sz w:val="19"/>
                <w:szCs w:val="19"/>
                <w:color w:val="auto"/>
              </w:rPr>
            </w:pPr>
          </w:p>
        </w:tc>
        <w:tc>
          <w:tcPr>
            <w:tcW w:w="1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360" w:type="dxa"/>
            <w:vAlign w:val="bottom"/>
            <w:gridSpan w:val="16"/>
            <w:shd w:val="clear" w:color="auto" w:fill="CCEEFF"/>
          </w:tcPr>
          <w:p>
            <w:pPr>
              <w:ind w:left="120"/>
              <w:spacing w:after="0" w:line="176" w:lineRule="exact"/>
              <w:rPr>
                <w:sz w:val="20"/>
                <w:szCs w:val="20"/>
                <w:color w:val="auto"/>
              </w:rPr>
            </w:pPr>
            <w:r>
              <w:rPr>
                <w:rFonts w:ascii="Arial" w:cs="Arial" w:eastAsia="Arial" w:hAnsi="Arial"/>
                <w:sz w:val="18"/>
                <w:szCs w:val="18"/>
                <w:color w:val="0000EE"/>
              </w:rPr>
              <w:t>Defaults Upon Senior Securities</w:t>
            </w:r>
          </w:p>
        </w:tc>
        <w:tc>
          <w:tcPr>
            <w:tcW w:w="1100" w:type="dxa"/>
            <w:vAlign w:val="bottom"/>
            <w:shd w:val="clear" w:color="auto" w:fill="CCEEFF"/>
          </w:tcPr>
          <w:p>
            <w:pPr>
              <w:jc w:val="center"/>
              <w:ind w:left="110"/>
              <w:spacing w:after="0" w:line="176" w:lineRule="exact"/>
              <w:rPr>
                <w:sz w:val="20"/>
                <w:szCs w:val="20"/>
                <w:color w:val="auto"/>
              </w:rPr>
            </w:pPr>
            <w:r>
              <w:rPr>
                <w:rFonts w:ascii="Arial" w:cs="Arial" w:eastAsia="Arial" w:hAnsi="Arial"/>
                <w:sz w:val="18"/>
                <w:szCs w:val="18"/>
                <w:color w:val="auto"/>
                <w:w w:val="89"/>
              </w:rPr>
              <w:t>27</w:t>
            </w:r>
          </w:p>
        </w:tc>
        <w:tc>
          <w:tcPr>
            <w:tcW w:w="0" w:type="dxa"/>
            <w:vAlign w:val="bottom"/>
          </w:tcPr>
          <w:p>
            <w:pPr>
              <w:spacing w:after="0"/>
              <w:rPr>
                <w:sz w:val="1"/>
                <w:szCs w:val="1"/>
                <w:color w:val="auto"/>
              </w:rPr>
            </w:pPr>
          </w:p>
        </w:tc>
      </w:tr>
      <w:tr>
        <w:trPr>
          <w:trHeight w:val="230"/>
        </w:trPr>
        <w:tc>
          <w:tcPr>
            <w:tcW w:w="78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166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1160" w:type="dxa"/>
            <w:vAlign w:val="bottom"/>
            <w:tcBorders>
              <w:top w:val="single" w:sz="8" w:color="CCEEFF"/>
            </w:tcBorders>
          </w:tcPr>
          <w:p>
            <w:pPr>
              <w:spacing w:after="0"/>
              <w:rPr>
                <w:sz w:val="19"/>
                <w:szCs w:val="19"/>
                <w:color w:val="auto"/>
              </w:rPr>
            </w:pPr>
          </w:p>
        </w:tc>
        <w:tc>
          <w:tcPr>
            <w:tcW w:w="1140" w:type="dxa"/>
            <w:vAlign w:val="bottom"/>
            <w:tcBorders>
              <w:top w:val="single" w:sz="8" w:color="CCEEFF"/>
            </w:tcBorders>
          </w:tcPr>
          <w:p>
            <w:pPr>
              <w:spacing w:after="0"/>
              <w:rPr>
                <w:sz w:val="19"/>
                <w:szCs w:val="19"/>
                <w:color w:val="auto"/>
              </w:rPr>
            </w:pPr>
          </w:p>
        </w:tc>
        <w:tc>
          <w:tcPr>
            <w:tcW w:w="1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360" w:type="dxa"/>
            <w:vAlign w:val="bottom"/>
            <w:gridSpan w:val="16"/>
            <w:shd w:val="clear" w:color="auto" w:fill="CCEEFF"/>
          </w:tcPr>
          <w:p>
            <w:pPr>
              <w:ind w:left="120"/>
              <w:spacing w:after="0" w:line="176" w:lineRule="exact"/>
              <w:rPr>
                <w:sz w:val="20"/>
                <w:szCs w:val="20"/>
                <w:color w:val="auto"/>
              </w:rPr>
            </w:pPr>
            <w:r>
              <w:rPr>
                <w:rFonts w:ascii="Arial" w:cs="Arial" w:eastAsia="Arial" w:hAnsi="Arial"/>
                <w:sz w:val="18"/>
                <w:szCs w:val="18"/>
                <w:color w:val="0000EE"/>
              </w:rPr>
              <w:t>Mine Safety Disclosures</w:t>
            </w:r>
          </w:p>
        </w:tc>
        <w:tc>
          <w:tcPr>
            <w:tcW w:w="1100" w:type="dxa"/>
            <w:vAlign w:val="bottom"/>
            <w:shd w:val="clear" w:color="auto" w:fill="CCEEFF"/>
          </w:tcPr>
          <w:p>
            <w:pPr>
              <w:jc w:val="center"/>
              <w:ind w:left="110"/>
              <w:spacing w:after="0" w:line="176" w:lineRule="exact"/>
              <w:rPr>
                <w:sz w:val="20"/>
                <w:szCs w:val="20"/>
                <w:color w:val="auto"/>
              </w:rPr>
            </w:pPr>
            <w:r>
              <w:rPr>
                <w:rFonts w:ascii="Arial" w:cs="Arial" w:eastAsia="Arial" w:hAnsi="Arial"/>
                <w:sz w:val="18"/>
                <w:szCs w:val="18"/>
                <w:color w:val="auto"/>
                <w:w w:val="89"/>
              </w:rPr>
              <w:t>27</w:t>
            </w:r>
          </w:p>
        </w:tc>
        <w:tc>
          <w:tcPr>
            <w:tcW w:w="0" w:type="dxa"/>
            <w:vAlign w:val="bottom"/>
          </w:tcPr>
          <w:p>
            <w:pPr>
              <w:spacing w:after="0"/>
              <w:rPr>
                <w:sz w:val="1"/>
                <w:szCs w:val="1"/>
                <w:color w:val="auto"/>
              </w:rPr>
            </w:pPr>
          </w:p>
        </w:tc>
      </w:tr>
      <w:tr>
        <w:trPr>
          <w:trHeight w:val="230"/>
        </w:trPr>
        <w:tc>
          <w:tcPr>
            <w:tcW w:w="78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166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1160" w:type="dxa"/>
            <w:vAlign w:val="bottom"/>
            <w:tcBorders>
              <w:top w:val="single" w:sz="8" w:color="CCEEFF"/>
            </w:tcBorders>
          </w:tcPr>
          <w:p>
            <w:pPr>
              <w:spacing w:after="0"/>
              <w:rPr>
                <w:sz w:val="19"/>
                <w:szCs w:val="19"/>
                <w:color w:val="auto"/>
              </w:rPr>
            </w:pPr>
          </w:p>
        </w:tc>
        <w:tc>
          <w:tcPr>
            <w:tcW w:w="1140" w:type="dxa"/>
            <w:vAlign w:val="bottom"/>
            <w:tcBorders>
              <w:top w:val="single" w:sz="8" w:color="CCEEFF"/>
            </w:tcBorders>
          </w:tcPr>
          <w:p>
            <w:pPr>
              <w:spacing w:after="0"/>
              <w:rPr>
                <w:sz w:val="19"/>
                <w:szCs w:val="19"/>
                <w:color w:val="auto"/>
              </w:rPr>
            </w:pPr>
          </w:p>
        </w:tc>
        <w:tc>
          <w:tcPr>
            <w:tcW w:w="1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5.</w:t>
            </w:r>
          </w:p>
        </w:tc>
        <w:tc>
          <w:tcPr>
            <w:tcW w:w="9360" w:type="dxa"/>
            <w:vAlign w:val="bottom"/>
            <w:gridSpan w:val="16"/>
            <w:shd w:val="clear" w:color="auto" w:fill="CCEEFF"/>
          </w:tcPr>
          <w:p>
            <w:pPr>
              <w:ind w:left="120"/>
              <w:spacing w:after="0" w:line="176" w:lineRule="exact"/>
              <w:rPr>
                <w:sz w:val="20"/>
                <w:szCs w:val="20"/>
                <w:color w:val="auto"/>
              </w:rPr>
            </w:pPr>
            <w:r>
              <w:rPr>
                <w:rFonts w:ascii="Arial" w:cs="Arial" w:eastAsia="Arial" w:hAnsi="Arial"/>
                <w:sz w:val="18"/>
                <w:szCs w:val="18"/>
                <w:color w:val="0000EE"/>
              </w:rPr>
              <w:t>Other Information</w:t>
            </w:r>
          </w:p>
        </w:tc>
        <w:tc>
          <w:tcPr>
            <w:tcW w:w="1100" w:type="dxa"/>
            <w:vAlign w:val="bottom"/>
            <w:shd w:val="clear" w:color="auto" w:fill="CCEEFF"/>
          </w:tcPr>
          <w:p>
            <w:pPr>
              <w:jc w:val="center"/>
              <w:ind w:left="110"/>
              <w:spacing w:after="0" w:line="176" w:lineRule="exact"/>
              <w:rPr>
                <w:sz w:val="20"/>
                <w:szCs w:val="20"/>
                <w:color w:val="auto"/>
              </w:rPr>
            </w:pPr>
            <w:r>
              <w:rPr>
                <w:rFonts w:ascii="Arial" w:cs="Arial" w:eastAsia="Arial" w:hAnsi="Arial"/>
                <w:sz w:val="18"/>
                <w:szCs w:val="18"/>
                <w:color w:val="auto"/>
                <w:w w:val="89"/>
              </w:rPr>
              <w:t>27</w:t>
            </w:r>
          </w:p>
        </w:tc>
        <w:tc>
          <w:tcPr>
            <w:tcW w:w="0" w:type="dxa"/>
            <w:vAlign w:val="bottom"/>
          </w:tcPr>
          <w:p>
            <w:pPr>
              <w:spacing w:after="0"/>
              <w:rPr>
                <w:sz w:val="1"/>
                <w:szCs w:val="1"/>
                <w:color w:val="auto"/>
              </w:rPr>
            </w:pPr>
          </w:p>
        </w:tc>
      </w:tr>
      <w:tr>
        <w:trPr>
          <w:trHeight w:val="230"/>
        </w:trPr>
        <w:tc>
          <w:tcPr>
            <w:tcW w:w="78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166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1160" w:type="dxa"/>
            <w:vAlign w:val="bottom"/>
            <w:tcBorders>
              <w:top w:val="single" w:sz="8" w:color="CCEEFF"/>
            </w:tcBorders>
          </w:tcPr>
          <w:p>
            <w:pPr>
              <w:spacing w:after="0"/>
              <w:rPr>
                <w:sz w:val="19"/>
                <w:szCs w:val="19"/>
                <w:color w:val="auto"/>
              </w:rPr>
            </w:pPr>
          </w:p>
        </w:tc>
        <w:tc>
          <w:tcPr>
            <w:tcW w:w="1140" w:type="dxa"/>
            <w:vAlign w:val="bottom"/>
            <w:tcBorders>
              <w:top w:val="single" w:sz="8" w:color="CCEEFF"/>
            </w:tcBorders>
          </w:tcPr>
          <w:p>
            <w:pPr>
              <w:spacing w:after="0"/>
              <w:rPr>
                <w:sz w:val="19"/>
                <w:szCs w:val="19"/>
                <w:color w:val="auto"/>
              </w:rPr>
            </w:pPr>
          </w:p>
        </w:tc>
        <w:tc>
          <w:tcPr>
            <w:tcW w:w="1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120" w:type="dxa"/>
            <w:vAlign w:val="bottom"/>
            <w:shd w:val="clear" w:color="auto" w:fill="CCEEFF"/>
          </w:tcPr>
          <w:p>
            <w:pPr>
              <w:spacing w:after="0"/>
              <w:rPr>
                <w:sz w:val="18"/>
                <w:szCs w:val="18"/>
                <w:color w:val="auto"/>
              </w:rPr>
            </w:pPr>
          </w:p>
        </w:tc>
        <w:tc>
          <w:tcPr>
            <w:tcW w:w="9240" w:type="dxa"/>
            <w:vAlign w:val="bottom"/>
            <w:gridSpan w:val="15"/>
            <w:shd w:val="clear" w:color="auto" w:fill="CCEEFF"/>
          </w:tcPr>
          <w:p>
            <w:pPr>
              <w:spacing w:after="0" w:line="176" w:lineRule="exact"/>
              <w:rPr>
                <w:sz w:val="20"/>
                <w:szCs w:val="20"/>
                <w:color w:val="auto"/>
              </w:rPr>
            </w:pPr>
            <w:r>
              <w:rPr>
                <w:rFonts w:ascii="Arial" w:cs="Arial" w:eastAsia="Arial" w:hAnsi="Arial"/>
                <w:sz w:val="18"/>
                <w:szCs w:val="18"/>
                <w:color w:val="0000EE"/>
              </w:rPr>
              <w:t>Exhibits</w:t>
            </w:r>
          </w:p>
        </w:tc>
        <w:tc>
          <w:tcPr>
            <w:tcW w:w="1100" w:type="dxa"/>
            <w:vAlign w:val="bottom"/>
            <w:shd w:val="clear" w:color="auto" w:fill="CCEEFF"/>
          </w:tcPr>
          <w:p>
            <w:pPr>
              <w:jc w:val="center"/>
              <w:ind w:left="110"/>
              <w:spacing w:after="0" w:line="176" w:lineRule="exact"/>
              <w:rPr>
                <w:sz w:val="20"/>
                <w:szCs w:val="20"/>
                <w:color w:val="auto"/>
              </w:rPr>
            </w:pPr>
            <w:r>
              <w:rPr>
                <w:rFonts w:ascii="Arial" w:cs="Arial" w:eastAsia="Arial" w:hAnsi="Arial"/>
                <w:sz w:val="18"/>
                <w:szCs w:val="18"/>
                <w:color w:val="auto"/>
                <w:w w:val="89"/>
              </w:rPr>
              <w:t>28</w:t>
            </w:r>
          </w:p>
        </w:tc>
        <w:tc>
          <w:tcPr>
            <w:tcW w:w="0" w:type="dxa"/>
            <w:vAlign w:val="bottom"/>
          </w:tcPr>
          <w:p>
            <w:pPr>
              <w:spacing w:after="0"/>
              <w:rPr>
                <w:sz w:val="1"/>
                <w:szCs w:val="1"/>
                <w:color w:val="auto"/>
              </w:rPr>
            </w:pPr>
          </w:p>
        </w:tc>
      </w:tr>
      <w:tr>
        <w:trPr>
          <w:trHeight w:val="459"/>
        </w:trPr>
        <w:tc>
          <w:tcPr>
            <w:tcW w:w="78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4200" w:type="dxa"/>
            <w:vAlign w:val="bottom"/>
            <w:tcBorders>
              <w:top w:val="single" w:sz="8" w:color="CCEEFF"/>
            </w:tcBorders>
            <w:gridSpan w:val="10"/>
          </w:tcPr>
          <w:p>
            <w:pPr>
              <w:jc w:val="right"/>
              <w:spacing w:after="0"/>
              <w:rPr>
                <w:sz w:val="20"/>
                <w:szCs w:val="20"/>
                <w:color w:val="auto"/>
              </w:rPr>
            </w:pPr>
            <w:r>
              <w:rPr>
                <w:rFonts w:ascii="Arial" w:cs="Arial" w:eastAsia="Arial" w:hAnsi="Arial"/>
                <w:sz w:val="18"/>
                <w:szCs w:val="18"/>
                <w:color w:val="auto"/>
              </w:rPr>
              <w:t>2</w:t>
            </w:r>
          </w:p>
        </w:tc>
        <w:tc>
          <w:tcPr>
            <w:tcW w:w="1660" w:type="dxa"/>
            <w:vAlign w:val="bottom"/>
            <w:tcBorders>
              <w:top w:val="single" w:sz="8" w:color="CCEEFF"/>
            </w:tcBorders>
          </w:tcPr>
          <w:p>
            <w:pPr>
              <w:spacing w:after="0"/>
              <w:rPr>
                <w:sz w:val="24"/>
                <w:szCs w:val="24"/>
                <w:color w:val="auto"/>
              </w:rPr>
            </w:pPr>
          </w:p>
        </w:tc>
        <w:tc>
          <w:tcPr>
            <w:tcW w:w="480" w:type="dxa"/>
            <w:vAlign w:val="bottom"/>
            <w:tcBorders>
              <w:top w:val="single" w:sz="8" w:color="CCEEFF"/>
            </w:tcBorders>
          </w:tcPr>
          <w:p>
            <w:pPr>
              <w:spacing w:after="0"/>
              <w:rPr>
                <w:sz w:val="24"/>
                <w:szCs w:val="24"/>
                <w:color w:val="auto"/>
              </w:rPr>
            </w:pPr>
          </w:p>
        </w:tc>
        <w:tc>
          <w:tcPr>
            <w:tcW w:w="1160" w:type="dxa"/>
            <w:vAlign w:val="bottom"/>
            <w:tcBorders>
              <w:top w:val="single" w:sz="8" w:color="CCEEFF"/>
            </w:tcBorders>
          </w:tcPr>
          <w:p>
            <w:pPr>
              <w:spacing w:after="0"/>
              <w:rPr>
                <w:sz w:val="24"/>
                <w:szCs w:val="24"/>
                <w:color w:val="auto"/>
              </w:rPr>
            </w:pPr>
          </w:p>
        </w:tc>
        <w:tc>
          <w:tcPr>
            <w:tcW w:w="1140" w:type="dxa"/>
            <w:vAlign w:val="bottom"/>
            <w:tcBorders>
              <w:top w:val="single" w:sz="8" w:color="CCEEFF"/>
            </w:tcBorders>
          </w:tcPr>
          <w:p>
            <w:pPr>
              <w:spacing w:after="0"/>
              <w:rPr>
                <w:sz w:val="24"/>
                <w:szCs w:val="24"/>
                <w:color w:val="auto"/>
              </w:rPr>
            </w:pPr>
          </w:p>
        </w:tc>
        <w:tc>
          <w:tcPr>
            <w:tcW w:w="1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7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6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par value)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58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7"/>
              </w:rPr>
              <w:t>June 30, 2023</w:t>
            </w:r>
          </w:p>
        </w:tc>
        <w:tc>
          <w:tcPr>
            <w:tcW w:w="100" w:type="dxa"/>
            <w:vAlign w:val="bottom"/>
          </w:tcPr>
          <w:p>
            <w:pPr>
              <w:spacing w:after="0"/>
              <w:rPr>
                <w:sz w:val="20"/>
                <w:szCs w:val="20"/>
                <w:color w:val="auto"/>
              </w:rPr>
            </w:pPr>
          </w:p>
        </w:tc>
        <w:tc>
          <w:tcPr>
            <w:tcW w:w="1160" w:type="dxa"/>
            <w:vAlign w:val="bottom"/>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840" w:type="dxa"/>
            <w:vAlign w:val="bottom"/>
            <w:tcBorders>
              <w:top w:val="single" w:sz="8" w:color="CCEEFF"/>
            </w:tcBorders>
            <w:shd w:val="clear" w:color="auto" w:fill="CCEEFF"/>
          </w:tcPr>
          <w:p>
            <w:pPr>
              <w:ind w:left="3820"/>
              <w:spacing w:after="0"/>
              <w:rPr>
                <w:sz w:val="20"/>
                <w:szCs w:val="20"/>
                <w:color w:val="auto"/>
              </w:rPr>
            </w:pPr>
            <w:r>
              <w:rPr>
                <w:rFonts w:ascii="Arial" w:cs="Arial" w:eastAsia="Arial" w:hAnsi="Arial"/>
                <w:sz w:val="18"/>
                <w:szCs w:val="18"/>
                <w:b w:val="1"/>
                <w:bCs w:val="1"/>
                <w:color w:val="auto"/>
              </w:rPr>
              <w:t>ASSETS</w:t>
            </w:r>
          </w:p>
        </w:tc>
        <w:tc>
          <w:tcPr>
            <w:tcW w:w="26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Current assets:</w:t>
            </w:r>
          </w:p>
        </w:tc>
        <w:tc>
          <w:tcPr>
            <w:tcW w:w="2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15,086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Current marketable securities</w:t>
            </w:r>
          </w:p>
        </w:tc>
        <w:tc>
          <w:tcPr>
            <w:tcW w:w="2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6,408</w:t>
            </w:r>
          </w:p>
        </w:tc>
        <w:tc>
          <w:tcPr>
            <w:tcW w:w="1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Legal settlement receivable</w:t>
            </w:r>
          </w:p>
        </w:tc>
        <w:tc>
          <w:tcPr>
            <w:tcW w:w="2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Receivables, net of allowance of $326</w:t>
            </w:r>
          </w:p>
        </w:tc>
        <w:tc>
          <w:tcPr>
            <w:tcW w:w="2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4,232</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Inventories, net</w:t>
            </w:r>
          </w:p>
        </w:tc>
        <w:tc>
          <w:tcPr>
            <w:tcW w:w="2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7,547</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Income tax receivable</w:t>
            </w:r>
          </w:p>
        </w:tc>
        <w:tc>
          <w:tcPr>
            <w:tcW w:w="2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6,381</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26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4,273</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7,808</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5840" w:type="dxa"/>
            <w:vAlign w:val="bottom"/>
          </w:tcPr>
          <w:p>
            <w:pPr>
              <w:ind w:left="220"/>
              <w:spacing w:after="0"/>
              <w:rPr>
                <w:sz w:val="20"/>
                <w:szCs w:val="20"/>
                <w:color w:val="auto"/>
              </w:rPr>
            </w:pPr>
            <w:r>
              <w:rPr>
                <w:rFonts w:ascii="Arial" w:cs="Arial" w:eastAsia="Arial" w:hAnsi="Arial"/>
                <w:sz w:val="18"/>
                <w:szCs w:val="18"/>
                <w:color w:val="auto"/>
              </w:rPr>
              <w:t>Total current assets</w:t>
            </w:r>
          </w:p>
        </w:tc>
        <w:tc>
          <w:tcPr>
            <w:tcW w:w="26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43,927</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77,427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Long-term marketable securities</w:t>
            </w:r>
          </w:p>
        </w:tc>
        <w:tc>
          <w:tcPr>
            <w:tcW w:w="2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586</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Long-term inventories, net</w:t>
            </w:r>
          </w:p>
        </w:tc>
        <w:tc>
          <w:tcPr>
            <w:tcW w:w="2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3,361</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614</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Operating lease - right of use assets, net</w:t>
            </w:r>
          </w:p>
        </w:tc>
        <w:tc>
          <w:tcPr>
            <w:tcW w:w="2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1,171</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Intangibles, net</w:t>
            </w:r>
          </w:p>
        </w:tc>
        <w:tc>
          <w:tcPr>
            <w:tcW w:w="2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1,903</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840" w:type="dxa"/>
            <w:vAlign w:val="bottom"/>
          </w:tcPr>
          <w:p>
            <w:pPr>
              <w:spacing w:after="0"/>
              <w:rPr>
                <w:sz w:val="20"/>
                <w:szCs w:val="20"/>
                <w:color w:val="auto"/>
              </w:rPr>
            </w:pPr>
            <w:r>
              <w:rPr>
                <w:rFonts w:ascii="Arial" w:cs="Arial" w:eastAsia="Arial" w:hAnsi="Arial"/>
                <w:sz w:val="18"/>
                <w:szCs w:val="18"/>
                <w:color w:val="auto"/>
              </w:rPr>
              <w:t>Other assets</w:t>
            </w:r>
          </w:p>
        </w:tc>
        <w:tc>
          <w:tcPr>
            <w:tcW w:w="2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84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assets</w:t>
            </w:r>
          </w:p>
        </w:tc>
        <w:tc>
          <w:tcPr>
            <w:tcW w:w="26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51,676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83,750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40" w:type="dxa"/>
            <w:vAlign w:val="bottom"/>
            <w:gridSpan w:val="2"/>
            <w:vMerge w:val="restart"/>
          </w:tcPr>
          <w:p>
            <w:pPr>
              <w:ind w:left="2220"/>
              <w:spacing w:after="0"/>
              <w:rPr>
                <w:sz w:val="20"/>
                <w:szCs w:val="20"/>
                <w:color w:val="auto"/>
              </w:rPr>
            </w:pPr>
            <w:r>
              <w:rPr>
                <w:rFonts w:ascii="Arial" w:cs="Arial" w:eastAsia="Arial" w:hAnsi="Arial"/>
                <w:sz w:val="18"/>
                <w:szCs w:val="18"/>
                <w:b w:val="1"/>
                <w:bCs w:val="1"/>
                <w:color w:val="auto"/>
              </w:rPr>
              <w:t>LIABILITIES AND SHAREHOLDERS' EQUITY</w:t>
            </w: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4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Accounts payable</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2,435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2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2,587</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840" w:type="dxa"/>
            <w:vAlign w:val="bottom"/>
          </w:tcPr>
          <w:p>
            <w:pPr>
              <w:spacing w:after="0"/>
              <w:rPr>
                <w:sz w:val="20"/>
                <w:szCs w:val="20"/>
                <w:color w:val="auto"/>
              </w:rPr>
            </w:pPr>
            <w:r>
              <w:rPr>
                <w:rFonts w:ascii="Arial" w:cs="Arial" w:eastAsia="Arial" w:hAnsi="Arial"/>
                <w:sz w:val="18"/>
                <w:szCs w:val="18"/>
                <w:color w:val="auto"/>
              </w:rPr>
              <w:t>Deferred product revenue</w:t>
            </w:r>
          </w:p>
        </w:tc>
        <w:tc>
          <w:tcPr>
            <w:tcW w:w="2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Short-term debt</w:t>
            </w:r>
          </w:p>
        </w:tc>
        <w:tc>
          <w:tcPr>
            <w:tcW w:w="2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1,380</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shd w:val="clear" w:color="auto" w:fill="CCEEFF"/>
          </w:tcPr>
          <w:p>
            <w:pPr>
              <w:spacing w:after="0" w:line="20" w:lineRule="exact"/>
              <w:rPr>
                <w:sz w:val="1"/>
                <w:szCs w:val="1"/>
                <w:color w:val="auto"/>
              </w:rPr>
            </w:pPr>
          </w:p>
        </w:tc>
        <w:tc>
          <w:tcPr>
            <w:tcW w:w="26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40" w:type="dxa"/>
            <w:vAlign w:val="bottom"/>
          </w:tcPr>
          <w:p>
            <w:pPr>
              <w:ind w:left="220"/>
              <w:spacing w:after="0"/>
              <w:rPr>
                <w:sz w:val="20"/>
                <w:szCs w:val="20"/>
                <w:color w:val="auto"/>
              </w:rPr>
            </w:pPr>
            <w:r>
              <w:rPr>
                <w:rFonts w:ascii="Arial" w:cs="Arial" w:eastAsia="Arial" w:hAnsi="Arial"/>
                <w:sz w:val="18"/>
                <w:szCs w:val="18"/>
                <w:color w:val="auto"/>
              </w:rPr>
              <w:t>Total current liabilities</w:t>
            </w:r>
          </w:p>
        </w:tc>
        <w:tc>
          <w:tcPr>
            <w:tcW w:w="2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6,454</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8,120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liability, net of current</w:t>
            </w:r>
          </w:p>
        </w:tc>
        <w:tc>
          <w:tcPr>
            <w:tcW w:w="2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848</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2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1,008</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liabilities</w:t>
            </w:r>
          </w:p>
        </w:tc>
        <w:tc>
          <w:tcPr>
            <w:tcW w:w="2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8,310</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Borders>
              <w:top w:val="single" w:sz="8" w:color="CCEEFF"/>
            </w:tcBorders>
          </w:tcPr>
          <w:p>
            <w:pPr>
              <w:spacing w:after="0"/>
              <w:rPr>
                <w:sz w:val="19"/>
                <w:szCs w:val="19"/>
                <w:color w:val="auto"/>
              </w:rPr>
            </w:pPr>
          </w:p>
        </w:tc>
        <w:tc>
          <w:tcPr>
            <w:tcW w:w="2600" w:type="dxa"/>
            <w:vAlign w:val="bottom"/>
            <w:tcBorders>
              <w:top w:val="single" w:sz="8" w:color="CCEEFF"/>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2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5840" w:type="dxa"/>
            <w:vAlign w:val="bottom"/>
          </w:tcPr>
          <w:p>
            <w:pPr>
              <w:spacing w:after="0" w:line="201" w:lineRule="exact"/>
              <w:rPr>
                <w:sz w:val="20"/>
                <w:szCs w:val="20"/>
                <w:color w:val="auto"/>
              </w:rPr>
            </w:pPr>
            <w:r>
              <w:rPr>
                <w:rFonts w:ascii="Arial" w:cs="Arial" w:eastAsia="Arial" w:hAnsi="Arial"/>
                <w:sz w:val="18"/>
                <w:szCs w:val="18"/>
                <w:color w:val="auto"/>
                <w:w w:val="89"/>
              </w:rPr>
              <w:t>Common stock, par value $0.001, 50,000,000 shares authorized, 23,958,979 and</w:t>
            </w:r>
          </w:p>
        </w:tc>
        <w:tc>
          <w:tcPr>
            <w:tcW w:w="2680" w:type="dxa"/>
            <w:vAlign w:val="bottom"/>
            <w:gridSpan w:val="2"/>
          </w:tcPr>
          <w:p>
            <w:pPr>
              <w:jc w:val="right"/>
              <w:ind w:right="447"/>
              <w:spacing w:after="0" w:line="201" w:lineRule="exact"/>
              <w:rPr>
                <w:sz w:val="20"/>
                <w:szCs w:val="20"/>
                <w:color w:val="auto"/>
              </w:rPr>
            </w:pPr>
            <w:r>
              <w:rPr>
                <w:rFonts w:ascii="Arial" w:cs="Arial" w:eastAsia="Arial" w:hAnsi="Arial"/>
                <w:sz w:val="18"/>
                <w:szCs w:val="18"/>
                <w:color w:val="auto"/>
                <w:w w:val="88"/>
              </w:rPr>
              <w:t>23,955,767 shares issued and</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outstanding, respectively</w:t>
            </w:r>
          </w:p>
        </w:tc>
        <w:tc>
          <w:tcPr>
            <w:tcW w:w="2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45,979</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74,910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2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30"/>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2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(2,367)</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0"/>
        </w:trPr>
        <w:tc>
          <w:tcPr>
            <w:tcW w:w="5840" w:type="dxa"/>
            <w:vAlign w:val="bottom"/>
            <w:shd w:val="clear" w:color="auto" w:fill="CCEEFF"/>
          </w:tcPr>
          <w:p>
            <w:pPr>
              <w:spacing w:after="0" w:line="20" w:lineRule="exact"/>
              <w:rPr>
                <w:sz w:val="1"/>
                <w:szCs w:val="1"/>
                <w:color w:val="auto"/>
              </w:rPr>
            </w:pPr>
          </w:p>
        </w:tc>
        <w:tc>
          <w:tcPr>
            <w:tcW w:w="26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40" w:type="dxa"/>
            <w:vAlign w:val="bottom"/>
          </w:tcPr>
          <w:p>
            <w:pPr>
              <w:ind w:left="220"/>
              <w:spacing w:after="0"/>
              <w:rPr>
                <w:sz w:val="20"/>
                <w:szCs w:val="20"/>
                <w:color w:val="auto"/>
              </w:rPr>
            </w:pPr>
            <w:r>
              <w:rPr>
                <w:rFonts w:ascii="Arial" w:cs="Arial" w:eastAsia="Arial" w:hAnsi="Arial"/>
                <w:sz w:val="18"/>
                <w:szCs w:val="18"/>
                <w:color w:val="auto"/>
              </w:rPr>
              <w:t>Total shareholders' equity</w:t>
            </w:r>
          </w:p>
        </w:tc>
        <w:tc>
          <w:tcPr>
            <w:tcW w:w="2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43,366</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74,130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liabilities and shareholders' equity</w:t>
            </w:r>
          </w:p>
        </w:tc>
        <w:tc>
          <w:tcPr>
            <w:tcW w:w="2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51,676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83,750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OPERATIONS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5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80" w:type="dxa"/>
            <w:vAlign w:val="bottom"/>
            <w:gridSpan w:val="6"/>
          </w:tcPr>
          <w:p>
            <w:pPr>
              <w:jc w:val="right"/>
              <w:ind w:right="340"/>
              <w:spacing w:after="0"/>
              <w:rPr>
                <w:sz w:val="20"/>
                <w:szCs w:val="20"/>
                <w:color w:val="auto"/>
              </w:rPr>
            </w:pPr>
            <w:r>
              <w:rPr>
                <w:rFonts w:ascii="Arial" w:cs="Arial" w:eastAsia="Arial" w:hAnsi="Arial"/>
                <w:sz w:val="18"/>
                <w:szCs w:val="18"/>
                <w:b w:val="1"/>
                <w:bCs w:val="1"/>
                <w:color w:val="auto"/>
                <w:w w:val="91"/>
              </w:rPr>
              <w:t>Three months ended June 30,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0" w:type="dxa"/>
            <w:vAlign w:val="bottom"/>
            <w:gridSpan w:val="5"/>
          </w:tcPr>
          <w:p>
            <w:pPr>
              <w:jc w:val="right"/>
              <w:ind w:right="440"/>
              <w:spacing w:after="0"/>
              <w:rPr>
                <w:sz w:val="20"/>
                <w:szCs w:val="20"/>
                <w:color w:val="auto"/>
              </w:rPr>
            </w:pPr>
            <w:r>
              <w:rPr>
                <w:rFonts w:ascii="Arial" w:cs="Arial" w:eastAsia="Arial" w:hAnsi="Arial"/>
                <w:sz w:val="18"/>
                <w:szCs w:val="18"/>
                <w:b w:val="1"/>
                <w:bCs w:val="1"/>
                <w:color w:val="auto"/>
                <w:w w:val="92"/>
              </w:rPr>
              <w:t>Six months ended June 30,</w:t>
            </w:r>
          </w:p>
        </w:tc>
      </w:tr>
      <w:tr>
        <w:trPr>
          <w:trHeight w:val="209"/>
        </w:trPr>
        <w:tc>
          <w:tcPr>
            <w:tcW w:w="55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r>
      <w:tr>
        <w:trPr>
          <w:trHeight w:val="223"/>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5,483</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7,375</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9,661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14,920</w:t>
            </w:r>
          </w:p>
        </w:tc>
        <w:tc>
          <w:tcPr>
            <w:tcW w:w="100" w:type="dxa"/>
            <w:vAlign w:val="bottom"/>
            <w:shd w:val="clear" w:color="auto" w:fill="CCEEFF"/>
          </w:tcPr>
          <w:p>
            <w:pPr>
              <w:spacing w:after="0"/>
              <w:rPr>
                <w:sz w:val="19"/>
                <w:szCs w:val="19"/>
                <w:color w:val="auto"/>
              </w:rPr>
            </w:pPr>
          </w:p>
        </w:tc>
      </w:tr>
      <w:tr>
        <w:trPr>
          <w:trHeight w:val="229"/>
        </w:trPr>
        <w:tc>
          <w:tcPr>
            <w:tcW w:w="5520" w:type="dxa"/>
            <w:vAlign w:val="bottom"/>
          </w:tcPr>
          <w:p>
            <w:pPr>
              <w:spacing w:after="0"/>
              <w:rPr>
                <w:sz w:val="20"/>
                <w:szCs w:val="20"/>
                <w:color w:val="auto"/>
              </w:rPr>
            </w:pPr>
            <w:r>
              <w:rPr>
                <w:rFonts w:ascii="Arial" w:cs="Arial" w:eastAsia="Arial" w:hAnsi="Arial"/>
                <w:sz w:val="18"/>
                <w:szCs w:val="18"/>
                <w:color w:val="auto"/>
              </w:rPr>
              <w:t>Cost of goods sold</w:t>
            </w:r>
          </w:p>
        </w:tc>
        <w:tc>
          <w:tcPr>
            <w:tcW w:w="14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3,635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4,568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6,498</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9,297</w:t>
            </w:r>
          </w:p>
        </w:tc>
        <w:tc>
          <w:tcPr>
            <w:tcW w:w="100" w:type="dxa"/>
            <w:vAlign w:val="bottom"/>
          </w:tcPr>
          <w:p>
            <w:pPr>
              <w:spacing w:after="0"/>
              <w:rPr>
                <w:sz w:val="19"/>
                <w:szCs w:val="19"/>
                <w:color w:val="auto"/>
              </w:rPr>
            </w:pPr>
          </w:p>
        </w:tc>
      </w:tr>
      <w:tr>
        <w:trPr>
          <w:trHeight w:val="20"/>
        </w:trPr>
        <w:tc>
          <w:tcPr>
            <w:tcW w:w="5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1,848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2,807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3,163</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5,623</w:t>
            </w:r>
          </w:p>
        </w:tc>
        <w:tc>
          <w:tcPr>
            <w:tcW w:w="100" w:type="dxa"/>
            <w:vAlign w:val="bottom"/>
            <w:shd w:val="clear" w:color="auto" w:fill="CCEEFF"/>
          </w:tcPr>
          <w:p>
            <w:pPr>
              <w:spacing w:after="0"/>
              <w:rPr>
                <w:sz w:val="19"/>
                <w:szCs w:val="19"/>
                <w:color w:val="auto"/>
              </w:rPr>
            </w:pPr>
          </w:p>
        </w:tc>
      </w:tr>
      <w:tr>
        <w:trPr>
          <w:trHeight w:val="223"/>
        </w:trPr>
        <w:tc>
          <w:tcPr>
            <w:tcW w:w="5520" w:type="dxa"/>
            <w:vAlign w:val="bottom"/>
            <w:tcBorders>
              <w:top w:val="single" w:sz="8" w:color="CCEEFF"/>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r>
      <w:tr>
        <w:trPr>
          <w:trHeight w:val="229"/>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5520" w:type="dxa"/>
            <w:vAlign w:val="bottom"/>
          </w:tcPr>
          <w:p>
            <w:pPr>
              <w:spacing w:after="0"/>
              <w:rPr>
                <w:sz w:val="20"/>
                <w:szCs w:val="20"/>
                <w:color w:val="auto"/>
              </w:rPr>
            </w:pPr>
            <w:r>
              <w:rPr>
                <w:rFonts w:ascii="Arial" w:cs="Arial" w:eastAsia="Arial" w:hAnsi="Arial"/>
                <w:sz w:val="18"/>
                <w:szCs w:val="18"/>
                <w:color w:val="auto"/>
              </w:rPr>
              <w:t>Sales and marketing</w:t>
            </w:r>
          </w:p>
        </w:tc>
        <w:tc>
          <w:tcPr>
            <w:tcW w:w="14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1,323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1,562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2,515</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3,122</w:t>
            </w:r>
          </w:p>
        </w:tc>
        <w:tc>
          <w:tcPr>
            <w:tcW w:w="100" w:type="dxa"/>
            <w:vAlign w:val="bottom"/>
          </w:tcPr>
          <w:p>
            <w:pPr>
              <w:spacing w:after="0"/>
              <w:rPr>
                <w:sz w:val="19"/>
                <w:szCs w:val="19"/>
                <w:color w:val="auto"/>
              </w:rPr>
            </w:pPr>
          </w:p>
        </w:tc>
      </w:tr>
      <w:tr>
        <w:trPr>
          <w:trHeight w:val="230"/>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Research and product development</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1,177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1,916</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2,530</w:t>
            </w:r>
          </w:p>
        </w:tc>
        <w:tc>
          <w:tcPr>
            <w:tcW w:w="100" w:type="dxa"/>
            <w:vAlign w:val="bottom"/>
            <w:shd w:val="clear" w:color="auto" w:fill="CCEEFF"/>
          </w:tcPr>
          <w:p>
            <w:pPr>
              <w:spacing w:after="0"/>
              <w:rPr>
                <w:sz w:val="19"/>
                <w:szCs w:val="19"/>
                <w:color w:val="auto"/>
              </w:rPr>
            </w:pPr>
          </w:p>
        </w:tc>
      </w:tr>
      <w:tr>
        <w:trPr>
          <w:trHeight w:val="229"/>
        </w:trPr>
        <w:tc>
          <w:tcPr>
            <w:tcW w:w="55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1,007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1,717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2,276</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3,473</w:t>
            </w:r>
          </w:p>
        </w:tc>
        <w:tc>
          <w:tcPr>
            <w:tcW w:w="100" w:type="dxa"/>
            <w:vAlign w:val="bottom"/>
          </w:tcPr>
          <w:p>
            <w:pPr>
              <w:spacing w:after="0"/>
              <w:rPr>
                <w:sz w:val="19"/>
                <w:szCs w:val="19"/>
                <w:color w:val="auto"/>
              </w:rPr>
            </w:pPr>
          </w:p>
        </w:tc>
      </w:tr>
      <w:tr>
        <w:trPr>
          <w:trHeight w:val="20"/>
        </w:trPr>
        <w:tc>
          <w:tcPr>
            <w:tcW w:w="5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4,456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6,707</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9,125</w:t>
            </w:r>
          </w:p>
        </w:tc>
        <w:tc>
          <w:tcPr>
            <w:tcW w:w="100" w:type="dxa"/>
            <w:vAlign w:val="bottom"/>
            <w:shd w:val="clear" w:color="auto" w:fill="CCEEFF"/>
          </w:tcPr>
          <w:p>
            <w:pPr>
              <w:spacing w:after="0"/>
              <w:rPr>
                <w:sz w:val="19"/>
                <w:szCs w:val="19"/>
                <w:color w:val="auto"/>
              </w:rPr>
            </w:pPr>
          </w:p>
        </w:tc>
      </w:tr>
      <w:tr>
        <w:trPr>
          <w:trHeight w:val="223"/>
        </w:trPr>
        <w:tc>
          <w:tcPr>
            <w:tcW w:w="5520" w:type="dxa"/>
            <w:vAlign w:val="bottom"/>
            <w:tcBorders>
              <w:top w:val="single" w:sz="8" w:color="CCEEFF"/>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r>
      <w:tr>
        <w:trPr>
          <w:trHeight w:val="230"/>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(1,355)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(1,649)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(3,544)</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(3,502)</w:t>
            </w:r>
          </w:p>
        </w:tc>
      </w:tr>
      <w:tr>
        <w:trPr>
          <w:trHeight w:val="229"/>
        </w:trPr>
        <w:tc>
          <w:tcPr>
            <w:tcW w:w="5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(383)</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(195)</w:t>
            </w:r>
          </w:p>
        </w:tc>
      </w:tr>
      <w:tr>
        <w:trPr>
          <w:trHeight w:val="229"/>
        </w:trPr>
        <w:tc>
          <w:tcPr>
            <w:tcW w:w="5520" w:type="dxa"/>
            <w:vAlign w:val="bottom"/>
          </w:tcPr>
          <w:p>
            <w:pPr>
              <w:spacing w:after="0"/>
              <w:rPr>
                <w:sz w:val="20"/>
                <w:szCs w:val="20"/>
                <w:color w:val="auto"/>
              </w:rPr>
            </w:pPr>
            <w:r>
              <w:rPr>
                <w:rFonts w:ascii="Arial" w:cs="Arial" w:eastAsia="Arial" w:hAnsi="Arial"/>
                <w:sz w:val="18"/>
                <w:szCs w:val="18"/>
                <w:color w:val="auto"/>
              </w:rPr>
              <w:t>Other income, net</w:t>
            </w:r>
          </w:p>
        </w:tc>
        <w:tc>
          <w:tcPr>
            <w:tcW w:w="14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437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1,505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2,103</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1,508</w:t>
            </w:r>
          </w:p>
        </w:tc>
        <w:tc>
          <w:tcPr>
            <w:tcW w:w="100" w:type="dxa"/>
            <w:vAlign w:val="bottom"/>
          </w:tcPr>
          <w:p>
            <w:pPr>
              <w:spacing w:after="0"/>
              <w:rPr>
                <w:sz w:val="19"/>
                <w:szCs w:val="19"/>
                <w:color w:val="auto"/>
              </w:rPr>
            </w:pPr>
          </w:p>
        </w:tc>
      </w:tr>
      <w:tr>
        <w:trPr>
          <w:trHeight w:val="223"/>
        </w:trPr>
        <w:tc>
          <w:tcPr>
            <w:tcW w:w="5520" w:type="dxa"/>
            <w:vAlign w:val="bottom"/>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552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14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(1,009)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(1,824)</w:t>
            </w:r>
          </w:p>
        </w:tc>
        <w:tc>
          <w:tcPr>
            <w:tcW w:w="28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(2,189)</w:t>
            </w:r>
          </w:p>
        </w:tc>
      </w:tr>
      <w:tr>
        <w:trPr>
          <w:trHeight w:val="229"/>
        </w:trPr>
        <w:tc>
          <w:tcPr>
            <w:tcW w:w="5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4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27</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r>
      <w:tr>
        <w:trPr>
          <w:trHeight w:val="229"/>
        </w:trPr>
        <w:tc>
          <w:tcPr>
            <w:tcW w:w="55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10"/>
        </w:trPr>
        <w:tc>
          <w:tcPr>
            <w:tcW w:w="5520" w:type="dxa"/>
            <w:vAlign w:val="bottom"/>
          </w:tcPr>
          <w:p>
            <w:pPr>
              <w:spacing w:after="0"/>
              <w:rPr>
                <w:sz w:val="20"/>
                <w:szCs w:val="20"/>
                <w:color w:val="auto"/>
              </w:rPr>
            </w:pPr>
            <w:r>
              <w:rPr>
                <w:rFonts w:ascii="Arial" w:cs="Arial" w:eastAsia="Arial" w:hAnsi="Arial"/>
                <w:sz w:val="18"/>
                <w:szCs w:val="18"/>
                <w:color w:val="auto"/>
              </w:rPr>
              <w:t>Net loss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(1,019)</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(257)</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(1,851)</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(2,224)</w:t>
            </w:r>
          </w:p>
        </w:tc>
      </w:tr>
      <w:tr>
        <w:trPr>
          <w:trHeight w:val="20"/>
        </w:trPr>
        <w:tc>
          <w:tcPr>
            <w:tcW w:w="55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197"/>
        </w:trPr>
        <w:tc>
          <w:tcPr>
            <w:tcW w:w="5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9"/>
        </w:trPr>
        <w:tc>
          <w:tcPr>
            <w:tcW w:w="5520" w:type="dxa"/>
            <w:vAlign w:val="bottom"/>
          </w:tcPr>
          <w:p>
            <w:pPr>
              <w:spacing w:after="0"/>
              <w:rPr>
                <w:sz w:val="20"/>
                <w:szCs w:val="20"/>
                <w:color w:val="auto"/>
              </w:rPr>
            </w:pPr>
            <w:r>
              <w:rPr>
                <w:rFonts w:ascii="Arial" w:cs="Arial" w:eastAsia="Arial" w:hAnsi="Arial"/>
                <w:sz w:val="18"/>
                <w:szCs w:val="18"/>
                <w:color w:val="auto"/>
              </w:rPr>
              <w:t>Basic weighted average shares outstanding</w:t>
            </w:r>
          </w:p>
        </w:tc>
        <w:tc>
          <w:tcPr>
            <w:tcW w:w="14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23,955,802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23,948,631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23,955,785</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23,923,110</w:t>
            </w:r>
          </w:p>
        </w:tc>
        <w:tc>
          <w:tcPr>
            <w:tcW w:w="100" w:type="dxa"/>
            <w:vAlign w:val="bottom"/>
          </w:tcPr>
          <w:p>
            <w:pPr>
              <w:spacing w:after="0"/>
              <w:rPr>
                <w:sz w:val="19"/>
                <w:szCs w:val="19"/>
                <w:color w:val="auto"/>
              </w:rPr>
            </w:pPr>
          </w:p>
        </w:tc>
      </w:tr>
      <w:tr>
        <w:trPr>
          <w:trHeight w:val="230"/>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shares outstanding</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23,955,802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23,948,631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23,955,785</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23,923,110</w:t>
            </w:r>
          </w:p>
        </w:tc>
        <w:tc>
          <w:tcPr>
            <w:tcW w:w="100" w:type="dxa"/>
            <w:vAlign w:val="bottom"/>
            <w:shd w:val="clear" w:color="auto" w:fill="CCEEFF"/>
          </w:tcPr>
          <w:p>
            <w:pPr>
              <w:spacing w:after="0"/>
              <w:rPr>
                <w:sz w:val="19"/>
                <w:szCs w:val="19"/>
                <w:color w:val="auto"/>
              </w:rPr>
            </w:pPr>
          </w:p>
        </w:tc>
      </w:tr>
      <w:tr>
        <w:trPr>
          <w:trHeight w:val="230"/>
        </w:trPr>
        <w:tc>
          <w:tcPr>
            <w:tcW w:w="5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Basic loss per share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(0.04)</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(0.01)</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(0.08)</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(0.09)</w:t>
            </w: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Diluted loss per share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(0.04)</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(0.01)</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(0.08)</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(0.09)</w:t>
            </w:r>
          </w:p>
        </w:tc>
      </w:tr>
      <w:tr>
        <w:trPr>
          <w:trHeight w:val="229"/>
        </w:trPr>
        <w:tc>
          <w:tcPr>
            <w:tcW w:w="5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Comprehensive loss:</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(1,019)</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(257)</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(1,851)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(2,224)</w:t>
            </w:r>
          </w:p>
        </w:tc>
      </w:tr>
      <w:tr>
        <w:trPr>
          <w:trHeight w:val="216"/>
        </w:trPr>
        <w:tc>
          <w:tcPr>
            <w:tcW w:w="5520" w:type="dxa"/>
            <w:vAlign w:val="bottom"/>
          </w:tcPr>
          <w:p>
            <w:pPr>
              <w:ind w:left="180"/>
              <w:spacing w:after="0"/>
              <w:rPr>
                <w:sz w:val="20"/>
                <w:szCs w:val="20"/>
                <w:color w:val="auto"/>
              </w:rPr>
            </w:pPr>
            <w:r>
              <w:rPr>
                <w:rFonts w:ascii="Arial" w:cs="Arial" w:eastAsia="Arial" w:hAnsi="Arial"/>
                <w:sz w:val="18"/>
                <w:szCs w:val="18"/>
                <w:color w:val="auto"/>
              </w:rPr>
              <w:t>Unrealized loss on available-for-sale securities, net of tax</w:t>
            </w:r>
          </w:p>
        </w:tc>
        <w:tc>
          <w:tcPr>
            <w:tcW w:w="14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r>
      <w:tr>
        <w:trPr>
          <w:trHeight w:val="230"/>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foreign currency translation adjustment</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r>
      <w:tr>
        <w:trPr>
          <w:trHeight w:val="20"/>
        </w:trPr>
        <w:tc>
          <w:tcPr>
            <w:tcW w:w="55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520" w:type="dxa"/>
            <w:vAlign w:val="bottom"/>
          </w:tcPr>
          <w:p>
            <w:pPr>
              <w:spacing w:after="0"/>
              <w:rPr>
                <w:sz w:val="20"/>
                <w:szCs w:val="20"/>
                <w:color w:val="auto"/>
              </w:rPr>
            </w:pPr>
            <w:r>
              <w:rPr>
                <w:rFonts w:ascii="Arial" w:cs="Arial" w:eastAsia="Arial" w:hAnsi="Arial"/>
                <w:sz w:val="18"/>
                <w:szCs w:val="18"/>
                <w:color w:val="auto"/>
              </w:rPr>
              <w:t>Comprehensive loss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(1,006)</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(243)</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(1,833)</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(2,249)</w:t>
            </w:r>
          </w:p>
        </w:tc>
      </w:tr>
      <w:tr>
        <w:trPr>
          <w:trHeight w:val="20"/>
        </w:trPr>
        <w:tc>
          <w:tcPr>
            <w:tcW w:w="5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amounts)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20" w:type="dxa"/>
            <w:vAlign w:val="bottom"/>
            <w:gridSpan w:val="5"/>
          </w:tcPr>
          <w:p>
            <w:pPr>
              <w:jc w:val="right"/>
              <w:ind w:right="400"/>
              <w:spacing w:after="0"/>
              <w:rPr>
                <w:sz w:val="20"/>
                <w:szCs w:val="20"/>
                <w:color w:val="auto"/>
              </w:rPr>
            </w:pPr>
            <w:r>
              <w:rPr>
                <w:rFonts w:ascii="Arial" w:cs="Arial" w:eastAsia="Arial" w:hAnsi="Arial"/>
                <w:sz w:val="18"/>
                <w:szCs w:val="18"/>
                <w:b w:val="1"/>
                <w:bCs w:val="1"/>
                <w:color w:val="auto"/>
                <w:w w:val="94"/>
              </w:rPr>
              <w:t>Six Months Ended June 30,</w:t>
            </w:r>
          </w:p>
        </w:tc>
      </w:tr>
      <w:tr>
        <w:trPr>
          <w:trHeight w:val="223"/>
        </w:trPr>
        <w:tc>
          <w:tcPr>
            <w:tcW w:w="844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20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r>
      <w:tr>
        <w:trPr>
          <w:trHeight w:val="210"/>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8440" w:type="dxa"/>
            <w:vAlign w:val="bottom"/>
          </w:tcPr>
          <w:p>
            <w:pPr>
              <w:spacing w:after="0"/>
              <w:rPr>
                <w:sz w:val="20"/>
                <w:szCs w:val="20"/>
                <w:color w:val="auto"/>
              </w:rPr>
            </w:pPr>
            <w:r>
              <w:rPr>
                <w:rFonts w:ascii="Arial" w:cs="Arial" w:eastAsia="Arial" w:hAnsi="Arial"/>
                <w:sz w:val="18"/>
                <w:szCs w:val="18"/>
                <w:color w:val="auto"/>
              </w:rPr>
              <w:t>Net loss</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(1,851)</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(2,224)</w:t>
            </w:r>
          </w:p>
        </w:tc>
      </w:tr>
      <w:tr>
        <w:trPr>
          <w:trHeight w:val="230"/>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provided by (used in) operating activities:</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8440" w:type="dxa"/>
            <w:vAlign w:val="bottom"/>
          </w:tcPr>
          <w:p>
            <w:pPr>
              <w:ind w:left="180"/>
              <w:spacing w:after="0"/>
              <w:rPr>
                <w:sz w:val="20"/>
                <w:szCs w:val="20"/>
                <w:color w:val="auto"/>
              </w:rPr>
            </w:pPr>
            <w:r>
              <w:rPr>
                <w:rFonts w:ascii="Arial" w:cs="Arial" w:eastAsia="Arial" w:hAnsi="Arial"/>
                <w:sz w:val="18"/>
                <w:szCs w:val="18"/>
                <w:color w:val="auto"/>
              </w:rPr>
              <w:t>Depreciation and amortization expense</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449</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1,593</w:t>
            </w:r>
          </w:p>
        </w:tc>
        <w:tc>
          <w:tcPr>
            <w:tcW w:w="100" w:type="dxa"/>
            <w:vAlign w:val="bottom"/>
          </w:tcPr>
          <w:p>
            <w:pPr>
              <w:spacing w:after="0"/>
              <w:rPr>
                <w:sz w:val="19"/>
                <w:szCs w:val="19"/>
                <w:color w:val="auto"/>
              </w:rPr>
            </w:pPr>
          </w:p>
        </w:tc>
      </w:tr>
      <w:tr>
        <w:trPr>
          <w:trHeight w:val="229"/>
        </w:trPr>
        <w:tc>
          <w:tcPr>
            <w:tcW w:w="8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right-of-use assets</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19"/>
                <w:szCs w:val="19"/>
                <w:color w:val="auto"/>
              </w:rPr>
            </w:pPr>
          </w:p>
        </w:tc>
      </w:tr>
      <w:tr>
        <w:trPr>
          <w:trHeight w:val="230"/>
        </w:trPr>
        <w:tc>
          <w:tcPr>
            <w:tcW w:w="8440" w:type="dxa"/>
            <w:vAlign w:val="bottom"/>
          </w:tcPr>
          <w:p>
            <w:pPr>
              <w:ind w:left="180"/>
              <w:spacing w:after="0"/>
              <w:rPr>
                <w:sz w:val="20"/>
                <w:szCs w:val="20"/>
                <w:color w:val="auto"/>
              </w:rPr>
            </w:pPr>
            <w:r>
              <w:rPr>
                <w:rFonts w:ascii="Arial" w:cs="Arial" w:eastAsia="Arial" w:hAnsi="Arial"/>
                <w:sz w:val="18"/>
                <w:szCs w:val="18"/>
                <w:color w:val="auto"/>
              </w:rPr>
              <w:t>Share-based compensation expense</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r>
      <w:tr>
        <w:trPr>
          <w:trHeight w:val="229"/>
        </w:trPr>
        <w:tc>
          <w:tcPr>
            <w:tcW w:w="8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of inventory to net realizable value</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r>
      <w:tr>
        <w:trPr>
          <w:trHeight w:val="230"/>
        </w:trPr>
        <w:tc>
          <w:tcPr>
            <w:tcW w:w="8440" w:type="dxa"/>
            <w:vAlign w:val="bottom"/>
          </w:tcPr>
          <w:p>
            <w:pPr>
              <w:ind w:left="180"/>
              <w:spacing w:after="0"/>
              <w:rPr>
                <w:sz w:val="20"/>
                <w:szCs w:val="20"/>
                <w:color w:val="auto"/>
              </w:rPr>
            </w:pPr>
            <w:r>
              <w:rPr>
                <w:rFonts w:ascii="Arial" w:cs="Arial" w:eastAsia="Arial" w:hAnsi="Arial"/>
                <w:sz w:val="18"/>
                <w:szCs w:val="18"/>
                <w:color w:val="auto"/>
              </w:rPr>
              <w:t>Gain recognized on Paycheck Protection Plan Loan forgiveness</w:t>
            </w:r>
          </w:p>
        </w:tc>
        <w:tc>
          <w:tcPr>
            <w:tcW w:w="18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(1,528)</w:t>
            </w:r>
          </w:p>
        </w:tc>
      </w:tr>
      <w:tr>
        <w:trPr>
          <w:trHeight w:val="229"/>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8440" w:type="dxa"/>
            <w:vAlign w:val="bottom"/>
          </w:tcPr>
          <w:p>
            <w:pPr>
              <w:ind w:left="180"/>
              <w:spacing w:after="0"/>
              <w:rPr>
                <w:sz w:val="20"/>
                <w:szCs w:val="20"/>
                <w:color w:val="auto"/>
              </w:rPr>
            </w:pPr>
            <w:r>
              <w:rPr>
                <w:rFonts w:ascii="Arial" w:cs="Arial" w:eastAsia="Arial" w:hAnsi="Arial"/>
                <w:sz w:val="18"/>
                <w:szCs w:val="18"/>
                <w:color w:val="auto"/>
              </w:rPr>
              <w:t>Receivables</w:t>
            </w:r>
          </w:p>
        </w:tc>
        <w:tc>
          <w:tcPr>
            <w:tcW w:w="18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(629)</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879</w:t>
            </w:r>
          </w:p>
        </w:tc>
        <w:tc>
          <w:tcPr>
            <w:tcW w:w="100" w:type="dxa"/>
            <w:vAlign w:val="bottom"/>
          </w:tcPr>
          <w:p>
            <w:pPr>
              <w:spacing w:after="0"/>
              <w:rPr>
                <w:sz w:val="19"/>
                <w:szCs w:val="19"/>
                <w:color w:val="auto"/>
              </w:rPr>
            </w:pPr>
          </w:p>
        </w:tc>
      </w:tr>
      <w:tr>
        <w:trPr>
          <w:trHeight w:val="216"/>
        </w:trPr>
        <w:tc>
          <w:tcPr>
            <w:tcW w:w="8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Legal settlement receivable</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55,000</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844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657</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730</w:t>
            </w:r>
          </w:p>
        </w:tc>
        <w:tc>
          <w:tcPr>
            <w:tcW w:w="100" w:type="dxa"/>
            <w:vAlign w:val="bottom"/>
          </w:tcPr>
          <w:p>
            <w:pPr>
              <w:spacing w:after="0"/>
              <w:rPr>
                <w:sz w:val="19"/>
                <w:szCs w:val="19"/>
                <w:color w:val="auto"/>
              </w:rPr>
            </w:pPr>
          </w:p>
        </w:tc>
      </w:tr>
      <w:tr>
        <w:trPr>
          <w:trHeight w:val="229"/>
        </w:trPr>
        <w:tc>
          <w:tcPr>
            <w:tcW w:w="8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 and other assets</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3,536</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w:t>
            </w:r>
          </w:p>
        </w:tc>
        <w:tc>
          <w:tcPr>
            <w:tcW w:w="100" w:type="dxa"/>
            <w:vAlign w:val="bottom"/>
            <w:shd w:val="clear" w:color="auto" w:fill="CCEEFF"/>
          </w:tcPr>
          <w:p>
            <w:pPr>
              <w:spacing w:after="0"/>
              <w:rPr>
                <w:sz w:val="19"/>
                <w:szCs w:val="19"/>
                <w:color w:val="auto"/>
              </w:rPr>
            </w:pPr>
          </w:p>
        </w:tc>
      </w:tr>
      <w:tr>
        <w:trPr>
          <w:trHeight w:val="230"/>
        </w:trPr>
        <w:tc>
          <w:tcPr>
            <w:tcW w:w="844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1,151</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(3,341)</w:t>
            </w:r>
          </w:p>
        </w:tc>
      </w:tr>
      <w:tr>
        <w:trPr>
          <w:trHeight w:val="229"/>
        </w:trPr>
        <w:tc>
          <w:tcPr>
            <w:tcW w:w="8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liabilities</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(204)</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r>
      <w:tr>
        <w:trPr>
          <w:trHeight w:val="230"/>
        </w:trPr>
        <w:tc>
          <w:tcPr>
            <w:tcW w:w="8440" w:type="dxa"/>
            <w:vAlign w:val="bottom"/>
          </w:tcPr>
          <w:p>
            <w:pPr>
              <w:ind w:left="180"/>
              <w:spacing w:after="0"/>
              <w:rPr>
                <w:sz w:val="20"/>
                <w:szCs w:val="20"/>
                <w:color w:val="auto"/>
              </w:rPr>
            </w:pPr>
            <w:r>
              <w:rPr>
                <w:rFonts w:ascii="Arial" w:cs="Arial" w:eastAsia="Arial" w:hAnsi="Arial"/>
                <w:sz w:val="18"/>
                <w:szCs w:val="18"/>
                <w:color w:val="auto"/>
              </w:rPr>
              <w:t>Income taxes receivable</w:t>
            </w:r>
          </w:p>
        </w:tc>
        <w:tc>
          <w:tcPr>
            <w:tcW w:w="18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(5,310)</w:t>
            </w:r>
          </w:p>
        </w:tc>
        <w:tc>
          <w:tcPr>
            <w:tcW w:w="28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8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product revenue</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r>
      <w:tr>
        <w:trPr>
          <w:trHeight w:val="229"/>
        </w:trPr>
        <w:tc>
          <w:tcPr>
            <w:tcW w:w="8440" w:type="dxa"/>
            <w:vAlign w:val="bottom"/>
          </w:tcPr>
          <w:p>
            <w:pPr>
              <w:ind w:left="180"/>
              <w:spacing w:after="0"/>
              <w:rPr>
                <w:sz w:val="20"/>
                <w:szCs w:val="20"/>
                <w:color w:val="auto"/>
              </w:rPr>
            </w:pPr>
            <w:r>
              <w:rPr>
                <w:rFonts w:ascii="Arial" w:cs="Arial" w:eastAsia="Arial" w:hAnsi="Arial"/>
                <w:sz w:val="18"/>
                <w:szCs w:val="18"/>
                <w:color w:val="auto"/>
              </w:rPr>
              <w:t>Operating lease liabilities</w:t>
            </w:r>
          </w:p>
        </w:tc>
        <w:tc>
          <w:tcPr>
            <w:tcW w:w="18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(235)</w:t>
            </w:r>
          </w:p>
        </w:tc>
        <w:tc>
          <w:tcPr>
            <w:tcW w:w="28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(312)</w:t>
            </w:r>
          </w:p>
        </w:tc>
      </w:tr>
      <w:tr>
        <w:trPr>
          <w:trHeight w:val="223"/>
        </w:trPr>
        <w:tc>
          <w:tcPr>
            <w:tcW w:w="8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52,920</w:t>
            </w:r>
          </w:p>
        </w:tc>
        <w:tc>
          <w:tcPr>
            <w:tcW w:w="2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(2,692)</w:t>
            </w:r>
          </w:p>
        </w:tc>
        <w:tc>
          <w:tcPr>
            <w:tcW w:w="100" w:type="dxa"/>
            <w:vAlign w:val="bottom"/>
            <w:tcBorders>
              <w:top w:val="single" w:sz="8" w:color="CCEEFF"/>
            </w:tcBorders>
            <w:shd w:val="clear" w:color="auto" w:fill="CCEEFF"/>
          </w:tcPr>
          <w:p>
            <w:pPr>
              <w:spacing w:after="0"/>
              <w:rPr>
                <w:sz w:val="19"/>
                <w:szCs w:val="19"/>
                <w:color w:val="auto"/>
              </w:rPr>
            </w:pPr>
          </w:p>
        </w:tc>
      </w:tr>
      <w:tr>
        <w:trPr>
          <w:trHeight w:val="209"/>
        </w:trPr>
        <w:tc>
          <w:tcPr>
            <w:tcW w:w="8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8440" w:type="dxa"/>
            <w:vAlign w:val="bottom"/>
          </w:tcPr>
          <w:p>
            <w:pPr>
              <w:ind w:left="180"/>
              <w:spacing w:after="0"/>
              <w:rPr>
                <w:sz w:val="20"/>
                <w:szCs w:val="20"/>
                <w:color w:val="auto"/>
              </w:rPr>
            </w:pPr>
            <w:r>
              <w:rPr>
                <w:rFonts w:ascii="Arial" w:cs="Arial" w:eastAsia="Arial" w:hAnsi="Arial"/>
                <w:sz w:val="18"/>
                <w:szCs w:val="18"/>
                <w:color w:val="auto"/>
              </w:rPr>
              <w:t>Purchase of property and equipment</w:t>
            </w:r>
          </w:p>
        </w:tc>
        <w:tc>
          <w:tcPr>
            <w:tcW w:w="18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(326)</w:t>
            </w:r>
          </w:p>
        </w:tc>
        <w:tc>
          <w:tcPr>
            <w:tcW w:w="28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r>
      <w:tr>
        <w:trPr>
          <w:trHeight w:val="243"/>
        </w:trPr>
        <w:tc>
          <w:tcPr>
            <w:tcW w:w="8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 of intangibles</w:t>
            </w:r>
          </w:p>
        </w:tc>
        <w:tc>
          <w:tcPr>
            <w:tcW w:w="18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w:t>
            </w:r>
          </w:p>
        </w:tc>
        <w:tc>
          <w:tcPr>
            <w:tcW w:w="2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w:t>
            </w:r>
          </w:p>
        </w:tc>
      </w:tr>
      <w:tr>
        <w:trPr>
          <w:trHeight w:val="230"/>
        </w:trPr>
        <w:tc>
          <w:tcPr>
            <w:tcW w:w="8440" w:type="dxa"/>
            <w:vAlign w:val="bottom"/>
          </w:tcPr>
          <w:p>
            <w:pPr>
              <w:ind w:left="180"/>
              <w:spacing w:after="0"/>
              <w:rPr>
                <w:sz w:val="20"/>
                <w:szCs w:val="20"/>
                <w:color w:val="auto"/>
              </w:rPr>
            </w:pPr>
            <w:r>
              <w:rPr>
                <w:rFonts w:ascii="Arial" w:cs="Arial" w:eastAsia="Arial" w:hAnsi="Arial"/>
                <w:sz w:val="18"/>
                <w:szCs w:val="18"/>
                <w:color w:val="auto"/>
              </w:rPr>
              <w:t>Capitalized patent defense costs</w:t>
            </w:r>
          </w:p>
        </w:tc>
        <w:tc>
          <w:tcPr>
            <w:tcW w:w="18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(497)</w:t>
            </w:r>
          </w:p>
        </w:tc>
      </w:tr>
      <w:tr>
        <w:trPr>
          <w:trHeight w:val="230"/>
        </w:trPr>
        <w:tc>
          <w:tcPr>
            <w:tcW w:w="8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maturities and sales of marketable securities</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2,344</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3,008</w:t>
            </w:r>
          </w:p>
        </w:tc>
        <w:tc>
          <w:tcPr>
            <w:tcW w:w="100" w:type="dxa"/>
            <w:vAlign w:val="bottom"/>
            <w:shd w:val="clear" w:color="auto" w:fill="CCEEFF"/>
          </w:tcPr>
          <w:p>
            <w:pPr>
              <w:spacing w:after="0"/>
              <w:rPr>
                <w:sz w:val="19"/>
                <w:szCs w:val="19"/>
                <w:color w:val="auto"/>
              </w:rPr>
            </w:pPr>
          </w:p>
        </w:tc>
      </w:tr>
      <w:tr>
        <w:trPr>
          <w:trHeight w:val="216"/>
        </w:trPr>
        <w:tc>
          <w:tcPr>
            <w:tcW w:w="8440" w:type="dxa"/>
            <w:vAlign w:val="bottom"/>
          </w:tcPr>
          <w:p>
            <w:pPr>
              <w:ind w:left="180"/>
              <w:spacing w:after="0"/>
              <w:rPr>
                <w:sz w:val="20"/>
                <w:szCs w:val="20"/>
                <w:color w:val="auto"/>
              </w:rPr>
            </w:pPr>
            <w:r>
              <w:rPr>
                <w:rFonts w:ascii="Arial" w:cs="Arial" w:eastAsia="Arial" w:hAnsi="Arial"/>
                <w:sz w:val="18"/>
                <w:szCs w:val="18"/>
                <w:color w:val="auto"/>
              </w:rPr>
              <w:t>Purchases of marketable securities</w:t>
            </w:r>
          </w:p>
        </w:tc>
        <w:tc>
          <w:tcPr>
            <w:tcW w:w="18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(9,332)</w:t>
            </w: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0"/>
        </w:trPr>
        <w:tc>
          <w:tcPr>
            <w:tcW w:w="84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investing activities</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(7,393)</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2,437</w:t>
            </w:r>
          </w:p>
        </w:tc>
        <w:tc>
          <w:tcPr>
            <w:tcW w:w="100" w:type="dxa"/>
            <w:vAlign w:val="bottom"/>
            <w:shd w:val="clear" w:color="auto" w:fill="CCEEFF"/>
          </w:tcPr>
          <w:p>
            <w:pPr>
              <w:spacing w:after="0"/>
              <w:rPr>
                <w:sz w:val="18"/>
                <w:szCs w:val="18"/>
                <w:color w:val="auto"/>
              </w:rPr>
            </w:pPr>
          </w:p>
        </w:tc>
      </w:tr>
      <w:tr>
        <w:trPr>
          <w:trHeight w:val="210"/>
        </w:trPr>
        <w:tc>
          <w:tcPr>
            <w:tcW w:w="84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0"/>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8440" w:type="dxa"/>
            <w:vAlign w:val="bottom"/>
          </w:tcPr>
          <w:p>
            <w:pPr>
              <w:ind w:left="180"/>
              <w:spacing w:after="0"/>
              <w:rPr>
                <w:sz w:val="20"/>
                <w:szCs w:val="20"/>
                <w:color w:val="auto"/>
              </w:rPr>
            </w:pPr>
            <w:r>
              <w:rPr>
                <w:rFonts w:ascii="Arial" w:cs="Arial" w:eastAsia="Arial" w:hAnsi="Arial"/>
                <w:sz w:val="18"/>
                <w:szCs w:val="18"/>
                <w:color w:val="auto"/>
              </w:rPr>
              <w:t>Dividend payment</w:t>
            </w:r>
          </w:p>
        </w:tc>
        <w:tc>
          <w:tcPr>
            <w:tcW w:w="18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(28,979)</w:t>
            </w:r>
          </w:p>
        </w:tc>
        <w:tc>
          <w:tcPr>
            <w:tcW w:w="28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8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proceeds from equity-based compensation programs</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r>
      <w:tr>
        <w:trPr>
          <w:trHeight w:val="216"/>
        </w:trPr>
        <w:tc>
          <w:tcPr>
            <w:tcW w:w="8440" w:type="dxa"/>
            <w:vAlign w:val="bottom"/>
          </w:tcPr>
          <w:p>
            <w:pPr>
              <w:ind w:left="180"/>
              <w:spacing w:after="0"/>
              <w:rPr>
                <w:sz w:val="20"/>
                <w:szCs w:val="20"/>
                <w:color w:val="auto"/>
              </w:rPr>
            </w:pPr>
            <w:r>
              <w:rPr>
                <w:rFonts w:ascii="Arial" w:cs="Arial" w:eastAsia="Arial" w:hAnsi="Arial"/>
                <w:sz w:val="18"/>
                <w:szCs w:val="18"/>
                <w:color w:val="auto"/>
              </w:rPr>
              <w:t>Paycheck Protection Program loan refund upon full forgiveness net of loan payments</w:t>
            </w:r>
          </w:p>
        </w:tc>
        <w:tc>
          <w:tcPr>
            <w:tcW w:w="1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768</w:t>
            </w:r>
          </w:p>
        </w:tc>
        <w:tc>
          <w:tcPr>
            <w:tcW w:w="100" w:type="dxa"/>
            <w:vAlign w:val="bottom"/>
          </w:tcPr>
          <w:p>
            <w:pPr>
              <w:spacing w:after="0"/>
              <w:rPr>
                <w:sz w:val="18"/>
                <w:szCs w:val="18"/>
                <w:color w:val="auto"/>
              </w:rPr>
            </w:pPr>
          </w:p>
        </w:tc>
      </w:tr>
      <w:tr>
        <w:trPr>
          <w:trHeight w:val="243"/>
        </w:trPr>
        <w:tc>
          <w:tcPr>
            <w:tcW w:w="8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Principal payments of debt</w:t>
            </w:r>
          </w:p>
        </w:tc>
        <w:tc>
          <w:tcPr>
            <w:tcW w:w="18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(2,450)</w:t>
            </w:r>
          </w:p>
        </w:tc>
        <w:tc>
          <w:tcPr>
            <w:tcW w:w="2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(360)</w:t>
            </w:r>
          </w:p>
        </w:tc>
      </w:tr>
      <w:tr>
        <w:trPr>
          <w:trHeight w:val="223"/>
        </w:trPr>
        <w:tc>
          <w:tcPr>
            <w:tcW w:w="8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provided by (used in) financing activities</w:t>
            </w:r>
          </w:p>
        </w:tc>
        <w:tc>
          <w:tcPr>
            <w:tcW w:w="1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(31,428)</w:t>
            </w:r>
          </w:p>
        </w:tc>
        <w:tc>
          <w:tcPr>
            <w:tcW w:w="2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410</w:t>
            </w:r>
          </w:p>
        </w:tc>
        <w:tc>
          <w:tcPr>
            <w:tcW w:w="100" w:type="dxa"/>
            <w:vAlign w:val="bottom"/>
            <w:tcBorders>
              <w:bottom w:val="single" w:sz="8" w:color="CCEEFF"/>
            </w:tcBorders>
          </w:tcPr>
          <w:p>
            <w:pPr>
              <w:spacing w:after="0"/>
              <w:rPr>
                <w:sz w:val="19"/>
                <w:szCs w:val="19"/>
                <w:color w:val="auto"/>
              </w:rPr>
            </w:pPr>
          </w:p>
        </w:tc>
      </w:tr>
      <w:tr>
        <w:trPr>
          <w:trHeight w:val="210"/>
        </w:trPr>
        <w:tc>
          <w:tcPr>
            <w:tcW w:w="8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3"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rPr>
          <w:sz w:val="20"/>
          <w:szCs w:val="20"/>
          <w:color w:val="auto"/>
        </w:rPr>
      </w:pPr>
      <w:r>
        <w:rPr>
          <w:rFonts w:ascii="Arial" w:cs="Arial" w:eastAsia="Arial" w:hAnsi="Arial"/>
          <w:sz w:val="15"/>
          <w:szCs w:val="15"/>
          <w:color w:val="auto"/>
        </w:rPr>
        <w:t>Effect of exchange rate changes on cash and cash equivalents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Net increase in cash and cash equivalents</w:t>
      </w:r>
    </w:p>
    <w:p>
      <w:pPr>
        <w:spacing w:after="0" w:line="23" w:lineRule="exact"/>
        <w:rPr>
          <w:sz w:val="20"/>
          <w:szCs w:val="20"/>
          <w:color w:val="auto"/>
        </w:rPr>
      </w:pPr>
    </w:p>
    <w:p>
      <w:pPr>
        <w:ind w:right="340"/>
        <w:spacing w:after="0" w:line="393" w:lineRule="auto"/>
        <w:rPr>
          <w:sz w:val="20"/>
          <w:szCs w:val="20"/>
          <w:color w:val="auto"/>
        </w:rPr>
      </w:pPr>
      <w:r>
        <w:rPr>
          <w:rFonts w:ascii="Arial" w:cs="Arial" w:eastAsia="Arial" w:hAnsi="Arial"/>
          <w:sz w:val="16"/>
          <w:szCs w:val="16"/>
          <w:color w:val="auto"/>
        </w:rPr>
        <w:t>Cash and cash equivalents at the beginning of the period Cash and cash equivalents at the end of the period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3700" w:type="dxa"/>
        <w:tblCellMar>
          <w:top w:w="0" w:type="dxa"/>
          <w:left w:w="0" w:type="dxa"/>
          <w:bottom w:w="0" w:type="dxa"/>
          <w:right w:w="0" w:type="dxa"/>
        </w:tblCellMar>
      </w:tblPr>
      <w:tr>
        <w:trPr>
          <w:trHeight w:val="230"/>
        </w:trPr>
        <w:tc>
          <w:tcPr>
            <w:tcW w:w="4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(23)</w:t>
            </w:r>
          </w:p>
        </w:tc>
      </w:tr>
      <w:tr>
        <w:trPr>
          <w:trHeight w:val="458"/>
        </w:trPr>
        <w:tc>
          <w:tcPr>
            <w:tcW w:w="4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14,102</w:t>
            </w: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132</w:t>
            </w:r>
          </w:p>
        </w:tc>
        <w:tc>
          <w:tcPr>
            <w:tcW w:w="40" w:type="dxa"/>
            <w:vAlign w:val="bottom"/>
          </w:tcPr>
          <w:p>
            <w:pPr>
              <w:spacing w:after="0"/>
              <w:rPr>
                <w:sz w:val="24"/>
                <w:szCs w:val="24"/>
                <w:color w:val="auto"/>
              </w:rPr>
            </w:pPr>
          </w:p>
        </w:tc>
      </w:tr>
      <w:tr>
        <w:trPr>
          <w:trHeight w:val="230"/>
        </w:trPr>
        <w:tc>
          <w:tcPr>
            <w:tcW w:w="4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984</w:t>
            </w:r>
          </w:p>
        </w:tc>
        <w:tc>
          <w:tcPr>
            <w:tcW w:w="2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1,071</w:t>
            </w:r>
          </w:p>
        </w:tc>
        <w:tc>
          <w:tcPr>
            <w:tcW w:w="40" w:type="dxa"/>
            <w:vAlign w:val="bottom"/>
          </w:tcPr>
          <w:p>
            <w:pPr>
              <w:spacing w:after="0"/>
              <w:rPr>
                <w:sz w:val="20"/>
                <w:szCs w:val="20"/>
                <w:color w:val="auto"/>
              </w:rPr>
            </w:pPr>
          </w:p>
        </w:tc>
      </w:tr>
      <w:tr>
        <w:trPr>
          <w:trHeight w:val="223"/>
        </w:trPr>
        <w:tc>
          <w:tcPr>
            <w:tcW w:w="400" w:type="dxa"/>
            <w:vAlign w:val="bottom"/>
            <w:tcBorders>
              <w:bottom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15,086</w:t>
            </w:r>
          </w:p>
        </w:tc>
        <w:tc>
          <w:tcPr>
            <w:tcW w:w="20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1,203</w:t>
            </w:r>
          </w:p>
        </w:tc>
        <w:tc>
          <w:tcPr>
            <w:tcW w:w="40" w:type="dxa"/>
            <w:vAlign w:val="bottom"/>
          </w:tcPr>
          <w:p>
            <w:pPr>
              <w:spacing w:after="0"/>
              <w:rPr>
                <w:sz w:val="19"/>
                <w:szCs w:val="19"/>
                <w:color w:val="auto"/>
              </w:rPr>
            </w:pP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-3004185</wp:posOffset>
            </wp:positionH>
            <wp:positionV relativeFrom="paragraph">
              <wp:posOffset>-616585</wp:posOffset>
            </wp:positionV>
            <wp:extent cx="7132320" cy="146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-3004185</wp:posOffset>
            </wp:positionH>
            <wp:positionV relativeFrom="paragraph">
              <wp:posOffset>-325120</wp:posOffset>
            </wp:positionV>
            <wp:extent cx="7132320" cy="1454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82" w:lineRule="exact"/>
        <w:rPr>
          <w:sz w:val="20"/>
          <w:szCs w:val="20"/>
          <w:color w:val="auto"/>
        </w:rPr>
      </w:pPr>
    </w:p>
    <w:p>
      <w:pPr>
        <w:jc w:val="center"/>
        <w:ind w:right="4740"/>
        <w:spacing w:after="0"/>
        <w:rPr>
          <w:sz w:val="20"/>
          <w:szCs w:val="20"/>
          <w:color w:val="auto"/>
        </w:rPr>
      </w:pPr>
      <w:r>
        <w:rPr>
          <w:rFonts w:ascii="Arial" w:cs="Arial" w:eastAsia="Arial" w:hAnsi="Arial"/>
          <w:sz w:val="15"/>
          <w:szCs w:val="15"/>
          <w:i w:val="1"/>
          <w:iCs w:val="1"/>
          <w:color w:val="auto"/>
        </w:rPr>
        <w:t>See accompanying notes</w:t>
      </w:r>
    </w:p>
    <w:p>
      <w:pPr>
        <w:spacing w:after="0" w:line="287" w:lineRule="exact"/>
        <w:rPr>
          <w:sz w:val="20"/>
          <w:szCs w:val="20"/>
          <w:color w:val="auto"/>
        </w:rPr>
      </w:pPr>
    </w:p>
    <w:p>
      <w:pPr>
        <w:ind w:left="8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-3016885</wp:posOffset>
            </wp:positionH>
            <wp:positionV relativeFrom="paragraph">
              <wp:posOffset>79375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4420" w:space="320"/>
            <w:col w:w="6500"/>
          </w:cols>
          <w:pgMar w:left="320" w:top="125"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amounts)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supplemental cash flow activities: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tcPr>
          <w:p>
            <w:pPr>
              <w:spacing w:after="0"/>
              <w:rPr>
                <w:sz w:val="20"/>
                <w:szCs w:val="20"/>
                <w:color w:val="auto"/>
              </w:rPr>
            </w:pPr>
          </w:p>
        </w:tc>
        <w:tc>
          <w:tcPr>
            <w:tcW w:w="24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Six Months Ended June 30,</w:t>
            </w:r>
          </w:p>
        </w:tc>
        <w:tc>
          <w:tcPr>
            <w:tcW w:w="2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8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2023</w:t>
            </w:r>
          </w:p>
        </w:tc>
        <w:tc>
          <w:tcPr>
            <w:tcW w:w="440" w:type="dxa"/>
            <w:vAlign w:val="bottom"/>
          </w:tcPr>
          <w:p>
            <w:pPr>
              <w:spacing w:after="0"/>
              <w:rPr>
                <w:sz w:val="19"/>
                <w:szCs w:val="19"/>
                <w:color w:val="auto"/>
              </w:rPr>
            </w:pPr>
          </w:p>
        </w:tc>
        <w:tc>
          <w:tcPr>
            <w:tcW w:w="120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9"/>
        </w:trPr>
        <w:tc>
          <w:tcPr>
            <w:tcW w:w="8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paid for income taxes</w:t>
            </w:r>
          </w:p>
        </w:tc>
        <w:tc>
          <w:tcPr>
            <w:tcW w:w="800" w:type="dxa"/>
            <w:vAlign w:val="bottom"/>
            <w:tcBorders>
              <w:top w:val="single" w:sz="8" w:color="auto"/>
            </w:tcBorders>
            <w:shd w:val="clear" w:color="auto" w:fill="CCEEFF"/>
          </w:tcPr>
          <w:p>
            <w:pPr>
              <w:jc w:val="right"/>
              <w:ind w:right="636"/>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6,631</w:t>
            </w: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8440" w:type="dxa"/>
            <w:vAlign w:val="bottom"/>
          </w:tcPr>
          <w:p>
            <w:pPr>
              <w:spacing w:after="0"/>
              <w:rPr>
                <w:sz w:val="20"/>
                <w:szCs w:val="20"/>
                <w:color w:val="auto"/>
              </w:rPr>
            </w:pPr>
            <w:r>
              <w:rPr>
                <w:rFonts w:ascii="Arial" w:cs="Arial" w:eastAsia="Arial" w:hAnsi="Arial"/>
                <w:sz w:val="18"/>
                <w:szCs w:val="18"/>
                <w:color w:val="auto"/>
              </w:rPr>
              <w:t>Cash paid for interest</w:t>
            </w:r>
          </w:p>
        </w:tc>
        <w:tc>
          <w:tcPr>
            <w:tcW w:w="8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273</w:t>
            </w: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0"/>
                <w:szCs w:val="20"/>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UNAUIDTED 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 Dollars in thousands, except per share amounts)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Description, Basis of Presentation and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Description: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ClearOne, Inc., together with its subsidiaries (collectively, “ClearOne” or the “Company”), is a global market leader enabling conferencing, collaboration, and AV streaming solutions for voice and visual communications. The performance and simplicity of our advanced, comprehensive solutions offer unprecedented levels of functionality, reliability and scalability.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fiscal year for ClearOne is the twelve months ending on December 31. The condensed consolidated financial statements include the accounts of ClearOne and its subsidiaries. All significant inter-company accounts and transactions have been eliminated.</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These accompanying interim unaudited condensed consolidated financial statements have been prepared by the Company pursuant to the rules and regulations of the Securities and Exchange Commission (“SEC”) and are not audited. Certain information and footnote disclosures that are usually included in financial statements prepared in accordance with generally accepted accounting principles in the United States (“GAAP”) have been either condensed or omitted in accordance with SEC rules and regulations. The accompanying condensed consolidated financial statements contain all adjustments, consisting of normal recurring accruals, necessary for a fair presentation of our financial position as of June 30, 2023 and December 31, 2022, the results of operations for the three and six months ended June 30, 2023 and 2022, and the cash flows for the six months ended June 30, 2023 and 2022. The results of operations for the three and six months ended June 30, 2023 and 2022 are not necessarily indicative of the results for a full-year period. These interim unaudited condensed consolidated financial statements should be read in conjunction with the financial statements included in our Annual Report on Form 10-K for the year ended December 31, 2022 filed with the SEC.</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significant accounting policies were described in Note 1 to the audited consolidated financial statements included in the Company’s annual report on Form 10-K for the year ended December 31, 2022. There have been no changes to these policies during the quarter ended June 30, 2023 that are of significance or potential significance to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June 2016, the Financial Accounting Standards Board (FASB) issued Accounting Standards Update (ASU) 2016-13, Financial Instruments - Credit Losses (Topic 326). The new standard amends guidance on reporting credit losses for assets held at amortized cost basis and available-for-sale debt securities. In February 2020, the FASB issued ASU 2020-02, Financial Instruments-Credit Losses (Topic 326) and Leases (Topic 842) - Amendments to SEC Paragraphs Pursuant to SEC Staff Accounting Bulletin No. 119 and Update to SEC Section on Effective Date Related to Accounting Standards Update No. 2016-02, Leases (Topic 842), which amends the effective date of the original pronouncement for smaller reporting companies. ASU 2016-13 and its amendments will be effective for the Company for interim and annual periods in fiscal years beginning after December 15, 2022. CECL estimates of expected credit losses on trade receivables over their life will be required to be recorded at inception, based on historical information, current conditions, and reasonable and supportable forecasts. The Company adopted the standard in its first quarter of 2023. There was no material impact on the results of operations.</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determined that recently issued accounting standards, other than the above discussed, will not have a material impact on its consolidated financial position, results of operations or cash flows.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amounts)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 of June 30, 2023, our cash and cash equivalents were approximately $15,086 compared to $984 as of December 31, 2022. Our working capital was $37,473 as of June 30, 2023. Net cash provided by operating activities was $52,920 for the six months ended June 30, 2023, an increase of $55,612 compared to $2,692 of cash used in operating activities for the six months ended June 30, 2022. The Company believes, although there can be no assurance, that the current cash position and effective management of working capital, will provide the liquidity needed to meet our operating needs through at least August 10, 2024. The Company also believes that its strong portfolio of intellectual property and its solid brand equity in the market will enable it to raise additional capital if and when needed to meet its short and long-term financing needs; however, there can be no assurance that, if needed, the Company will be successful in obtaining the necessary funds through equity or debt financing on favorable terms or at all. If the Company needs additional capital and is unable to secure financing, it may be required to further reduce expenses, or delay product development and enhancement.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disaggregates the Company’s revenue into primary product groups: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5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900" w:type="dxa"/>
            <w:vAlign w:val="bottom"/>
            <w:gridSpan w:val="7"/>
          </w:tcPr>
          <w:p>
            <w:pPr>
              <w:jc w:val="right"/>
              <w:ind w:right="440"/>
              <w:spacing w:after="0"/>
              <w:rPr>
                <w:sz w:val="20"/>
                <w:szCs w:val="20"/>
                <w:color w:val="auto"/>
              </w:rPr>
            </w:pPr>
            <w:r>
              <w:rPr>
                <w:rFonts w:ascii="Arial" w:cs="Arial" w:eastAsia="Arial" w:hAnsi="Arial"/>
                <w:sz w:val="18"/>
                <w:szCs w:val="18"/>
                <w:b w:val="1"/>
                <w:bCs w:val="1"/>
                <w:color w:val="auto"/>
                <w:w w:val="96"/>
              </w:rPr>
              <w:t>Three months ended June 30,</w:t>
            </w:r>
          </w:p>
        </w:tc>
        <w:tc>
          <w:tcPr>
            <w:tcW w:w="200" w:type="dxa"/>
            <w:vAlign w:val="bottom"/>
          </w:tcPr>
          <w:p>
            <w:pPr>
              <w:spacing w:after="0"/>
              <w:rPr>
                <w:sz w:val="21"/>
                <w:szCs w:val="21"/>
                <w:color w:val="auto"/>
              </w:rPr>
            </w:pPr>
          </w:p>
        </w:tc>
        <w:tc>
          <w:tcPr>
            <w:tcW w:w="2600" w:type="dxa"/>
            <w:vAlign w:val="bottom"/>
            <w:gridSpan w:val="5"/>
          </w:tcPr>
          <w:p>
            <w:pPr>
              <w:ind w:left="120"/>
              <w:spacing w:after="0"/>
              <w:rPr>
                <w:sz w:val="20"/>
                <w:szCs w:val="20"/>
                <w:color w:val="auto"/>
              </w:rPr>
            </w:pPr>
            <w:r>
              <w:rPr>
                <w:rFonts w:ascii="Arial" w:cs="Arial" w:eastAsia="Arial" w:hAnsi="Arial"/>
                <w:sz w:val="18"/>
                <w:szCs w:val="18"/>
                <w:b w:val="1"/>
                <w:bCs w:val="1"/>
                <w:color w:val="auto"/>
              </w:rPr>
              <w:t>Six months ended June 30,</w:t>
            </w:r>
          </w:p>
        </w:tc>
      </w:tr>
      <w:tr>
        <w:trPr>
          <w:trHeight w:val="223"/>
        </w:trPr>
        <w:tc>
          <w:tcPr>
            <w:tcW w:w="55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42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r>
      <w:tr>
        <w:trPr>
          <w:trHeight w:val="210"/>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Audio conferencing</w:t>
            </w: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50"/>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2,289</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ind w:left="560"/>
              <w:spacing w:after="0"/>
              <w:rPr>
                <w:sz w:val="20"/>
                <w:szCs w:val="20"/>
                <w:color w:val="auto"/>
              </w:rPr>
            </w:pPr>
            <w:r>
              <w:rPr>
                <w:rFonts w:ascii="Arial" w:cs="Arial" w:eastAsia="Arial" w:hAnsi="Arial"/>
                <w:sz w:val="18"/>
                <w:szCs w:val="18"/>
                <w:color w:val="auto"/>
                <w:w w:val="84"/>
              </w:rPr>
              <w:t>3,277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4,618</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6,453</w:t>
            </w:r>
          </w:p>
        </w:tc>
        <w:tc>
          <w:tcPr>
            <w:tcW w:w="100" w:type="dxa"/>
            <w:vAlign w:val="bottom"/>
            <w:shd w:val="clear" w:color="auto" w:fill="CCEEFF"/>
          </w:tcPr>
          <w:p>
            <w:pPr>
              <w:spacing w:after="0"/>
              <w:rPr>
                <w:sz w:val="18"/>
                <w:szCs w:val="18"/>
                <w:color w:val="auto"/>
              </w:rPr>
            </w:pPr>
          </w:p>
        </w:tc>
      </w:tr>
      <w:tr>
        <w:trPr>
          <w:trHeight w:val="229"/>
        </w:trPr>
        <w:tc>
          <w:tcPr>
            <w:tcW w:w="5520" w:type="dxa"/>
            <w:vAlign w:val="bottom"/>
          </w:tcPr>
          <w:p>
            <w:pPr>
              <w:spacing w:after="0"/>
              <w:rPr>
                <w:sz w:val="20"/>
                <w:szCs w:val="20"/>
                <w:color w:val="auto"/>
              </w:rPr>
            </w:pPr>
            <w:r>
              <w:rPr>
                <w:rFonts w:ascii="Arial" w:cs="Arial" w:eastAsia="Arial" w:hAnsi="Arial"/>
                <w:sz w:val="18"/>
                <w:szCs w:val="18"/>
                <w:color w:val="auto"/>
              </w:rPr>
              <w:t>Microphones</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2,688</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ind w:left="560"/>
              <w:spacing w:after="0"/>
              <w:rPr>
                <w:sz w:val="20"/>
                <w:szCs w:val="20"/>
                <w:color w:val="auto"/>
              </w:rPr>
            </w:pPr>
            <w:r>
              <w:rPr>
                <w:rFonts w:ascii="Arial" w:cs="Arial" w:eastAsia="Arial" w:hAnsi="Arial"/>
                <w:sz w:val="18"/>
                <w:szCs w:val="18"/>
                <w:color w:val="auto"/>
              </w:rPr>
              <w:t>3,123</w:t>
            </w:r>
          </w:p>
        </w:tc>
        <w:tc>
          <w:tcPr>
            <w:tcW w:w="2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3,883</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6,051</w:t>
            </w:r>
          </w:p>
        </w:tc>
        <w:tc>
          <w:tcPr>
            <w:tcW w:w="100" w:type="dxa"/>
            <w:vAlign w:val="bottom"/>
          </w:tcPr>
          <w:p>
            <w:pPr>
              <w:spacing w:after="0"/>
              <w:rPr>
                <w:sz w:val="19"/>
                <w:szCs w:val="19"/>
                <w:color w:val="auto"/>
              </w:rPr>
            </w:pPr>
          </w:p>
        </w:tc>
      </w:tr>
      <w:tr>
        <w:trPr>
          <w:trHeight w:val="243"/>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Video products</w:t>
            </w:r>
          </w:p>
        </w:tc>
        <w:tc>
          <w:tcPr>
            <w:tcW w:w="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506</w:t>
            </w: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975</w:t>
            </w:r>
          </w:p>
        </w:tc>
        <w:tc>
          <w:tcPr>
            <w:tcW w:w="2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1,160</w:t>
            </w: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2,416</w:t>
            </w:r>
          </w:p>
        </w:tc>
        <w:tc>
          <w:tcPr>
            <w:tcW w:w="100" w:type="dxa"/>
            <w:vAlign w:val="bottom"/>
            <w:shd w:val="clear" w:color="auto" w:fill="CCEEFF"/>
          </w:tcPr>
          <w:p>
            <w:pPr>
              <w:spacing w:after="0"/>
              <w:rPr>
                <w:sz w:val="21"/>
                <w:szCs w:val="21"/>
                <w:color w:val="auto"/>
              </w:rPr>
            </w:pPr>
          </w:p>
        </w:tc>
      </w:tr>
      <w:tr>
        <w:trPr>
          <w:trHeight w:val="223"/>
        </w:trPr>
        <w:tc>
          <w:tcPr>
            <w:tcW w:w="55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5,483</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8"/>
                <w:szCs w:val="18"/>
                <w:color w:val="auto"/>
                <w:w w:val="84"/>
              </w:rPr>
              <w:t>7,375</w:t>
            </w: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9,661</w:t>
            </w:r>
          </w:p>
        </w:tc>
        <w:tc>
          <w:tcPr>
            <w:tcW w:w="2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14,920</w:t>
            </w:r>
          </w:p>
        </w:tc>
        <w:tc>
          <w:tcPr>
            <w:tcW w:w="100" w:type="dxa"/>
            <w:vAlign w:val="bottom"/>
          </w:tcPr>
          <w:p>
            <w:pPr>
              <w:spacing w:after="0"/>
              <w:rPr>
                <w:sz w:val="19"/>
                <w:szCs w:val="19"/>
                <w:color w:val="auto"/>
              </w:rPr>
            </w:pPr>
          </w:p>
        </w:tc>
      </w:tr>
      <w:tr>
        <w:trPr>
          <w:trHeight w:val="20"/>
        </w:trPr>
        <w:tc>
          <w:tcPr>
            <w:tcW w:w="5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disaggregates the Company’s revenue into major regions: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4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920" w:type="dxa"/>
            <w:vAlign w:val="bottom"/>
            <w:gridSpan w:val="6"/>
          </w:tcPr>
          <w:p>
            <w:pPr>
              <w:ind w:left="200"/>
              <w:spacing w:after="0"/>
              <w:rPr>
                <w:sz w:val="20"/>
                <w:szCs w:val="20"/>
                <w:color w:val="auto"/>
              </w:rPr>
            </w:pPr>
            <w:r>
              <w:rPr>
                <w:rFonts w:ascii="Arial" w:cs="Arial" w:eastAsia="Arial" w:hAnsi="Arial"/>
                <w:sz w:val="18"/>
                <w:szCs w:val="18"/>
                <w:b w:val="1"/>
                <w:bCs w:val="1"/>
                <w:color w:val="auto"/>
              </w:rPr>
              <w:t>Three months ended June 30,</w:t>
            </w:r>
          </w:p>
        </w:tc>
        <w:tc>
          <w:tcPr>
            <w:tcW w:w="200" w:type="dxa"/>
            <w:vAlign w:val="bottom"/>
          </w:tcPr>
          <w:p>
            <w:pPr>
              <w:spacing w:after="0"/>
              <w:rPr>
                <w:sz w:val="21"/>
                <w:szCs w:val="21"/>
                <w:color w:val="auto"/>
              </w:rPr>
            </w:pPr>
          </w:p>
        </w:tc>
        <w:tc>
          <w:tcPr>
            <w:tcW w:w="2600" w:type="dxa"/>
            <w:vAlign w:val="bottom"/>
            <w:gridSpan w:val="5"/>
          </w:tcPr>
          <w:p>
            <w:pPr>
              <w:ind w:left="120"/>
              <w:spacing w:after="0"/>
              <w:rPr>
                <w:sz w:val="20"/>
                <w:szCs w:val="20"/>
                <w:color w:val="auto"/>
              </w:rPr>
            </w:pPr>
            <w:r>
              <w:rPr>
                <w:rFonts w:ascii="Arial" w:cs="Arial" w:eastAsia="Arial" w:hAnsi="Arial"/>
                <w:sz w:val="18"/>
                <w:szCs w:val="18"/>
                <w:b w:val="1"/>
                <w:bCs w:val="1"/>
                <w:color w:val="auto"/>
              </w:rPr>
              <w:t>Six months ended June 30,</w:t>
            </w:r>
          </w:p>
        </w:tc>
      </w:tr>
      <w:tr>
        <w:trPr>
          <w:trHeight w:val="223"/>
        </w:trPr>
        <w:tc>
          <w:tcPr>
            <w:tcW w:w="476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42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r>
      <w:tr>
        <w:trPr>
          <w:trHeight w:val="210"/>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North and South America</w:t>
            </w:r>
          </w:p>
        </w:tc>
        <w:tc>
          <w:tcPr>
            <w:tcW w:w="7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38"/>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w w:val="84"/>
              </w:rPr>
              <w:t>3,384</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ind w:left="560"/>
              <w:spacing w:after="0"/>
              <w:rPr>
                <w:sz w:val="20"/>
                <w:szCs w:val="20"/>
                <w:color w:val="auto"/>
              </w:rPr>
            </w:pPr>
            <w:r>
              <w:rPr>
                <w:rFonts w:ascii="Arial" w:cs="Arial" w:eastAsia="Arial" w:hAnsi="Arial"/>
                <w:sz w:val="18"/>
                <w:szCs w:val="18"/>
                <w:color w:val="auto"/>
                <w:w w:val="84"/>
              </w:rPr>
              <w:t>3,184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4,954</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6,960</w:t>
            </w:r>
          </w:p>
        </w:tc>
        <w:tc>
          <w:tcPr>
            <w:tcW w:w="100" w:type="dxa"/>
            <w:vAlign w:val="bottom"/>
            <w:shd w:val="clear" w:color="auto" w:fill="CCEEFF"/>
          </w:tcPr>
          <w:p>
            <w:pPr>
              <w:spacing w:after="0"/>
              <w:rPr>
                <w:sz w:val="18"/>
                <w:szCs w:val="18"/>
                <w:color w:val="auto"/>
              </w:rPr>
            </w:pPr>
          </w:p>
        </w:tc>
      </w:tr>
      <w:tr>
        <w:trPr>
          <w:trHeight w:val="229"/>
        </w:trPr>
        <w:tc>
          <w:tcPr>
            <w:tcW w:w="4760" w:type="dxa"/>
            <w:vAlign w:val="bottom"/>
          </w:tcPr>
          <w:p>
            <w:pPr>
              <w:spacing w:after="0"/>
              <w:rPr>
                <w:sz w:val="20"/>
                <w:szCs w:val="20"/>
                <w:color w:val="auto"/>
              </w:rPr>
            </w:pPr>
            <w:r>
              <w:rPr>
                <w:rFonts w:ascii="Arial" w:cs="Arial" w:eastAsia="Arial" w:hAnsi="Arial"/>
                <w:sz w:val="18"/>
                <w:szCs w:val="18"/>
                <w:color w:val="auto"/>
              </w:rPr>
              <w:t>Asia Pacific (includes Middle East, India and Australia)</w:t>
            </w: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60" w:type="dxa"/>
            <w:vAlign w:val="bottom"/>
            <w:gridSpan w:val="2"/>
          </w:tcPr>
          <w:p>
            <w:pPr>
              <w:ind w:left="20"/>
              <w:spacing w:after="0"/>
              <w:rPr>
                <w:sz w:val="20"/>
                <w:szCs w:val="20"/>
                <w:color w:val="auto"/>
              </w:rPr>
            </w:pPr>
            <w:r>
              <w:rPr>
                <w:rFonts w:ascii="Arial" w:cs="Arial" w:eastAsia="Arial" w:hAnsi="Arial"/>
                <w:sz w:val="18"/>
                <w:szCs w:val="18"/>
                <w:color w:val="auto"/>
              </w:rPr>
              <w:t>1,672</w:t>
            </w:r>
          </w:p>
        </w:tc>
        <w:tc>
          <w:tcPr>
            <w:tcW w:w="260" w:type="dxa"/>
            <w:vAlign w:val="bottom"/>
          </w:tcPr>
          <w:p>
            <w:pPr>
              <w:spacing w:after="0"/>
              <w:rPr>
                <w:sz w:val="19"/>
                <w:szCs w:val="19"/>
                <w:color w:val="auto"/>
              </w:rPr>
            </w:pPr>
          </w:p>
        </w:tc>
        <w:tc>
          <w:tcPr>
            <w:tcW w:w="1200" w:type="dxa"/>
            <w:vAlign w:val="bottom"/>
            <w:gridSpan w:val="2"/>
          </w:tcPr>
          <w:p>
            <w:pPr>
              <w:ind w:left="560"/>
              <w:spacing w:after="0"/>
              <w:rPr>
                <w:sz w:val="20"/>
                <w:szCs w:val="20"/>
                <w:color w:val="auto"/>
              </w:rPr>
            </w:pPr>
            <w:r>
              <w:rPr>
                <w:rFonts w:ascii="Arial" w:cs="Arial" w:eastAsia="Arial" w:hAnsi="Arial"/>
                <w:sz w:val="18"/>
                <w:szCs w:val="18"/>
                <w:color w:val="auto"/>
              </w:rPr>
              <w:t>2,468</w:t>
            </w:r>
          </w:p>
        </w:tc>
        <w:tc>
          <w:tcPr>
            <w:tcW w:w="2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3,368</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4,542</w:t>
            </w:r>
          </w:p>
        </w:tc>
        <w:tc>
          <w:tcPr>
            <w:tcW w:w="100" w:type="dxa"/>
            <w:vAlign w:val="bottom"/>
          </w:tcPr>
          <w:p>
            <w:pPr>
              <w:spacing w:after="0"/>
              <w:rPr>
                <w:sz w:val="19"/>
                <w:szCs w:val="19"/>
                <w:color w:val="auto"/>
              </w:rPr>
            </w:pPr>
          </w:p>
        </w:tc>
      </w:tr>
      <w:tr>
        <w:trPr>
          <w:trHeight w:val="243"/>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Europe and Africa</w:t>
            </w:r>
          </w:p>
        </w:tc>
        <w:tc>
          <w:tcPr>
            <w:tcW w:w="76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427</w:t>
            </w:r>
          </w:p>
        </w:tc>
        <w:tc>
          <w:tcPr>
            <w:tcW w:w="26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1,723</w:t>
            </w:r>
          </w:p>
        </w:tc>
        <w:tc>
          <w:tcPr>
            <w:tcW w:w="2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1,339</w:t>
            </w: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3,418</w:t>
            </w:r>
          </w:p>
        </w:tc>
        <w:tc>
          <w:tcPr>
            <w:tcW w:w="100" w:type="dxa"/>
            <w:vAlign w:val="bottom"/>
            <w:shd w:val="clear" w:color="auto" w:fill="CCEEFF"/>
          </w:tcPr>
          <w:p>
            <w:pPr>
              <w:spacing w:after="0"/>
              <w:rPr>
                <w:sz w:val="21"/>
                <w:szCs w:val="21"/>
                <w:color w:val="auto"/>
              </w:rPr>
            </w:pPr>
          </w:p>
        </w:tc>
      </w:tr>
      <w:tr>
        <w:trPr>
          <w:trHeight w:val="223"/>
        </w:trPr>
        <w:tc>
          <w:tcPr>
            <w:tcW w:w="4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ind w:right="638"/>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84"/>
              </w:rPr>
              <w:t>5,483</w:t>
            </w: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8"/>
                <w:szCs w:val="18"/>
                <w:color w:val="auto"/>
                <w:w w:val="84"/>
              </w:rPr>
              <w:t>7,375</w:t>
            </w: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9,661</w:t>
            </w:r>
          </w:p>
        </w:tc>
        <w:tc>
          <w:tcPr>
            <w:tcW w:w="2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14,920</w:t>
            </w:r>
          </w:p>
        </w:tc>
        <w:tc>
          <w:tcPr>
            <w:tcW w:w="100" w:type="dxa"/>
            <w:vAlign w:val="bottom"/>
          </w:tcPr>
          <w:p>
            <w:pPr>
              <w:spacing w:after="0"/>
              <w:rPr>
                <w:sz w:val="19"/>
                <w:szCs w:val="19"/>
                <w:color w:val="auto"/>
              </w:rPr>
            </w:pPr>
          </w:p>
        </w:tc>
      </w:tr>
      <w:tr>
        <w:trPr>
          <w:trHeight w:val="20"/>
        </w:trPr>
        <w:tc>
          <w:tcPr>
            <w:tcW w:w="4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40"/>
        </w:trPr>
        <w:tc>
          <w:tcPr>
            <w:tcW w:w="4760" w:type="dxa"/>
            <w:vAlign w:val="bottom"/>
          </w:tcPr>
          <w:p>
            <w:pPr>
              <w:spacing w:after="0"/>
              <w:rPr>
                <w:sz w:val="24"/>
                <w:szCs w:val="24"/>
                <w:color w:val="auto"/>
              </w:rPr>
            </w:pPr>
          </w:p>
        </w:tc>
        <w:tc>
          <w:tcPr>
            <w:tcW w:w="1560" w:type="dxa"/>
            <w:vAlign w:val="bottom"/>
            <w:gridSpan w:val="2"/>
          </w:tcPr>
          <w:p>
            <w:pPr>
              <w:jc w:val="right"/>
              <w:ind w:right="578"/>
              <w:spacing w:after="0"/>
              <w:rPr>
                <w:sz w:val="20"/>
                <w:szCs w:val="20"/>
                <w:color w:val="auto"/>
              </w:rPr>
            </w:pPr>
            <w:r>
              <w:rPr>
                <w:rFonts w:ascii="Arial" w:cs="Arial" w:eastAsia="Arial" w:hAnsi="Arial"/>
                <w:sz w:val="18"/>
                <w:szCs w:val="18"/>
                <w:color w:val="auto"/>
              </w:rPr>
              <w:t>8</w:t>
            </w: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76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 Dollars in thousands, except per share amounts)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Loss Per Share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Loss per common share is computed based on the weighted-average number of common shares outstanding and, when appropriate, dilutive potential common stock outstanding during the period. Stock options, warrants and the convertible portion of senior convertible notes are considered to be potential common stock. The computation of diluted earnings (loss) per share does not assume exercise or conversion of securities that would have an anti-dilutive effect.</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Basic earnings (loss) per common share is the amount of net earnings (loss) for the period available to each weighted-average share of common stock outstanding during the reporting period. Diluted earnings (loss) per common share is the amount of earnings (loss) for the period available to each weighted-average share of common stock outstanding during the reporting period and to each share of potential common stock outstanding during the period, unless inclusion of potential common stock would have an anti-dilutive effect.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earnings (loss) per common share: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40" w:type="dxa"/>
            <w:vAlign w:val="bottom"/>
            <w:gridSpan w:val="6"/>
          </w:tcPr>
          <w:p>
            <w:pPr>
              <w:jc w:val="right"/>
              <w:ind w:right="340"/>
              <w:spacing w:after="0"/>
              <w:rPr>
                <w:sz w:val="20"/>
                <w:szCs w:val="20"/>
                <w:color w:val="auto"/>
              </w:rPr>
            </w:pPr>
            <w:r>
              <w:rPr>
                <w:rFonts w:ascii="Arial" w:cs="Arial" w:eastAsia="Arial" w:hAnsi="Arial"/>
                <w:sz w:val="18"/>
                <w:szCs w:val="18"/>
                <w:b w:val="1"/>
                <w:bCs w:val="1"/>
                <w:color w:val="auto"/>
                <w:w w:val="89"/>
              </w:rPr>
              <w:t>Three months ended June 30,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0" w:type="dxa"/>
            <w:vAlign w:val="bottom"/>
            <w:gridSpan w:val="5"/>
          </w:tcPr>
          <w:p>
            <w:pPr>
              <w:jc w:val="right"/>
              <w:ind w:right="440"/>
              <w:spacing w:after="0"/>
              <w:rPr>
                <w:sz w:val="20"/>
                <w:szCs w:val="20"/>
                <w:color w:val="auto"/>
              </w:rPr>
            </w:pPr>
            <w:r>
              <w:rPr>
                <w:rFonts w:ascii="Arial" w:cs="Arial" w:eastAsia="Arial" w:hAnsi="Arial"/>
                <w:sz w:val="18"/>
                <w:szCs w:val="18"/>
                <w:b w:val="1"/>
                <w:bCs w:val="1"/>
                <w:color w:val="auto"/>
                <w:w w:val="92"/>
              </w:rPr>
              <w:t>Six months ended June 30,</w:t>
            </w:r>
          </w:p>
        </w:tc>
      </w:tr>
      <w:tr>
        <w:trPr>
          <w:trHeight w:val="223"/>
        </w:trPr>
        <w:tc>
          <w:tcPr>
            <w:tcW w:w="5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r>
      <w:tr>
        <w:trPr>
          <w:trHeight w:val="223"/>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5280" w:type="dxa"/>
            <w:vAlign w:val="bottom"/>
          </w:tcPr>
          <w:p>
            <w:pPr>
              <w:ind w:left="420"/>
              <w:spacing w:after="0"/>
              <w:rPr>
                <w:sz w:val="20"/>
                <w:szCs w:val="20"/>
                <w:color w:val="auto"/>
              </w:rPr>
            </w:pPr>
            <w:r>
              <w:rPr>
                <w:rFonts w:ascii="Arial" w:cs="Arial" w:eastAsia="Arial" w:hAnsi="Arial"/>
                <w:sz w:val="18"/>
                <w:szCs w:val="18"/>
                <w:color w:val="auto"/>
              </w:rPr>
              <w:t>Net loss</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(1,019)</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(257)</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(1,851)</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(2,224)</w:t>
            </w:r>
          </w:p>
        </w:tc>
      </w:tr>
      <w:tr>
        <w:trPr>
          <w:trHeight w:val="229"/>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5280" w:type="dxa"/>
            <w:vAlign w:val="bottom"/>
          </w:tcPr>
          <w:p>
            <w:pPr>
              <w:ind w:left="420"/>
              <w:spacing w:after="0"/>
              <w:rPr>
                <w:sz w:val="20"/>
                <w:szCs w:val="20"/>
                <w:color w:val="auto"/>
              </w:rPr>
            </w:pPr>
            <w:r>
              <w:rPr>
                <w:rFonts w:ascii="Arial" w:cs="Arial" w:eastAsia="Arial" w:hAnsi="Arial"/>
                <w:sz w:val="18"/>
                <w:szCs w:val="18"/>
                <w:color w:val="auto"/>
              </w:rPr>
              <w:t>Basic weighted average shares outstanding</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23,955,802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23,948,631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23,955,785</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23,923,110</w:t>
            </w:r>
          </w:p>
        </w:tc>
        <w:tc>
          <w:tcPr>
            <w:tcW w:w="100" w:type="dxa"/>
            <w:vAlign w:val="bottom"/>
          </w:tcPr>
          <w:p>
            <w:pPr>
              <w:spacing w:after="0"/>
              <w:rPr>
                <w:sz w:val="19"/>
                <w:szCs w:val="19"/>
                <w:color w:val="auto"/>
              </w:rPr>
            </w:pPr>
          </w:p>
        </w:tc>
      </w:tr>
      <w:tr>
        <w:trPr>
          <w:trHeight w:val="229"/>
        </w:trPr>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5"/>
              </w:rPr>
              <w:t>Dilutive common stock equivalents using treasury stock method</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0"/>
        </w:trPr>
        <w:tc>
          <w:tcPr>
            <w:tcW w:w="52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280" w:type="dxa"/>
            <w:vAlign w:val="bottom"/>
          </w:tcPr>
          <w:p>
            <w:pPr>
              <w:spacing w:after="0"/>
              <w:rPr>
                <w:sz w:val="20"/>
                <w:szCs w:val="20"/>
                <w:color w:val="auto"/>
              </w:rPr>
            </w:pPr>
            <w:r>
              <w:rPr>
                <w:rFonts w:ascii="Arial" w:cs="Arial" w:eastAsia="Arial" w:hAnsi="Arial"/>
                <w:sz w:val="18"/>
                <w:szCs w:val="18"/>
                <w:color w:val="auto"/>
              </w:rPr>
              <w:t>Diluted weighted average shares outstanding</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23,955,802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23,948,631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23,955,785</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23,923,110</w:t>
            </w:r>
          </w:p>
        </w:tc>
        <w:tc>
          <w:tcPr>
            <w:tcW w:w="100" w:type="dxa"/>
            <w:vAlign w:val="bottom"/>
          </w:tcPr>
          <w:p>
            <w:pPr>
              <w:spacing w:after="0"/>
              <w:rPr>
                <w:sz w:val="18"/>
                <w:szCs w:val="18"/>
                <w:color w:val="auto"/>
              </w:rPr>
            </w:pPr>
          </w:p>
        </w:tc>
      </w:tr>
      <w:tr>
        <w:trPr>
          <w:trHeight w:val="20"/>
        </w:trPr>
        <w:tc>
          <w:tcPr>
            <w:tcW w:w="52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196"/>
        </w:trPr>
        <w:tc>
          <w:tcPr>
            <w:tcW w:w="5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Basic loss per common share</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(0.04)</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(0.01)</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(0.08)</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(0.09)</w:t>
            </w:r>
          </w:p>
        </w:tc>
      </w:tr>
      <w:tr>
        <w:trPr>
          <w:trHeight w:val="229"/>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Diluted loss per common share</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(0.04)</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(0.01)</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(0.08)</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(0.09)</w:t>
            </w:r>
          </w:p>
        </w:tc>
      </w:tr>
      <w:tr>
        <w:trPr>
          <w:trHeight w:val="230"/>
        </w:trPr>
        <w:tc>
          <w:tcPr>
            <w:tcW w:w="5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2"/>
        </w:trPr>
        <w:tc>
          <w:tcPr>
            <w:tcW w:w="5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Weighted average options, warrants and convertible portion of senior</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convertible notes outstanding</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6,287,019</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6,937,350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6,327,495</w:t>
            </w: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6,999,665</w:t>
            </w:r>
          </w:p>
        </w:tc>
        <w:tc>
          <w:tcPr>
            <w:tcW w:w="100" w:type="dxa"/>
            <w:vAlign w:val="bottom"/>
            <w:shd w:val="clear" w:color="auto" w:fill="CCEEFF"/>
          </w:tcPr>
          <w:p>
            <w:pPr>
              <w:spacing w:after="0"/>
              <w:rPr>
                <w:sz w:val="20"/>
                <w:szCs w:val="20"/>
                <w:color w:val="auto"/>
              </w:rPr>
            </w:pPr>
          </w:p>
        </w:tc>
      </w:tr>
      <w:tr>
        <w:trPr>
          <w:trHeight w:val="202"/>
        </w:trPr>
        <w:tc>
          <w:tcPr>
            <w:tcW w:w="5280" w:type="dxa"/>
            <w:vAlign w:val="bottom"/>
          </w:tcPr>
          <w:p>
            <w:pPr>
              <w:spacing w:after="0" w:line="201" w:lineRule="exact"/>
              <w:rPr>
                <w:sz w:val="20"/>
                <w:szCs w:val="20"/>
                <w:color w:val="auto"/>
              </w:rPr>
            </w:pPr>
            <w:r>
              <w:rPr>
                <w:rFonts w:ascii="Arial" w:cs="Arial" w:eastAsia="Arial" w:hAnsi="Arial"/>
                <w:sz w:val="18"/>
                <w:szCs w:val="18"/>
                <w:color w:val="auto"/>
              </w:rPr>
              <w:t>Anti-dilutive options, warrants and convertible portion of senior</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convertible notes not included in the computation</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6,287,019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6,937,350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6,327,495</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6,999,665</w:t>
            </w:r>
          </w:p>
        </w:tc>
        <w:tc>
          <w:tcPr>
            <w:tcW w:w="100" w:type="dxa"/>
            <w:vAlign w:val="bottom"/>
          </w:tcPr>
          <w:p>
            <w:pPr>
              <w:spacing w:after="0"/>
              <w:rPr>
                <w:sz w:val="20"/>
                <w:szCs w:val="20"/>
                <w:color w:val="auto"/>
              </w:rPr>
            </w:pPr>
          </w:p>
        </w:tc>
      </w:tr>
      <w:tr>
        <w:trPr>
          <w:trHeight w:val="459"/>
        </w:trPr>
        <w:tc>
          <w:tcPr>
            <w:tcW w:w="5280" w:type="dxa"/>
            <w:vAlign w:val="bottom"/>
          </w:tcPr>
          <w:p>
            <w:pPr>
              <w:spacing w:after="0"/>
              <w:rPr>
                <w:sz w:val="24"/>
                <w:szCs w:val="24"/>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28"/>
        </w:trPr>
        <w:tc>
          <w:tcPr>
            <w:tcW w:w="52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amounts)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Marketable Securities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has classified its marketable securities as available-for-sale securities. These securities are carried at estimated fair value with unrealized holding gains and losses included in accumulated other comprehensive loss in stockholders’ equity until realized. Gains and losses on marketable security transactions are reported on the specific-identification method. Dividend and interest income are recognized when earned.</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amortized cost, gross unrealized holding gains, gross unrealized holding losses, and fair value for available-for-sale securities by major security type and class of securities as of June 30, 2023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70"/>
              <w:spacing w:after="0"/>
              <w:rPr>
                <w:sz w:val="20"/>
                <w:szCs w:val="20"/>
                <w:color w:val="auto"/>
              </w:rPr>
            </w:pPr>
            <w:r>
              <w:rPr>
                <w:rFonts w:ascii="Arial" w:cs="Arial" w:eastAsia="Arial" w:hAnsi="Arial"/>
                <w:sz w:val="18"/>
                <w:szCs w:val="18"/>
                <w:b w:val="1"/>
                <w:bCs w:val="1"/>
                <w:color w:val="auto"/>
                <w:w w:val="84"/>
              </w:rPr>
              <w:t>Gross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4"/>
              </w:rPr>
              <w:t>Gross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70"/>
              <w:spacing w:after="0"/>
              <w:rPr>
                <w:sz w:val="20"/>
                <w:szCs w:val="20"/>
                <w:color w:val="auto"/>
              </w:rPr>
            </w:pPr>
            <w:r>
              <w:rPr>
                <w:rFonts w:ascii="Arial" w:cs="Arial" w:eastAsia="Arial" w:hAnsi="Arial"/>
                <w:sz w:val="18"/>
                <w:szCs w:val="18"/>
                <w:b w:val="1"/>
                <w:bCs w:val="1"/>
                <w:color w:val="auto"/>
                <w:w w:val="89"/>
              </w:rPr>
              <w:t>unrealized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9"/>
              </w:rPr>
              <w:t>unrealized</w:t>
            </w:r>
          </w:p>
        </w:tc>
        <w:tc>
          <w:tcPr>
            <w:tcW w:w="140" w:type="dxa"/>
            <w:vAlign w:val="bottom"/>
          </w:tcPr>
          <w:p>
            <w:pPr>
              <w:spacing w:after="0"/>
              <w:rPr>
                <w:sz w:val="18"/>
                <w:szCs w:val="18"/>
                <w:color w:val="auto"/>
              </w:rPr>
            </w:pPr>
          </w:p>
        </w:tc>
        <w:tc>
          <w:tcPr>
            <w:tcW w:w="136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2"/>
              </w:rPr>
              <w:t>Estimated fair</w:t>
            </w:r>
          </w:p>
        </w:tc>
        <w:tc>
          <w:tcPr>
            <w:tcW w:w="0" w:type="dxa"/>
            <w:vAlign w:val="bottom"/>
          </w:tcPr>
          <w:p>
            <w:pPr>
              <w:spacing w:after="0"/>
              <w:rPr>
                <w:sz w:val="1"/>
                <w:szCs w:val="1"/>
                <w:color w:val="auto"/>
              </w:rPr>
            </w:pPr>
          </w:p>
        </w:tc>
      </w:tr>
      <w:tr>
        <w:trPr>
          <w:trHeight w:val="234"/>
        </w:trPr>
        <w:tc>
          <w:tcPr>
            <w:tcW w:w="5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Amortized cost</w:t>
            </w:r>
          </w:p>
        </w:tc>
        <w:tc>
          <w:tcPr>
            <w:tcW w:w="140" w:type="dxa"/>
            <w:vAlign w:val="bottom"/>
          </w:tcPr>
          <w:p>
            <w:pPr>
              <w:spacing w:after="0"/>
              <w:rPr>
                <w:sz w:val="20"/>
                <w:szCs w:val="20"/>
                <w:color w:val="auto"/>
              </w:rPr>
            </w:pPr>
          </w:p>
        </w:tc>
        <w:tc>
          <w:tcPr>
            <w:tcW w:w="1440" w:type="dxa"/>
            <w:vAlign w:val="bottom"/>
            <w:gridSpan w:val="3"/>
          </w:tcPr>
          <w:p>
            <w:pPr>
              <w:jc w:val="center"/>
              <w:ind w:right="150"/>
              <w:spacing w:after="0"/>
              <w:rPr>
                <w:sz w:val="20"/>
                <w:szCs w:val="20"/>
                <w:color w:val="auto"/>
              </w:rPr>
            </w:pPr>
            <w:r>
              <w:rPr>
                <w:rFonts w:ascii="Arial" w:cs="Arial" w:eastAsia="Arial" w:hAnsi="Arial"/>
                <w:sz w:val="18"/>
                <w:szCs w:val="18"/>
                <w:b w:val="1"/>
                <w:bCs w:val="1"/>
                <w:color w:val="auto"/>
                <w:w w:val="88"/>
              </w:rPr>
              <w:t>holding gains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w w:val="82"/>
              </w:rPr>
              <w:t>holding losses</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09"/>
        </w:trPr>
        <w:tc>
          <w:tcPr>
            <w:tcW w:w="5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June 30, 2023</w:t>
            </w:r>
          </w:p>
        </w:tc>
        <w:tc>
          <w:tcPr>
            <w:tcW w:w="2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20" w:type="dxa"/>
            <w:vAlign w:val="bottom"/>
          </w:tcPr>
          <w:p>
            <w:pPr>
              <w:spacing w:after="0"/>
              <w:rPr>
                <w:sz w:val="20"/>
                <w:szCs w:val="20"/>
                <w:color w:val="auto"/>
              </w:rPr>
            </w:pPr>
            <w:r>
              <w:rPr>
                <w:rFonts w:ascii="Arial" w:cs="Arial" w:eastAsia="Arial" w:hAnsi="Arial"/>
                <w:sz w:val="18"/>
                <w:szCs w:val="18"/>
                <w:color w:val="auto"/>
              </w:rPr>
              <w:t>Available-for-sale securities:</w:t>
            </w: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78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3,739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18</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3,757</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220" w:type="dxa"/>
            <w:vAlign w:val="bottom"/>
          </w:tcPr>
          <w:p>
            <w:pPr>
              <w:spacing w:after="0"/>
              <w:rPr>
                <w:sz w:val="20"/>
                <w:szCs w:val="20"/>
                <w:color w:val="auto"/>
              </w:rPr>
            </w:pPr>
            <w:r>
              <w:rPr>
                <w:rFonts w:ascii="Arial" w:cs="Arial" w:eastAsia="Arial" w:hAnsi="Arial"/>
                <w:sz w:val="18"/>
                <w:szCs w:val="18"/>
                <w:color w:val="auto"/>
              </w:rPr>
              <w:t>Mutual funds</w:t>
            </w: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1,168</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13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Certificates of deposit</w:t>
            </w: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1,098</w:t>
            </w: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Corporate bonds and notes</w:t>
            </w:r>
          </w:p>
        </w:tc>
        <w:tc>
          <w:tcPr>
            <w:tcW w:w="78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974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available-for-sale securities</w:t>
            </w:r>
          </w:p>
        </w:tc>
        <w:tc>
          <w:tcPr>
            <w:tcW w:w="78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6,979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22</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6,994</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13"/>
        </w:trPr>
        <w:tc>
          <w:tcPr>
            <w:tcW w:w="5220" w:type="dxa"/>
            <w:vAlign w:val="bottom"/>
            <w:tcBorders>
              <w:top w:val="single" w:sz="8" w:color="CCEEFF"/>
            </w:tcBorders>
          </w:tcPr>
          <w:p>
            <w:pPr>
              <w:spacing w:after="0"/>
              <w:rPr>
                <w:sz w:val="20"/>
                <w:szCs w:val="20"/>
                <w:color w:val="auto"/>
              </w:rPr>
            </w:pPr>
            <w:r>
              <w:rPr>
                <w:rFonts w:ascii="Arial" w:cs="Arial" w:eastAsia="Arial" w:hAnsi="Arial"/>
                <w:sz w:val="18"/>
                <w:szCs w:val="18"/>
                <w:color w:val="auto"/>
                <w:w w:val="94"/>
              </w:rPr>
              <w:t>There were no available-for sale securities as of December 31, 2022.</w:t>
            </w:r>
          </w:p>
        </w:tc>
        <w:tc>
          <w:tcPr>
            <w:tcW w:w="260" w:type="dxa"/>
            <w:vAlign w:val="bottom"/>
            <w:tcBorders>
              <w:top w:val="single" w:sz="8" w:color="CCEEFF"/>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5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5"/>
          </w:tcPr>
          <w:p>
            <w:pPr>
              <w:ind w:left="40"/>
              <w:spacing w:after="0"/>
              <w:rPr>
                <w:sz w:val="20"/>
                <w:szCs w:val="20"/>
                <w:color w:val="auto"/>
              </w:rPr>
            </w:pPr>
            <w:r>
              <w:rPr>
                <w:rFonts w:ascii="Arial" w:cs="Arial" w:eastAsia="Arial" w:hAnsi="Arial"/>
                <w:sz w:val="18"/>
                <w:szCs w:val="18"/>
                <w:b w:val="1"/>
                <w:bCs w:val="1"/>
                <w:color w:val="auto"/>
              </w:rPr>
              <w:t>Estimated fair</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w w:val="89"/>
              </w:rPr>
              <w:t>Amortized cost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b w:val="1"/>
                <w:bCs w:val="1"/>
                <w:color w:val="auto"/>
              </w:rPr>
              <w:t>value</w:t>
            </w: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Due within one year</w:t>
            </w:r>
          </w:p>
        </w:tc>
        <w:tc>
          <w:tcPr>
            <w:tcW w:w="2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6,396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6,408</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Due after one year through five years</w:t>
            </w: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583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gridSpan w:val="3"/>
          </w:tcPr>
          <w:p>
            <w:pPr>
              <w:jc w:val="right"/>
              <w:ind w:right="100"/>
              <w:spacing w:after="0"/>
              <w:rPr>
                <w:sz w:val="20"/>
                <w:szCs w:val="20"/>
                <w:color w:val="auto"/>
              </w:rPr>
            </w:pPr>
            <w:r>
              <w:rPr>
                <w:rFonts w:ascii="Arial" w:cs="Arial" w:eastAsia="Arial" w:hAnsi="Arial"/>
                <w:sz w:val="18"/>
                <w:szCs w:val="18"/>
                <w:color w:val="auto"/>
                <w:w w:val="86"/>
              </w:rPr>
              <w:t>586</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Due after five years</w:t>
            </w:r>
          </w:p>
        </w:tc>
        <w:tc>
          <w:tcPr>
            <w:tcW w:w="26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tcBorders>
              <w:right w:val="single" w:sz="8" w:color="CCEEFF"/>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5220" w:type="dxa"/>
            <w:vAlign w:val="bottom"/>
            <w:tcBorders>
              <w:top w:val="single" w:sz="8" w:color="CCEEFF"/>
            </w:tcBorders>
          </w:tcPr>
          <w:p>
            <w:pPr>
              <w:ind w:left="180"/>
              <w:spacing w:after="0" w:line="196" w:lineRule="exact"/>
              <w:rPr>
                <w:sz w:val="20"/>
                <w:szCs w:val="20"/>
                <w:color w:val="auto"/>
              </w:rPr>
            </w:pPr>
            <w:r>
              <w:rPr>
                <w:rFonts w:ascii="Arial" w:cs="Arial" w:eastAsia="Arial" w:hAnsi="Arial"/>
                <w:sz w:val="18"/>
                <w:szCs w:val="18"/>
                <w:color w:val="auto"/>
              </w:rPr>
              <w:t>Total available-for-sale securities</w:t>
            </w:r>
          </w:p>
        </w:tc>
        <w:tc>
          <w:tcPr>
            <w:tcW w:w="260" w:type="dxa"/>
            <w:vAlign w:val="bottom"/>
            <w:tcBorders>
              <w:top w:val="single" w:sz="8" w:color="CCEEFF"/>
            </w:tcBorders>
          </w:tcPr>
          <w:p>
            <w:pPr>
              <w:spacing w:after="0"/>
              <w:rPr>
                <w:sz w:val="17"/>
                <w:szCs w:val="17"/>
                <w:color w:val="auto"/>
              </w:rPr>
            </w:pPr>
          </w:p>
        </w:tc>
        <w:tc>
          <w:tcPr>
            <w:tcW w:w="520" w:type="dxa"/>
            <w:vAlign w:val="bottom"/>
            <w:tcBorders>
              <w:top w:val="single" w:sz="8" w:color="CCEEFF"/>
            </w:tcBorders>
          </w:tcPr>
          <w:p>
            <w:pPr>
              <w:spacing w:after="0"/>
              <w:rPr>
                <w:sz w:val="17"/>
                <w:szCs w:val="17"/>
                <w:color w:val="auto"/>
              </w:rPr>
            </w:pPr>
          </w:p>
        </w:tc>
        <w:tc>
          <w:tcPr>
            <w:tcW w:w="7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6,979</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gridSpan w:val="4"/>
          </w:tcPr>
          <w:p>
            <w:pPr>
              <w:jc w:val="right"/>
              <w:spacing w:after="0" w:line="196" w:lineRule="exact"/>
              <w:rPr>
                <w:sz w:val="20"/>
                <w:szCs w:val="20"/>
                <w:color w:val="auto"/>
              </w:rPr>
            </w:pPr>
            <w:r>
              <w:rPr>
                <w:rFonts w:ascii="Arial" w:cs="Arial" w:eastAsia="Arial" w:hAnsi="Arial"/>
                <w:sz w:val="18"/>
                <w:szCs w:val="18"/>
                <w:color w:val="auto"/>
              </w:rPr>
              <w:t>6,994</w:t>
            </w:r>
          </w:p>
        </w:tc>
        <w:tc>
          <w:tcPr>
            <w:tcW w:w="100" w:type="dxa"/>
            <w:vAlign w:val="bottom"/>
            <w:tcBorders>
              <w:top w:val="single" w:sz="8" w:color="CCEEFF"/>
            </w:tcBorders>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780" w:type="dxa"/>
            <w:vAlign w:val="bottom"/>
            <w:gridSpan w:val="2"/>
            <w:vMerge w:val="restart"/>
          </w:tcPr>
          <w:p>
            <w:pPr>
              <w:jc w:val="right"/>
              <w:ind w:right="190"/>
              <w:spacing w:after="0"/>
              <w:rPr>
                <w:sz w:val="20"/>
                <w:szCs w:val="20"/>
                <w:color w:val="auto"/>
              </w:rPr>
            </w:pPr>
            <w:r>
              <w:rPr>
                <w:rFonts w:ascii="Arial" w:cs="Arial" w:eastAsia="Arial" w:hAnsi="Arial"/>
                <w:sz w:val="18"/>
                <w:szCs w:val="18"/>
                <w:color w:val="auto"/>
              </w:rPr>
              <w:t>10</w:t>
            </w: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220" w:type="dxa"/>
            <w:vAlign w:val="bottom"/>
          </w:tcPr>
          <w:p>
            <w:pPr>
              <w:spacing w:after="0"/>
              <w:rPr>
                <w:sz w:val="19"/>
                <w:szCs w:val="19"/>
                <w:color w:val="auto"/>
              </w:rPr>
            </w:pPr>
          </w:p>
        </w:tc>
        <w:tc>
          <w:tcPr>
            <w:tcW w:w="780" w:type="dxa"/>
            <w:vAlign w:val="bottom"/>
            <w:gridSpan w:val="2"/>
            <w:vMerge w:val="continue"/>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8"/>
        </w:trPr>
        <w:tc>
          <w:tcPr>
            <w:tcW w:w="52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 NOTES TO CONDENSED CONSOLIDATED FINANCIAL STATEMENTS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(Dollars in thousands, except per share amounts)</w:t>
      </w:r>
    </w:p>
    <w:p>
      <w:pPr>
        <w:spacing w:after="0" w:line="21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Debt securities in an unrealized loss position as of June 30, 2023 were not deemed impaired at acquisition and subsequent declines in fair value are not deemed attributed to declines in credit quality. Management believes that it is more likely than not that the securities will receive a full recovery of par value, although there can be no assurance that such recovery will occur. The available-for-sale marketable securities with continuous gross unrealized loss position for less than 12 months and 12 months or greater and their related fair values were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20" w:type="dxa"/>
            <w:vAlign w:val="bottom"/>
            <w:gridSpan w:val="5"/>
          </w:tcPr>
          <w:p>
            <w:pPr>
              <w:jc w:val="right"/>
              <w:ind w:right="500"/>
              <w:spacing w:after="0"/>
              <w:rPr>
                <w:sz w:val="20"/>
                <w:szCs w:val="20"/>
                <w:color w:val="auto"/>
              </w:rPr>
            </w:pPr>
            <w:r>
              <w:rPr>
                <w:rFonts w:ascii="Arial" w:cs="Arial" w:eastAsia="Arial" w:hAnsi="Arial"/>
                <w:sz w:val="18"/>
                <w:szCs w:val="18"/>
                <w:b w:val="1"/>
                <w:bCs w:val="1"/>
                <w:color w:val="auto"/>
              </w:rPr>
              <w:t>Less than 12 months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0" w:type="dxa"/>
            <w:vAlign w:val="bottom"/>
            <w:gridSpan w:val="6"/>
          </w:tcPr>
          <w:p>
            <w:pPr>
              <w:jc w:val="center"/>
              <w:spacing w:after="0"/>
              <w:rPr>
                <w:sz w:val="20"/>
                <w:szCs w:val="20"/>
                <w:color w:val="auto"/>
              </w:rPr>
            </w:pPr>
            <w:r>
              <w:rPr>
                <w:rFonts w:ascii="Arial" w:cs="Arial" w:eastAsia="Arial" w:hAnsi="Arial"/>
                <w:sz w:val="18"/>
                <w:szCs w:val="18"/>
                <w:b w:val="1"/>
                <w:bCs w:val="1"/>
                <w:color w:val="auto"/>
                <w:w w:val="90"/>
              </w:rPr>
              <w:t>More than 12 months</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20" w:type="dxa"/>
            <w:vAlign w:val="bottom"/>
            <w:gridSpan w:val="4"/>
          </w:tcPr>
          <w:p>
            <w:pPr>
              <w:jc w:val="right"/>
              <w:spacing w:after="0"/>
              <w:rPr>
                <w:sz w:val="20"/>
                <w:szCs w:val="20"/>
                <w:color w:val="auto"/>
              </w:rPr>
            </w:pPr>
            <w:r>
              <w:rPr>
                <w:rFonts w:ascii="Arial" w:cs="Arial" w:eastAsia="Arial" w:hAnsi="Arial"/>
                <w:sz w:val="18"/>
                <w:szCs w:val="18"/>
                <w:b w:val="1"/>
                <w:bCs w:val="1"/>
                <w:color w:val="auto"/>
              </w:rPr>
              <w:t>Total</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center"/>
              <w:ind w:right="10"/>
              <w:spacing w:after="0" w:line="191" w:lineRule="exact"/>
              <w:rPr>
                <w:sz w:val="20"/>
                <w:szCs w:val="20"/>
                <w:color w:val="auto"/>
              </w:rPr>
            </w:pPr>
            <w:r>
              <w:rPr>
                <w:rFonts w:ascii="Arial" w:cs="Arial" w:eastAsia="Arial" w:hAnsi="Arial"/>
                <w:sz w:val="18"/>
                <w:szCs w:val="18"/>
                <w:b w:val="1"/>
                <w:bCs w:val="1"/>
                <w:color w:val="auto"/>
                <w:w w:val="84"/>
              </w:rPr>
              <w:t>Gross</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gridSpan w:val="2"/>
          </w:tcPr>
          <w:p>
            <w:pPr>
              <w:jc w:val="center"/>
              <w:ind w:left="93"/>
              <w:spacing w:after="0" w:line="191" w:lineRule="exact"/>
              <w:rPr>
                <w:sz w:val="20"/>
                <w:szCs w:val="20"/>
                <w:color w:val="auto"/>
              </w:rPr>
            </w:pPr>
            <w:r>
              <w:rPr>
                <w:rFonts w:ascii="Arial" w:cs="Arial" w:eastAsia="Arial" w:hAnsi="Arial"/>
                <w:sz w:val="18"/>
                <w:szCs w:val="18"/>
                <w:b w:val="1"/>
                <w:bCs w:val="1"/>
                <w:color w:val="auto"/>
                <w:w w:val="88"/>
              </w:rPr>
              <w:t>Gross</w:t>
            </w:r>
          </w:p>
        </w:tc>
        <w:tc>
          <w:tcPr>
            <w:tcW w:w="2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center"/>
              <w:ind w:right="50"/>
              <w:spacing w:after="0" w:line="191" w:lineRule="exact"/>
              <w:rPr>
                <w:sz w:val="20"/>
                <w:szCs w:val="20"/>
                <w:color w:val="auto"/>
              </w:rPr>
            </w:pPr>
            <w:r>
              <w:rPr>
                <w:rFonts w:ascii="Arial" w:cs="Arial" w:eastAsia="Arial" w:hAnsi="Arial"/>
                <w:sz w:val="18"/>
                <w:szCs w:val="18"/>
                <w:b w:val="1"/>
                <w:bCs w:val="1"/>
                <w:color w:val="auto"/>
                <w:w w:val="84"/>
              </w:rPr>
              <w:t>Gross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unrealized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unrealized</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unrealized</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w w:val="90"/>
              </w:rPr>
              <w:t>Estimated</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holding</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w w:val="90"/>
              </w:rPr>
              <w:t>Estimated</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gridSpan w:val="2"/>
          </w:tcPr>
          <w:p>
            <w:pPr>
              <w:jc w:val="center"/>
              <w:ind w:left="93"/>
              <w:spacing w:after="0"/>
              <w:rPr>
                <w:sz w:val="20"/>
                <w:szCs w:val="20"/>
                <w:color w:val="auto"/>
              </w:rPr>
            </w:pPr>
            <w:r>
              <w:rPr>
                <w:rFonts w:ascii="Arial" w:cs="Arial" w:eastAsia="Arial" w:hAnsi="Arial"/>
                <w:sz w:val="18"/>
                <w:szCs w:val="18"/>
                <w:b w:val="1"/>
                <w:bCs w:val="1"/>
                <w:color w:val="auto"/>
                <w:w w:val="89"/>
              </w:rPr>
              <w:t>holding</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88"/>
              </w:rPr>
              <w:t>Estimated</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holding</w:t>
            </w:r>
          </w:p>
        </w:tc>
        <w:tc>
          <w:tcPr>
            <w:tcW w:w="0" w:type="dxa"/>
            <w:vAlign w:val="bottom"/>
          </w:tcPr>
          <w:p>
            <w:pPr>
              <w:spacing w:after="0"/>
              <w:rPr>
                <w:sz w:val="1"/>
                <w:szCs w:val="1"/>
                <w:color w:val="auto"/>
              </w:rPr>
            </w:pPr>
          </w:p>
        </w:tc>
      </w:tr>
      <w:tr>
        <w:trPr>
          <w:trHeight w:val="234"/>
        </w:trPr>
        <w:tc>
          <w:tcPr>
            <w:tcW w:w="3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b w:val="1"/>
                <w:bCs w:val="1"/>
                <w:color w:val="auto"/>
                <w:w w:val="96"/>
              </w:rPr>
              <w:t>fair value</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74"/>
              </w:rPr>
              <w:t>losses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w w:val="96"/>
              </w:rPr>
              <w:t>fair value</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gridSpan w:val="2"/>
          </w:tcPr>
          <w:p>
            <w:pPr>
              <w:jc w:val="center"/>
              <w:ind w:left="93"/>
              <w:spacing w:after="0"/>
              <w:rPr>
                <w:sz w:val="20"/>
                <w:szCs w:val="20"/>
                <w:color w:val="auto"/>
              </w:rPr>
            </w:pPr>
            <w:r>
              <w:rPr>
                <w:rFonts w:ascii="Arial" w:cs="Arial" w:eastAsia="Arial" w:hAnsi="Arial"/>
                <w:sz w:val="18"/>
                <w:szCs w:val="18"/>
                <w:b w:val="1"/>
                <w:bCs w:val="1"/>
                <w:color w:val="auto"/>
                <w:w w:val="74"/>
              </w:rPr>
              <w:t>losses</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3"/>
              </w:rPr>
              <w:t>fair value</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74"/>
              </w:rPr>
              <w:t>losses</w:t>
            </w:r>
          </w:p>
        </w:tc>
        <w:tc>
          <w:tcPr>
            <w:tcW w:w="0" w:type="dxa"/>
            <w:vAlign w:val="bottom"/>
          </w:tcPr>
          <w:p>
            <w:pPr>
              <w:spacing w:after="0"/>
              <w:rPr>
                <w:sz w:val="1"/>
                <w:szCs w:val="1"/>
                <w:color w:val="auto"/>
              </w:rPr>
            </w:pPr>
          </w:p>
        </w:tc>
      </w:tr>
      <w:tr>
        <w:trPr>
          <w:trHeight w:val="210"/>
        </w:trPr>
        <w:tc>
          <w:tcPr>
            <w:tcW w:w="3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 of June 30, 2023</w:t>
            </w:r>
          </w:p>
        </w:tc>
        <w:tc>
          <w:tcPr>
            <w:tcW w:w="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ind w:left="140"/>
              <w:spacing w:after="0"/>
              <w:rPr>
                <w:sz w:val="20"/>
                <w:szCs w:val="20"/>
                <w:color w:val="auto"/>
              </w:rPr>
            </w:pPr>
            <w:r>
              <w:rPr>
                <w:rFonts w:ascii="Arial" w:cs="Arial" w:eastAsia="Arial" w:hAnsi="Arial"/>
                <w:sz w:val="18"/>
                <w:szCs w:val="18"/>
                <w:color w:val="auto"/>
              </w:rPr>
              <w:t>Mutual funds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1,166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40" w:type="dxa"/>
            <w:vAlign w:val="bottom"/>
            <w:gridSpan w:val="2"/>
          </w:tcPr>
          <w:p>
            <w:pPr>
              <w:jc w:val="right"/>
              <w:ind w:right="433"/>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w w:val="88"/>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1,166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bonds and notes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972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326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5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60" w:type="dxa"/>
            <w:vAlign w:val="bottom"/>
            <w:vMerge w:val="continue"/>
          </w:tcPr>
          <w:p>
            <w:pPr>
              <w:spacing w:after="0"/>
              <w:rPr>
                <w:sz w:val="18"/>
                <w:szCs w:val="18"/>
                <w:color w:val="auto"/>
              </w:rPr>
            </w:pPr>
          </w:p>
        </w:tc>
        <w:tc>
          <w:tcPr>
            <w:tcW w:w="58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2,138</w:t>
            </w:r>
          </w:p>
        </w:tc>
        <w:tc>
          <w:tcPr>
            <w:tcW w:w="22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c>
          <w:tcPr>
            <w:tcW w:w="8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600" w:type="dxa"/>
            <w:vAlign w:val="bottom"/>
          </w:tcPr>
          <w:p>
            <w:pPr>
              <w:jc w:val="right"/>
              <w:ind w:right="433"/>
              <w:spacing w:after="0"/>
              <w:rPr>
                <w:sz w:val="20"/>
                <w:szCs w:val="20"/>
                <w:color w:val="auto"/>
              </w:rPr>
            </w:pPr>
            <w:r>
              <w:rPr>
                <w:rFonts w:ascii="Arial" w:cs="Arial" w:eastAsia="Arial" w:hAnsi="Arial"/>
                <w:sz w:val="15"/>
                <w:szCs w:val="15"/>
                <w:color w:val="auto"/>
                <w:w w:val="71"/>
              </w:rPr>
              <w:t>$</w:t>
            </w:r>
          </w:p>
        </w:tc>
        <w:tc>
          <w:tcPr>
            <w:tcW w:w="24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w w:val="88"/>
              </w:rPr>
              <w:t>—</w:t>
            </w:r>
          </w:p>
        </w:tc>
        <w:tc>
          <w:tcPr>
            <w:tcW w:w="22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2,138</w:t>
            </w:r>
          </w:p>
        </w:tc>
        <w:tc>
          <w:tcPr>
            <w:tcW w:w="20" w:type="dxa"/>
            <w:vAlign w:val="bottom"/>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3260" w:type="dxa"/>
            <w:vAlign w:val="bottom"/>
            <w:vMerge w:val="restart"/>
          </w:tcPr>
          <w:p>
            <w:pPr>
              <w:spacing w:after="0"/>
              <w:rPr>
                <w:sz w:val="20"/>
                <w:szCs w:val="20"/>
                <w:color w:val="auto"/>
              </w:rPr>
            </w:pPr>
            <w:r>
              <w:rPr>
                <w:rFonts w:ascii="Arial" w:cs="Arial" w:eastAsia="Arial" w:hAnsi="Arial"/>
                <w:sz w:val="18"/>
                <w:szCs w:val="18"/>
                <w:b w:val="1"/>
                <w:bCs w:val="1"/>
                <w:color w:val="auto"/>
              </w:rPr>
              <w:t>5. Intangible Assets</w:t>
            </w: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326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440" w:type="dxa"/>
            <w:vAlign w:val="bottom"/>
            <w:gridSpan w:val="10"/>
          </w:tcPr>
          <w:p>
            <w:pPr>
              <w:spacing w:after="0"/>
              <w:rPr>
                <w:sz w:val="20"/>
                <w:szCs w:val="20"/>
                <w:color w:val="auto"/>
              </w:rPr>
            </w:pPr>
            <w:r>
              <w:rPr>
                <w:rFonts w:ascii="Arial" w:cs="Arial" w:eastAsia="Arial" w:hAnsi="Arial"/>
                <w:sz w:val="18"/>
                <w:szCs w:val="18"/>
                <w:color w:val="auto"/>
                <w:w w:val="90"/>
              </w:rPr>
              <w:t>Intangible assets as of June 30, 2023 and December 31, 2022 consisted of the following:</w:t>
            </w: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3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0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88"/>
              </w:rPr>
              <w:t>Estimated useful</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gridSpan w:val="4"/>
          </w:tcPr>
          <w:p>
            <w:pPr>
              <w:jc w:val="right"/>
              <w:ind w:right="200"/>
              <w:spacing w:after="0"/>
              <w:rPr>
                <w:sz w:val="20"/>
                <w:szCs w:val="20"/>
                <w:color w:val="auto"/>
              </w:rPr>
            </w:pPr>
            <w:r>
              <w:rPr>
                <w:rFonts w:ascii="Arial" w:cs="Arial" w:eastAsia="Arial" w:hAnsi="Arial"/>
                <w:sz w:val="18"/>
                <w:szCs w:val="18"/>
                <w:b w:val="1"/>
                <w:bCs w:val="1"/>
                <w:color w:val="auto"/>
                <w:w w:val="97"/>
              </w:rPr>
              <w:t>December 31,</w:t>
            </w:r>
          </w:p>
        </w:tc>
        <w:tc>
          <w:tcPr>
            <w:tcW w:w="0" w:type="dxa"/>
            <w:vAlign w:val="bottom"/>
          </w:tcPr>
          <w:p>
            <w:pPr>
              <w:spacing w:after="0"/>
              <w:rPr>
                <w:sz w:val="1"/>
                <w:szCs w:val="1"/>
                <w:color w:val="auto"/>
              </w:rPr>
            </w:pPr>
          </w:p>
        </w:tc>
      </w:tr>
      <w:tr>
        <w:trPr>
          <w:trHeight w:val="234"/>
        </w:trPr>
        <w:tc>
          <w:tcPr>
            <w:tcW w:w="3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0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88"/>
              </w:rPr>
              <w:t>lives (years)</w:t>
            </w:r>
          </w:p>
        </w:tc>
        <w:tc>
          <w:tcPr>
            <w:tcW w:w="1440" w:type="dxa"/>
            <w:vAlign w:val="bottom"/>
            <w:gridSpan w:val="6"/>
          </w:tcPr>
          <w:p>
            <w:pPr>
              <w:ind w:left="80"/>
              <w:spacing w:after="0"/>
              <w:rPr>
                <w:sz w:val="20"/>
                <w:szCs w:val="20"/>
                <w:color w:val="auto"/>
              </w:rPr>
            </w:pPr>
            <w:r>
              <w:rPr>
                <w:rFonts w:ascii="Arial" w:cs="Arial" w:eastAsia="Arial" w:hAnsi="Arial"/>
                <w:sz w:val="18"/>
                <w:szCs w:val="18"/>
                <w:b w:val="1"/>
                <w:bCs w:val="1"/>
                <w:color w:val="auto"/>
              </w:rPr>
              <w:t>June 30, 2023</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Tradename</w:t>
            </w:r>
          </w:p>
        </w:tc>
        <w:tc>
          <w:tcPr>
            <w:tcW w:w="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to</w:t>
            </w:r>
          </w:p>
        </w:tc>
        <w:tc>
          <w:tcPr>
            <w:tcW w:w="640" w:type="dxa"/>
            <w:vAlign w:val="bottom"/>
            <w:tcBorders>
              <w:top w:val="single" w:sz="8" w:color="auto"/>
            </w:tcBorders>
            <w:gridSpan w:val="2"/>
            <w:shd w:val="clear" w:color="auto" w:fill="CCEEFF"/>
          </w:tcPr>
          <w:p>
            <w:pPr>
              <w:ind w:left="80"/>
              <w:spacing w:after="0"/>
              <w:rPr>
                <w:sz w:val="20"/>
                <w:szCs w:val="20"/>
                <w:color w:val="auto"/>
              </w:rPr>
            </w:pPr>
            <w:r>
              <w:rPr>
                <w:rFonts w:ascii="Arial" w:cs="Arial" w:eastAsia="Arial" w:hAnsi="Arial"/>
                <w:sz w:val="18"/>
                <w:szCs w:val="18"/>
                <w:color w:val="auto"/>
              </w:rPr>
              <w:t>7</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260" w:type="dxa"/>
            <w:vAlign w:val="bottom"/>
          </w:tcPr>
          <w:p>
            <w:pPr>
              <w:spacing w:after="0"/>
              <w:rPr>
                <w:sz w:val="20"/>
                <w:szCs w:val="20"/>
                <w:color w:val="auto"/>
              </w:rPr>
            </w:pPr>
            <w:r>
              <w:rPr>
                <w:rFonts w:ascii="Arial" w:cs="Arial" w:eastAsia="Arial" w:hAnsi="Arial"/>
                <w:sz w:val="18"/>
                <w:szCs w:val="18"/>
                <w:color w:val="auto"/>
              </w:rPr>
              <w:t>Patents and technological know-how</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jc w:val="center"/>
              <w:spacing w:after="0"/>
              <w:rPr>
                <w:sz w:val="20"/>
                <w:szCs w:val="20"/>
                <w:color w:val="auto"/>
              </w:rPr>
            </w:pPr>
            <w:r>
              <w:rPr>
                <w:rFonts w:ascii="Arial" w:cs="Arial" w:eastAsia="Arial" w:hAnsi="Arial"/>
                <w:sz w:val="18"/>
                <w:szCs w:val="18"/>
                <w:color w:val="auto"/>
                <w:w w:val="92"/>
              </w:rPr>
              <w:t>to</w:t>
            </w:r>
          </w:p>
        </w:tc>
        <w:tc>
          <w:tcPr>
            <w:tcW w:w="640" w:type="dxa"/>
            <w:vAlign w:val="bottom"/>
            <w:gridSpan w:val="2"/>
          </w:tcPr>
          <w:p>
            <w:pPr>
              <w:ind w:left="80"/>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7,132</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Proprietary software</w:t>
            </w: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to</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15</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2,981</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2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5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92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9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9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w:t>
            </w:r>
          </w:p>
        </w:tc>
        <w:tc>
          <w:tcPr>
            <w:tcW w:w="18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2"/>
              </w:rPr>
              <w:t>to</w:t>
            </w:r>
          </w:p>
        </w:tc>
        <w:tc>
          <w:tcPr>
            <w:tcW w:w="640" w:type="dxa"/>
            <w:vAlign w:val="bottom"/>
            <w:tcBorders>
              <w:bottom w:val="single" w:sz="8" w:color="CCEEFF"/>
            </w:tcBorders>
            <w:gridSpan w:val="2"/>
          </w:tcPr>
          <w:p>
            <w:pPr>
              <w:ind w:left="80"/>
              <w:spacing w:after="0"/>
              <w:rPr>
                <w:sz w:val="20"/>
                <w:szCs w:val="20"/>
                <w:color w:val="auto"/>
              </w:rPr>
            </w:pPr>
            <w:r>
              <w:rPr>
                <w:rFonts w:ascii="Arial" w:cs="Arial" w:eastAsia="Arial" w:hAnsi="Arial"/>
                <w:sz w:val="18"/>
                <w:szCs w:val="18"/>
                <w:color w:val="auto"/>
              </w:rPr>
              <w:t>5</w:t>
            </w:r>
          </w:p>
        </w:tc>
        <w:tc>
          <w:tcPr>
            <w:tcW w:w="24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w:t>
            </w:r>
          </w:p>
        </w:tc>
        <w:tc>
          <w:tcPr>
            <w:tcW w:w="1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intangible assets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26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50"/>
              <w:spacing w:after="0"/>
              <w:rPr>
                <w:sz w:val="20"/>
                <w:szCs w:val="20"/>
                <w:color w:val="auto"/>
              </w:rPr>
            </w:pPr>
            <w:r>
              <w:rPr>
                <w:rFonts w:ascii="Arial" w:cs="Arial" w:eastAsia="Arial" w:hAnsi="Arial"/>
                <w:sz w:val="18"/>
                <w:szCs w:val="18"/>
                <w:color w:val="auto"/>
              </w:rPr>
              <w:t>(9,088)</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(8,841)</w:t>
            </w:r>
          </w:p>
        </w:tc>
        <w:tc>
          <w:tcPr>
            <w:tcW w:w="0" w:type="dxa"/>
            <w:vAlign w:val="bottom"/>
          </w:tcPr>
          <w:p>
            <w:pPr>
              <w:spacing w:after="0"/>
              <w:rPr>
                <w:sz w:val="1"/>
                <w:szCs w:val="1"/>
                <w:color w:val="auto"/>
              </w:rPr>
            </w:pPr>
          </w:p>
        </w:tc>
      </w:tr>
      <w:tr>
        <w:trPr>
          <w:trHeight w:val="223"/>
        </w:trPr>
        <w:tc>
          <w:tcPr>
            <w:tcW w:w="32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intangible assets, net</w:t>
            </w:r>
          </w:p>
        </w:tc>
        <w:tc>
          <w:tcPr>
            <w:tcW w:w="5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6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1,903</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amortization of intangible assets for the three and six months ended June 30, 2023 and 2022 was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00" w:type="dxa"/>
            <w:vAlign w:val="bottom"/>
            <w:gridSpan w:val="5"/>
          </w:tcPr>
          <w:p>
            <w:pPr>
              <w:jc w:val="right"/>
              <w:ind w:right="220"/>
              <w:spacing w:after="0"/>
              <w:rPr>
                <w:sz w:val="20"/>
                <w:szCs w:val="20"/>
                <w:color w:val="auto"/>
              </w:rPr>
            </w:pPr>
            <w:r>
              <w:rPr>
                <w:rFonts w:ascii="Arial" w:cs="Arial" w:eastAsia="Arial" w:hAnsi="Arial"/>
                <w:sz w:val="18"/>
                <w:szCs w:val="18"/>
                <w:b w:val="1"/>
                <w:bCs w:val="1"/>
                <w:color w:val="auto"/>
                <w:w w:val="88"/>
              </w:rPr>
              <w:t>Three months ended June 30,</w:t>
            </w:r>
          </w:p>
        </w:tc>
        <w:tc>
          <w:tcPr>
            <w:tcW w:w="240" w:type="dxa"/>
            <w:vAlign w:val="bottom"/>
          </w:tcPr>
          <w:p>
            <w:pPr>
              <w:spacing w:after="0"/>
              <w:rPr>
                <w:sz w:val="20"/>
                <w:szCs w:val="20"/>
                <w:color w:val="auto"/>
              </w:rPr>
            </w:pPr>
          </w:p>
        </w:tc>
        <w:tc>
          <w:tcPr>
            <w:tcW w:w="2800" w:type="dxa"/>
            <w:vAlign w:val="bottom"/>
            <w:gridSpan w:val="9"/>
          </w:tcPr>
          <w:p>
            <w:pPr>
              <w:ind w:left="320"/>
              <w:spacing w:after="0"/>
              <w:rPr>
                <w:sz w:val="20"/>
                <w:szCs w:val="20"/>
                <w:color w:val="auto"/>
              </w:rPr>
            </w:pPr>
            <w:r>
              <w:rPr>
                <w:rFonts w:ascii="Arial" w:cs="Arial" w:eastAsia="Arial" w:hAnsi="Arial"/>
                <w:sz w:val="18"/>
                <w:szCs w:val="18"/>
                <w:b w:val="1"/>
                <w:bCs w:val="1"/>
                <w:color w:val="auto"/>
              </w:rPr>
              <w:t>Six months ended June 30,</w:t>
            </w:r>
          </w:p>
        </w:tc>
      </w:tr>
      <w:tr>
        <w:trPr>
          <w:trHeight w:val="223"/>
        </w:trPr>
        <w:tc>
          <w:tcPr>
            <w:tcW w:w="55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200" w:type="dxa"/>
            <w:vAlign w:val="bottom"/>
            <w:tcBorders>
              <w:top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gridSpan w:val="2"/>
          </w:tcPr>
          <w:p>
            <w:pPr>
              <w:jc w:val="right"/>
              <w:ind w:right="420"/>
              <w:spacing w:after="0"/>
              <w:rPr>
                <w:sz w:val="20"/>
                <w:szCs w:val="20"/>
                <w:color w:val="auto"/>
              </w:rPr>
            </w:pPr>
            <w:r>
              <w:rPr>
                <w:rFonts w:ascii="Arial" w:cs="Arial" w:eastAsia="Arial" w:hAnsi="Arial"/>
                <w:sz w:val="18"/>
                <w:szCs w:val="18"/>
                <w:b w:val="1"/>
                <w:bCs w:val="1"/>
                <w:color w:val="auto"/>
                <w:w w:val="99"/>
              </w:rPr>
              <w:t>2022</w:t>
            </w:r>
          </w:p>
        </w:tc>
        <w:tc>
          <w:tcPr>
            <w:tcW w:w="240" w:type="dxa"/>
            <w:vAlign w:val="bottom"/>
          </w:tcPr>
          <w:p>
            <w:pPr>
              <w:spacing w:after="0"/>
              <w:rPr>
                <w:sz w:val="19"/>
                <w:szCs w:val="19"/>
                <w:color w:val="auto"/>
              </w:rPr>
            </w:pPr>
          </w:p>
        </w:tc>
        <w:tc>
          <w:tcPr>
            <w:tcW w:w="880" w:type="dxa"/>
            <w:vAlign w:val="bottom"/>
            <w:tcBorders>
              <w:top w:val="single" w:sz="8" w:color="auto"/>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2023</w:t>
            </w:r>
          </w:p>
        </w:tc>
        <w:tc>
          <w:tcPr>
            <w:tcW w:w="34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68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247</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432"/>
        </w:trPr>
        <w:tc>
          <w:tcPr>
            <w:tcW w:w="5520" w:type="dxa"/>
            <w:vAlign w:val="bottom"/>
          </w:tcPr>
          <w:p>
            <w:pPr>
              <w:spacing w:after="0"/>
              <w:rPr>
                <w:sz w:val="20"/>
                <w:szCs w:val="20"/>
                <w:color w:val="auto"/>
              </w:rPr>
            </w:pPr>
            <w:r>
              <w:rPr>
                <w:rFonts w:ascii="Arial" w:cs="Arial" w:eastAsia="Arial" w:hAnsi="Arial"/>
                <w:sz w:val="18"/>
                <w:szCs w:val="18"/>
                <w:color w:val="auto"/>
                <w:w w:val="90"/>
              </w:rPr>
              <w:t>The estimated future amortization expense of intangible assets is as follows:</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45"/>
        </w:trPr>
        <w:tc>
          <w:tcPr>
            <w:tcW w:w="5520" w:type="dxa"/>
            <w:vAlign w:val="bottom"/>
          </w:tcPr>
          <w:p>
            <w:pPr>
              <w:spacing w:after="0"/>
              <w:rPr>
                <w:sz w:val="20"/>
                <w:szCs w:val="20"/>
                <w:color w:val="auto"/>
              </w:rPr>
            </w:pPr>
            <w:r>
              <w:rPr>
                <w:rFonts w:ascii="Arial" w:cs="Arial" w:eastAsia="Arial" w:hAnsi="Arial"/>
                <w:sz w:val="18"/>
                <w:szCs w:val="18"/>
                <w:b w:val="1"/>
                <w:bCs w:val="1"/>
                <w:color w:val="auto"/>
              </w:rPr>
              <w:t>Years ending December 31,</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20" w:type="dxa"/>
            <w:vAlign w:val="bottom"/>
            <w:gridSpan w:val="4"/>
          </w:tcPr>
          <w:p>
            <w:pPr>
              <w:jc w:val="right"/>
              <w:ind w:right="440"/>
              <w:spacing w:after="0"/>
              <w:rPr>
                <w:sz w:val="20"/>
                <w:szCs w:val="20"/>
                <w:color w:val="auto"/>
              </w:rPr>
            </w:pPr>
            <w:r>
              <w:rPr>
                <w:rFonts w:ascii="Arial" w:cs="Arial" w:eastAsia="Arial" w:hAnsi="Arial"/>
                <w:sz w:val="18"/>
                <w:szCs w:val="18"/>
                <w:b w:val="1"/>
                <w:bCs w:val="1"/>
                <w:color w:val="auto"/>
                <w:w w:val="97"/>
              </w:rPr>
              <w:t>Amount</w:t>
            </w: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55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2023 (Remainder)</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00" w:type="dxa"/>
            <w:vAlign w:val="bottom"/>
            <w:shd w:val="clear" w:color="auto" w:fill="CCEEFF"/>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2024</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00" w:type="dxa"/>
            <w:vAlign w:val="bottom"/>
            <w:shd w:val="clear" w:color="auto" w:fill="CCEEFF"/>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2026</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2027</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Thereafter</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937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63"/>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1,903</w:t>
            </w:r>
          </w:p>
        </w:tc>
        <w:tc>
          <w:tcPr>
            <w:tcW w:w="100" w:type="dxa"/>
            <w:vAlign w:val="bottom"/>
            <w:shd w:val="clear" w:color="auto" w:fill="CCEEFF"/>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440"/>
        </w:trPr>
        <w:tc>
          <w:tcPr>
            <w:tcW w:w="552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w w:val="79"/>
              </w:rPr>
              <w:t>11</w:t>
            </w:r>
          </w:p>
        </w:tc>
        <w:tc>
          <w:tcPr>
            <w:tcW w:w="106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29"/>
        </w:trPr>
        <w:tc>
          <w:tcPr>
            <w:tcW w:w="55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 NOTES TO CONDENSED CONSOLIDATED FINANCIAL STATEMENTS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(Dollars in thousands, except 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0" w:type="dxa"/>
            <w:vAlign w:val="bottom"/>
          </w:tcPr>
          <w:p>
            <w:pPr>
              <w:spacing w:after="0"/>
              <w:rPr>
                <w:sz w:val="20"/>
                <w:szCs w:val="20"/>
                <w:color w:val="auto"/>
              </w:rPr>
            </w:pPr>
            <w:r>
              <w:rPr>
                <w:rFonts w:ascii="Arial" w:cs="Arial" w:eastAsia="Arial" w:hAnsi="Arial"/>
                <w:sz w:val="18"/>
                <w:szCs w:val="18"/>
                <w:b w:val="1"/>
                <w:bCs w:val="1"/>
                <w:color w:val="auto"/>
              </w:rPr>
              <w:t>6. Inventories</w:t>
            </w: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800" w:type="dxa"/>
            <w:vAlign w:val="bottom"/>
          </w:tcPr>
          <w:p>
            <w:pPr>
              <w:spacing w:after="0"/>
              <w:rPr>
                <w:sz w:val="20"/>
                <w:szCs w:val="20"/>
                <w:color w:val="auto"/>
              </w:rPr>
            </w:pPr>
            <w:r>
              <w:rPr>
                <w:rFonts w:ascii="Arial" w:cs="Arial" w:eastAsia="Arial" w:hAnsi="Arial"/>
                <w:sz w:val="18"/>
                <w:szCs w:val="18"/>
                <w:color w:val="auto"/>
                <w:w w:val="97"/>
              </w:rPr>
              <w:t>Inventories, net of reserves, as of June 30, 2023 and December 31, 2022 consisted of the following:</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7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78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7"/>
              </w:rPr>
              <w:t>June 30, 2023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10"/>
        </w:trPr>
        <w:tc>
          <w:tcPr>
            <w:tcW w:w="7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w:t>
            </w:r>
          </w:p>
        </w:tc>
        <w:tc>
          <w:tcPr>
            <w:tcW w:w="6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7800" w:type="dxa"/>
            <w:vAlign w:val="bottom"/>
          </w:tcPr>
          <w:p>
            <w:pPr>
              <w:ind w:left="180"/>
              <w:spacing w:after="0"/>
              <w:rPr>
                <w:sz w:val="20"/>
                <w:szCs w:val="20"/>
                <w:color w:val="auto"/>
              </w:rPr>
            </w:pPr>
            <w:r>
              <w:rPr>
                <w:rFonts w:ascii="Arial" w:cs="Arial" w:eastAsia="Arial" w:hAnsi="Arial"/>
                <w:sz w:val="18"/>
                <w:szCs w:val="18"/>
                <w:color w:val="auto"/>
              </w:rPr>
              <w:t>Raw materials</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3,388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4,499</w:t>
            </w:r>
          </w:p>
        </w:tc>
        <w:tc>
          <w:tcPr>
            <w:tcW w:w="100" w:type="dxa"/>
            <w:vAlign w:val="bottom"/>
          </w:tcPr>
          <w:p>
            <w:pPr>
              <w:spacing w:after="0"/>
              <w:rPr>
                <w:sz w:val="19"/>
                <w:szCs w:val="19"/>
                <w:color w:val="auto"/>
              </w:rPr>
            </w:pPr>
          </w:p>
        </w:tc>
      </w:tr>
      <w:tr>
        <w:trPr>
          <w:trHeight w:val="243"/>
        </w:trPr>
        <w:tc>
          <w:tcPr>
            <w:tcW w:w="7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Finished goods</w:t>
            </w:r>
          </w:p>
        </w:tc>
        <w:tc>
          <w:tcPr>
            <w:tcW w:w="6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4,159</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4,462</w:t>
            </w:r>
          </w:p>
        </w:tc>
        <w:tc>
          <w:tcPr>
            <w:tcW w:w="100" w:type="dxa"/>
            <w:vAlign w:val="bottom"/>
            <w:shd w:val="clear" w:color="auto" w:fill="CCEEFF"/>
          </w:tcPr>
          <w:p>
            <w:pPr>
              <w:spacing w:after="0"/>
              <w:rPr>
                <w:sz w:val="21"/>
                <w:szCs w:val="21"/>
                <w:color w:val="auto"/>
              </w:rPr>
            </w:pPr>
          </w:p>
        </w:tc>
      </w:tr>
      <w:tr>
        <w:trPr>
          <w:trHeight w:val="263"/>
        </w:trPr>
        <w:tc>
          <w:tcPr>
            <w:tcW w:w="7800" w:type="dxa"/>
            <w:vAlign w:val="bottom"/>
            <w:tcBorders>
              <w:bottom w:val="single" w:sz="8" w:color="CCEEFF"/>
            </w:tcBorders>
          </w:tcPr>
          <w:p>
            <w:pPr>
              <w:spacing w:after="0"/>
              <w:rPr>
                <w:sz w:val="22"/>
                <w:szCs w:val="22"/>
                <w:color w:val="auto"/>
              </w:rPr>
            </w:pPr>
          </w:p>
        </w:tc>
        <w:tc>
          <w:tcPr>
            <w:tcW w:w="640" w:type="dxa"/>
            <w:vAlign w:val="bottom"/>
            <w:tcBorders>
              <w:bottom w:val="single" w:sz="8" w:color="CCEEFF"/>
            </w:tcBorders>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7,547</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8,961</w:t>
            </w:r>
          </w:p>
        </w:tc>
        <w:tc>
          <w:tcPr>
            <w:tcW w:w="100" w:type="dxa"/>
            <w:vAlign w:val="bottom"/>
            <w:tcBorders>
              <w:bottom w:val="single" w:sz="8" w:color="CCEEFF"/>
            </w:tcBorders>
          </w:tcPr>
          <w:p>
            <w:pPr>
              <w:spacing w:after="0"/>
              <w:rPr>
                <w:sz w:val="22"/>
                <w:szCs w:val="22"/>
                <w:color w:val="auto"/>
              </w:rPr>
            </w:pPr>
          </w:p>
        </w:tc>
      </w:tr>
      <w:tr>
        <w:trPr>
          <w:trHeight w:val="197"/>
        </w:trPr>
        <w:tc>
          <w:tcPr>
            <w:tcW w:w="78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7800" w:type="dxa"/>
            <w:vAlign w:val="bottom"/>
          </w:tcPr>
          <w:p>
            <w:pPr>
              <w:spacing w:after="0"/>
              <w:rPr>
                <w:sz w:val="20"/>
                <w:szCs w:val="20"/>
                <w:color w:val="auto"/>
              </w:rPr>
            </w:pPr>
            <w:r>
              <w:rPr>
                <w:rFonts w:ascii="Arial" w:cs="Arial" w:eastAsia="Arial" w:hAnsi="Arial"/>
                <w:sz w:val="18"/>
                <w:szCs w:val="18"/>
                <w:color w:val="auto"/>
              </w:rPr>
              <w:t>Long-term:</w:t>
            </w: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Raw materials</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1,551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w:t>
            </w:r>
          </w:p>
        </w:tc>
        <w:tc>
          <w:tcPr>
            <w:tcW w:w="100" w:type="dxa"/>
            <w:vAlign w:val="bottom"/>
            <w:shd w:val="clear" w:color="auto" w:fill="CCEEFF"/>
          </w:tcPr>
          <w:p>
            <w:pPr>
              <w:spacing w:after="0"/>
              <w:rPr>
                <w:sz w:val="19"/>
                <w:szCs w:val="19"/>
                <w:color w:val="auto"/>
              </w:rPr>
            </w:pPr>
          </w:p>
        </w:tc>
      </w:tr>
      <w:tr>
        <w:trPr>
          <w:trHeight w:val="243"/>
        </w:trPr>
        <w:tc>
          <w:tcPr>
            <w:tcW w:w="7800" w:type="dxa"/>
            <w:vAlign w:val="bottom"/>
          </w:tcPr>
          <w:p>
            <w:pPr>
              <w:ind w:left="180"/>
              <w:spacing w:after="0"/>
              <w:rPr>
                <w:sz w:val="20"/>
                <w:szCs w:val="20"/>
                <w:color w:val="auto"/>
              </w:rPr>
            </w:pPr>
            <w:r>
              <w:rPr>
                <w:rFonts w:ascii="Arial" w:cs="Arial" w:eastAsia="Arial" w:hAnsi="Arial"/>
                <w:sz w:val="18"/>
                <w:szCs w:val="18"/>
                <w:color w:val="auto"/>
              </w:rPr>
              <w:t>Finished goods</w:t>
            </w: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1,810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1,639</w:t>
            </w:r>
          </w:p>
        </w:tc>
        <w:tc>
          <w:tcPr>
            <w:tcW w:w="100" w:type="dxa"/>
            <w:vAlign w:val="bottom"/>
          </w:tcPr>
          <w:p>
            <w:pPr>
              <w:spacing w:after="0"/>
              <w:rPr>
                <w:sz w:val="21"/>
                <w:szCs w:val="21"/>
                <w:color w:val="auto"/>
              </w:rPr>
            </w:pPr>
          </w:p>
        </w:tc>
      </w:tr>
      <w:tr>
        <w:trPr>
          <w:trHeight w:val="223"/>
        </w:trPr>
        <w:tc>
          <w:tcPr>
            <w:tcW w:w="780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Long-term inventory represents inventory held in excess of our current (next 12 months) requirements based on our recent sales and forecasted level of sales. We expect to sell the above inventory, net of reserves, at or above the stated cost and believe that no loss will be incurred on its sale, although there can be no assurance of the timing or amount of any sales.</w:t>
      </w:r>
    </w:p>
    <w:p>
      <w:pPr>
        <w:spacing w:after="0" w:line="18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Net loss incurred on valuation of inventory at lower of cost or market value and write-off of obsolete inventory for three and six months ended June 30, 2023 and 2022 was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40" w:type="dxa"/>
            <w:vAlign w:val="bottom"/>
            <w:gridSpan w:val="5"/>
          </w:tcPr>
          <w:p>
            <w:pPr>
              <w:jc w:val="right"/>
              <w:ind w:right="130"/>
              <w:spacing w:after="0"/>
              <w:rPr>
                <w:sz w:val="20"/>
                <w:szCs w:val="20"/>
                <w:color w:val="auto"/>
              </w:rPr>
            </w:pPr>
            <w:r>
              <w:rPr>
                <w:rFonts w:ascii="Arial" w:cs="Arial" w:eastAsia="Arial" w:hAnsi="Arial"/>
                <w:sz w:val="18"/>
                <w:szCs w:val="18"/>
                <w:b w:val="1"/>
                <w:bCs w:val="1"/>
                <w:color w:val="auto"/>
                <w:w w:val="90"/>
              </w:rPr>
              <w:t>Three months ended June 30,</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0" w:type="dxa"/>
            <w:vAlign w:val="bottom"/>
            <w:gridSpan w:val="5"/>
          </w:tcPr>
          <w:p>
            <w:pPr>
              <w:jc w:val="right"/>
              <w:ind w:right="440"/>
              <w:spacing w:after="0"/>
              <w:rPr>
                <w:sz w:val="20"/>
                <w:szCs w:val="20"/>
                <w:color w:val="auto"/>
              </w:rPr>
            </w:pPr>
            <w:r>
              <w:rPr>
                <w:rFonts w:ascii="Arial" w:cs="Arial" w:eastAsia="Arial" w:hAnsi="Arial"/>
                <w:sz w:val="18"/>
                <w:szCs w:val="18"/>
                <w:b w:val="1"/>
                <w:bCs w:val="1"/>
                <w:color w:val="auto"/>
                <w:w w:val="92"/>
              </w:rPr>
              <w:t>Six months ended June 30,</w:t>
            </w:r>
          </w:p>
        </w:tc>
      </w:tr>
      <w:tr>
        <w:trPr>
          <w:trHeight w:val="210"/>
        </w:trPr>
        <w:tc>
          <w:tcPr>
            <w:tcW w:w="5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24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8"/>
                <w:szCs w:val="18"/>
                <w:color w:val="auto"/>
              </w:rPr>
            </w:pPr>
          </w:p>
        </w:tc>
      </w:tr>
      <w:tr>
        <w:trPr>
          <w:trHeight w:val="195"/>
        </w:trPr>
        <w:tc>
          <w:tcPr>
            <w:tcW w:w="52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6"/>
              </w:rPr>
              <w:t>Net loss incurred on valuation of inventory at lower of cost or market</w:t>
            </w: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30"/>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value and write-off of obsolete inventory</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Leases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Rent expense is recognized on a straight-line basis over the period of the lease taking into account future rent escalation and holiday periods.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Rent expense for three and six months ended June 30, 2023 and 2022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920" w:type="dxa"/>
            <w:vAlign w:val="bottom"/>
            <w:gridSpan w:val="6"/>
          </w:tcPr>
          <w:p>
            <w:pPr>
              <w:ind w:left="200"/>
              <w:spacing w:after="0"/>
              <w:rPr>
                <w:sz w:val="20"/>
                <w:szCs w:val="20"/>
                <w:color w:val="auto"/>
              </w:rPr>
            </w:pPr>
            <w:r>
              <w:rPr>
                <w:rFonts w:ascii="Arial" w:cs="Arial" w:eastAsia="Arial" w:hAnsi="Arial"/>
                <w:sz w:val="18"/>
                <w:szCs w:val="18"/>
                <w:b w:val="1"/>
                <w:bCs w:val="1"/>
                <w:color w:val="auto"/>
              </w:rPr>
              <w:t>Three months ended June 30,</w:t>
            </w:r>
          </w:p>
        </w:tc>
        <w:tc>
          <w:tcPr>
            <w:tcW w:w="200" w:type="dxa"/>
            <w:vAlign w:val="bottom"/>
          </w:tcPr>
          <w:p>
            <w:pPr>
              <w:spacing w:after="0"/>
              <w:rPr>
                <w:sz w:val="20"/>
                <w:szCs w:val="20"/>
                <w:color w:val="auto"/>
              </w:rPr>
            </w:pPr>
          </w:p>
        </w:tc>
        <w:tc>
          <w:tcPr>
            <w:tcW w:w="2600" w:type="dxa"/>
            <w:vAlign w:val="bottom"/>
            <w:gridSpan w:val="5"/>
          </w:tcPr>
          <w:p>
            <w:pPr>
              <w:ind w:left="120"/>
              <w:spacing w:after="0"/>
              <w:rPr>
                <w:sz w:val="20"/>
                <w:szCs w:val="20"/>
                <w:color w:val="auto"/>
              </w:rPr>
            </w:pPr>
            <w:r>
              <w:rPr>
                <w:rFonts w:ascii="Arial" w:cs="Arial" w:eastAsia="Arial" w:hAnsi="Arial"/>
                <w:sz w:val="18"/>
                <w:szCs w:val="18"/>
                <w:b w:val="1"/>
                <w:bCs w:val="1"/>
                <w:color w:val="auto"/>
              </w:rPr>
              <w:t>Six months ended June 30,</w:t>
            </w:r>
          </w:p>
        </w:tc>
      </w:tr>
      <w:tr>
        <w:trPr>
          <w:trHeight w:val="210"/>
        </w:trPr>
        <w:tc>
          <w:tcPr>
            <w:tcW w:w="3240" w:type="dxa"/>
            <w:vAlign w:val="bottom"/>
            <w:tcBorders>
              <w:bottom w:val="single" w:sz="8" w:color="CCEEFF"/>
            </w:tcBorders>
          </w:tcPr>
          <w:p>
            <w:pPr>
              <w:spacing w:after="0"/>
              <w:rPr>
                <w:sz w:val="18"/>
                <w:szCs w:val="18"/>
                <w:color w:val="auto"/>
              </w:rPr>
            </w:pPr>
          </w:p>
        </w:tc>
        <w:tc>
          <w:tcPr>
            <w:tcW w:w="228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34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8"/>
                <w:szCs w:val="18"/>
                <w:color w:val="auto"/>
              </w:rPr>
            </w:pPr>
          </w:p>
        </w:tc>
      </w:tr>
      <w:tr>
        <w:trPr>
          <w:trHeight w:val="210"/>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Rent expense</w:t>
            </w:r>
          </w:p>
        </w:tc>
        <w:tc>
          <w:tcPr>
            <w:tcW w:w="2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16"/>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00" w:type="dxa"/>
            <w:vAlign w:val="bottom"/>
            <w:shd w:val="clear" w:color="auto" w:fill="CCEEFF"/>
          </w:tcPr>
          <w:p>
            <w:pPr>
              <w:spacing w:after="0"/>
              <w:rPr>
                <w:sz w:val="18"/>
                <w:szCs w:val="18"/>
                <w:color w:val="auto"/>
              </w:rPr>
            </w:pPr>
          </w:p>
        </w:tc>
      </w:tr>
    </w:tbl>
    <w:p>
      <w:pPr>
        <w:spacing w:after="0" w:line="161"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The Company occupies a 1,350 square-foot facility in Gainesville, Florida under the terms of an operating lease expiring in February 2028. The Gainesville facility is used primarily to support the Company's research and development activities.</w:t>
      </w:r>
    </w:p>
    <w:p>
      <w:pPr>
        <w:spacing w:after="0" w:line="17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Company occupies a 9,402 square-foot facility in Salt Lake City, Utah under the terms of an operating lease expiring in February 2028. The facility supports the Company's principal administrative, sales, marketing, customer support, and research and product development activities.</w:t>
      </w:r>
    </w:p>
    <w:p>
      <w:pPr>
        <w:spacing w:after="0" w:line="17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amounts)</w:t>
      </w:r>
    </w:p>
    <w:p>
      <w:pPr>
        <w:spacing w:after="0" w:line="21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occupies a 6,175 square-foot facility in Chennai, India under the terms of an operating lease expiring in August 2023. This facility supports the Company's administrative, marketing, customer support, and research and product development activities. The Company is planning to renew the lease.</w:t>
      </w:r>
    </w:p>
    <w:p>
      <w:pPr>
        <w:spacing w:after="0" w:line="1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occupies a 40,000 square-foot warehouse in Salt Lake City, Utah under the terms of an operating lease expiring in April 2025, which serves as the Company's primary inventory fulfillment center.</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60" w:type="dxa"/>
            <w:vAlign w:val="bottom"/>
          </w:tcPr>
          <w:p>
            <w:pPr>
              <w:spacing w:after="0"/>
              <w:rPr>
                <w:sz w:val="20"/>
                <w:szCs w:val="20"/>
                <w:color w:val="auto"/>
              </w:rPr>
            </w:pPr>
            <w:r>
              <w:rPr>
                <w:rFonts w:ascii="Arial" w:cs="Arial" w:eastAsia="Arial" w:hAnsi="Arial"/>
                <w:sz w:val="18"/>
                <w:szCs w:val="18"/>
                <w:color w:val="auto"/>
              </w:rPr>
              <w:t>Supplemental cash flow information related to leases was as follows: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20" w:type="dxa"/>
            <w:vAlign w:val="bottom"/>
            <w:gridSpan w:val="10"/>
          </w:tcPr>
          <w:p>
            <w:pPr>
              <w:jc w:val="right"/>
              <w:ind w:right="440"/>
              <w:spacing w:after="0"/>
              <w:rPr>
                <w:sz w:val="20"/>
                <w:szCs w:val="20"/>
                <w:color w:val="auto"/>
              </w:rPr>
            </w:pPr>
            <w:r>
              <w:rPr>
                <w:rFonts w:ascii="Arial" w:cs="Arial" w:eastAsia="Arial" w:hAnsi="Arial"/>
                <w:sz w:val="18"/>
                <w:szCs w:val="18"/>
                <w:b w:val="1"/>
                <w:bCs w:val="1"/>
                <w:color w:val="auto"/>
                <w:w w:val="88"/>
              </w:rPr>
              <w:t>Six months ended June 30,</w:t>
            </w:r>
          </w:p>
        </w:tc>
        <w:tc>
          <w:tcPr>
            <w:tcW w:w="0" w:type="dxa"/>
            <w:vAlign w:val="bottom"/>
          </w:tcPr>
          <w:p>
            <w:pPr>
              <w:spacing w:after="0"/>
              <w:rPr>
                <w:sz w:val="1"/>
                <w:szCs w:val="1"/>
                <w:color w:val="auto"/>
              </w:rPr>
            </w:pPr>
          </w:p>
        </w:tc>
      </w:tr>
      <w:tr>
        <w:trPr>
          <w:trHeight w:val="223"/>
        </w:trPr>
        <w:tc>
          <w:tcPr>
            <w:tcW w:w="83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4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ind w:left="420"/>
              <w:spacing w:after="0"/>
              <w:rPr>
                <w:sz w:val="20"/>
                <w:szCs w:val="20"/>
                <w:color w:val="auto"/>
              </w:rPr>
            </w:pPr>
            <w:r>
              <w:rPr>
                <w:rFonts w:ascii="Arial" w:cs="Arial" w:eastAsia="Arial" w:hAnsi="Arial"/>
                <w:sz w:val="18"/>
                <w:szCs w:val="18"/>
                <w:color w:val="auto"/>
              </w:rPr>
              <w:t>Operating cash flows from operating leases</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(264)</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Right-of-use assets obtained in exchange for lease obligations:</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420"/>
              <w:spacing w:after="0"/>
              <w:rPr>
                <w:sz w:val="20"/>
                <w:szCs w:val="20"/>
                <w:color w:val="auto"/>
              </w:rPr>
            </w:pPr>
            <w:r>
              <w:rPr>
                <w:rFonts w:ascii="Arial" w:cs="Arial" w:eastAsia="Arial" w:hAnsi="Arial"/>
                <w:sz w:val="18"/>
                <w:szCs w:val="18"/>
                <w:color w:val="auto"/>
              </w:rPr>
              <w:t>Operating leases</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341</w:t>
            </w:r>
          </w:p>
        </w:tc>
        <w:tc>
          <w:tcPr>
            <w:tcW w:w="60" w:type="dxa"/>
            <w:vAlign w:val="bottom"/>
          </w:tcPr>
          <w:p>
            <w:pPr>
              <w:spacing w:after="0"/>
              <w:rPr>
                <w:sz w:val="20"/>
                <w:szCs w:val="20"/>
                <w:color w:val="auto"/>
              </w:rPr>
            </w:pP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8"/>
        </w:trPr>
        <w:tc>
          <w:tcPr>
            <w:tcW w:w="8360" w:type="dxa"/>
            <w:vAlign w:val="bottom"/>
          </w:tcPr>
          <w:p>
            <w:pPr>
              <w:spacing w:after="0"/>
              <w:rPr>
                <w:sz w:val="20"/>
                <w:szCs w:val="20"/>
                <w:color w:val="auto"/>
              </w:rPr>
            </w:pPr>
            <w:r>
              <w:rPr>
                <w:rFonts w:ascii="Arial" w:cs="Arial" w:eastAsia="Arial" w:hAnsi="Arial"/>
                <w:sz w:val="18"/>
                <w:szCs w:val="18"/>
                <w:color w:val="auto"/>
              </w:rPr>
              <w:t>Supplemental balance sheet information related to leases was as follows:</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8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gridSpan w:val="5"/>
          </w:tcPr>
          <w:p>
            <w:pPr>
              <w:jc w:val="right"/>
              <w:ind w:right="240"/>
              <w:spacing w:after="0"/>
              <w:rPr>
                <w:sz w:val="20"/>
                <w:szCs w:val="20"/>
                <w:color w:val="auto"/>
              </w:rPr>
            </w:pPr>
            <w:r>
              <w:rPr>
                <w:rFonts w:ascii="Arial" w:cs="Arial" w:eastAsia="Arial" w:hAnsi="Arial"/>
                <w:sz w:val="18"/>
                <w:szCs w:val="18"/>
                <w:b w:val="1"/>
                <w:bCs w:val="1"/>
                <w:color w:val="auto"/>
                <w:w w:val="93"/>
              </w:rPr>
              <w:t>December 31,</w:t>
            </w:r>
          </w:p>
        </w:tc>
        <w:tc>
          <w:tcPr>
            <w:tcW w:w="0" w:type="dxa"/>
            <w:vAlign w:val="bottom"/>
          </w:tcPr>
          <w:p>
            <w:pPr>
              <w:spacing w:after="0"/>
              <w:rPr>
                <w:sz w:val="1"/>
                <w:szCs w:val="1"/>
                <w:color w:val="auto"/>
              </w:rPr>
            </w:pPr>
          </w:p>
        </w:tc>
      </w:tr>
      <w:tr>
        <w:trPr>
          <w:trHeight w:val="234"/>
        </w:trPr>
        <w:tc>
          <w:tcPr>
            <w:tcW w:w="8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gridSpan w:val="5"/>
          </w:tcPr>
          <w:p>
            <w:pPr>
              <w:jc w:val="right"/>
              <w:ind w:right="240"/>
              <w:spacing w:after="0"/>
              <w:rPr>
                <w:sz w:val="20"/>
                <w:szCs w:val="20"/>
                <w:color w:val="auto"/>
              </w:rPr>
            </w:pPr>
            <w:r>
              <w:rPr>
                <w:rFonts w:ascii="Arial" w:cs="Arial" w:eastAsia="Arial" w:hAnsi="Arial"/>
                <w:sz w:val="18"/>
                <w:szCs w:val="18"/>
                <w:b w:val="1"/>
                <w:bCs w:val="1"/>
                <w:color w:val="auto"/>
                <w:w w:val="88"/>
              </w:rPr>
              <w:t>June 30, 2023</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240" w:type="dxa"/>
            <w:vAlign w:val="bottom"/>
            <w:tcBorders>
              <w:top w:val="single" w:sz="8" w:color="auto"/>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1,047</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24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operating lease liabilities, included in accrued liabilities</w:t>
            </w:r>
          </w:p>
        </w:tc>
        <w:tc>
          <w:tcPr>
            <w:tcW w:w="2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391</w:t>
            </w:r>
          </w:p>
        </w:tc>
        <w:tc>
          <w:tcPr>
            <w:tcW w:w="60" w:type="dxa"/>
            <w:vAlign w:val="bottom"/>
            <w:shd w:val="clear" w:color="auto" w:fill="CCEEFF"/>
          </w:tcPr>
          <w:p>
            <w:pPr>
              <w:spacing w:after="0"/>
              <w:rPr>
                <w:sz w:val="19"/>
                <w:szCs w:val="19"/>
                <w:color w:val="auto"/>
              </w:rPr>
            </w:pP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Operating lease liabilities, net of current portion</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848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360" w:type="dxa"/>
            <w:vAlign w:val="bottom"/>
            <w:tcBorders>
              <w:top w:val="single" w:sz="8" w:color="CCEEFF"/>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Total operating lease liabilities</w:t>
            </w:r>
          </w:p>
        </w:tc>
        <w:tc>
          <w:tcPr>
            <w:tcW w:w="240" w:type="dxa"/>
            <w:vAlign w:val="bottom"/>
            <w:tcBorders>
              <w:top w:val="single" w:sz="8" w:color="auto"/>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1,133</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remaining lease term for operating leases (in years)</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60" w:type="dxa"/>
            <w:vAlign w:val="bottom"/>
          </w:tcPr>
          <w:p>
            <w:pPr>
              <w:spacing w:after="0"/>
              <w:rPr>
                <w:sz w:val="20"/>
                <w:szCs w:val="20"/>
                <w:color w:val="auto"/>
              </w:rPr>
            </w:pPr>
            <w:r>
              <w:rPr>
                <w:rFonts w:ascii="Arial" w:cs="Arial" w:eastAsia="Arial" w:hAnsi="Arial"/>
                <w:sz w:val="18"/>
                <w:szCs w:val="18"/>
                <w:color w:val="auto"/>
              </w:rPr>
              <w:t>Weighted average discount rate for operating leases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6.40%</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418"/>
        </w:trPr>
        <w:tc>
          <w:tcPr>
            <w:tcW w:w="8360" w:type="dxa"/>
            <w:vAlign w:val="bottom"/>
          </w:tcPr>
          <w:p>
            <w:pPr>
              <w:spacing w:after="0"/>
              <w:rPr>
                <w:sz w:val="20"/>
                <w:szCs w:val="20"/>
                <w:color w:val="auto"/>
              </w:rPr>
            </w:pPr>
            <w:r>
              <w:rPr>
                <w:rFonts w:ascii="Arial" w:cs="Arial" w:eastAsia="Arial" w:hAnsi="Arial"/>
                <w:sz w:val="18"/>
                <w:szCs w:val="18"/>
                <w:color w:val="auto"/>
              </w:rPr>
              <w:t>The following represents maturities of operating lease liabilities as of June 30, 2023:</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Years ending December 31,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180"/>
              <w:spacing w:after="0"/>
              <w:rPr>
                <w:sz w:val="20"/>
                <w:szCs w:val="20"/>
                <w:color w:val="auto"/>
              </w:rPr>
            </w:pPr>
            <w:r>
              <w:rPr>
                <w:rFonts w:ascii="Arial" w:cs="Arial" w:eastAsia="Arial" w:hAnsi="Arial"/>
                <w:sz w:val="18"/>
                <w:szCs w:val="18"/>
                <w:color w:val="auto"/>
              </w:rPr>
              <w:t>2023 (Remainder)</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gridSpan w:val="4"/>
          </w:tcPr>
          <w:p>
            <w:pPr>
              <w:jc w:val="right"/>
              <w:ind w:right="100"/>
              <w:spacing w:after="0"/>
              <w:rPr>
                <w:sz w:val="20"/>
                <w:szCs w:val="20"/>
                <w:color w:val="auto"/>
              </w:rPr>
            </w:pPr>
            <w:r>
              <w:rPr>
                <w:rFonts w:ascii="Arial" w:cs="Arial" w:eastAsia="Arial" w:hAnsi="Arial"/>
                <w:sz w:val="18"/>
                <w:szCs w:val="18"/>
                <w:color w:val="auto"/>
                <w:w w:val="86"/>
              </w:rPr>
              <w:t>228</w:t>
            </w: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86"/>
              </w:rPr>
              <w:t>439</w:t>
            </w: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180"/>
              <w:spacing w:after="0"/>
              <w:rPr>
                <w:sz w:val="20"/>
                <w:szCs w:val="20"/>
                <w:color w:val="auto"/>
              </w:rPr>
            </w:pPr>
            <w:r>
              <w:rPr>
                <w:rFonts w:ascii="Arial" w:cs="Arial" w:eastAsia="Arial" w:hAnsi="Arial"/>
                <w:sz w:val="18"/>
                <w:szCs w:val="18"/>
                <w:color w:val="auto"/>
              </w:rPr>
              <w:t>2025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gridSpan w:val="4"/>
          </w:tcPr>
          <w:p>
            <w:pPr>
              <w:jc w:val="right"/>
              <w:ind w:right="100"/>
              <w:spacing w:after="0"/>
              <w:rPr>
                <w:sz w:val="20"/>
                <w:szCs w:val="20"/>
                <w:color w:val="auto"/>
              </w:rPr>
            </w:pPr>
            <w:r>
              <w:rPr>
                <w:rFonts w:ascii="Arial" w:cs="Arial" w:eastAsia="Arial" w:hAnsi="Arial"/>
                <w:sz w:val="18"/>
                <w:szCs w:val="18"/>
                <w:color w:val="auto"/>
                <w:w w:val="86"/>
              </w:rPr>
              <w:t>272</w:t>
            </w: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86"/>
              </w:rPr>
              <w:t>210</w:t>
            </w: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180"/>
              <w:spacing w:after="0"/>
              <w:rPr>
                <w:sz w:val="20"/>
                <w:szCs w:val="20"/>
                <w:color w:val="auto"/>
              </w:rPr>
            </w:pPr>
            <w:r>
              <w:rPr>
                <w:rFonts w:ascii="Arial" w:cs="Arial" w:eastAsia="Arial" w:hAnsi="Arial"/>
                <w:sz w:val="18"/>
                <w:szCs w:val="18"/>
                <w:color w:val="auto"/>
              </w:rPr>
              <w:t>2027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gridSpan w:val="4"/>
          </w:tcPr>
          <w:p>
            <w:pPr>
              <w:jc w:val="right"/>
              <w:ind w:right="100"/>
              <w:spacing w:after="0"/>
              <w:rPr>
                <w:sz w:val="20"/>
                <w:szCs w:val="20"/>
                <w:color w:val="auto"/>
              </w:rPr>
            </w:pPr>
            <w:r>
              <w:rPr>
                <w:rFonts w:ascii="Arial" w:cs="Arial" w:eastAsia="Arial" w:hAnsi="Arial"/>
                <w:sz w:val="18"/>
                <w:szCs w:val="18"/>
                <w:color w:val="auto"/>
                <w:w w:val="86"/>
              </w:rPr>
              <w:t>216</w:t>
            </w: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Thereafter</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360" w:type="dxa"/>
            <w:vAlign w:val="bottom"/>
          </w:tcPr>
          <w:p>
            <w:pPr>
              <w:ind w:left="660"/>
              <w:spacing w:after="0"/>
              <w:rPr>
                <w:sz w:val="20"/>
                <w:szCs w:val="20"/>
                <w:color w:val="auto"/>
              </w:rPr>
            </w:pPr>
            <w:r>
              <w:rPr>
                <w:rFonts w:ascii="Arial" w:cs="Arial" w:eastAsia="Arial" w:hAnsi="Arial"/>
                <w:sz w:val="18"/>
                <w:szCs w:val="18"/>
                <w:color w:val="auto"/>
              </w:rPr>
              <w:t>Total lease payments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gridSpan w:val="6"/>
          </w:tcPr>
          <w:p>
            <w:pPr>
              <w:jc w:val="right"/>
              <w:spacing w:after="0"/>
              <w:rPr>
                <w:sz w:val="20"/>
                <w:szCs w:val="20"/>
                <w:color w:val="auto"/>
              </w:rPr>
            </w:pPr>
            <w:r>
              <w:rPr>
                <w:rFonts w:ascii="Arial" w:cs="Arial" w:eastAsia="Arial" w:hAnsi="Arial"/>
                <w:sz w:val="18"/>
                <w:szCs w:val="18"/>
                <w:color w:val="auto"/>
              </w:rPr>
              <w:t>1,402</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Imputed interest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7"/>
            <w:shd w:val="clear" w:color="auto" w:fill="CCEEFF"/>
          </w:tcPr>
          <w:p>
            <w:pPr>
              <w:jc w:val="right"/>
              <w:ind w:right="40"/>
              <w:spacing w:after="0"/>
              <w:rPr>
                <w:sz w:val="20"/>
                <w:szCs w:val="20"/>
                <w:color w:val="auto"/>
              </w:rPr>
            </w:pPr>
            <w:r>
              <w:rPr>
                <w:rFonts w:ascii="Arial" w:cs="Arial" w:eastAsia="Arial" w:hAnsi="Arial"/>
                <w:sz w:val="18"/>
                <w:szCs w:val="18"/>
                <w:color w:val="auto"/>
              </w:rPr>
              <w:t>(163)</w:t>
            </w: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360" w:type="dxa"/>
            <w:vAlign w:val="bottom"/>
          </w:tcPr>
          <w:p>
            <w:pPr>
              <w:ind w:left="660"/>
              <w:spacing w:after="0"/>
              <w:rPr>
                <w:sz w:val="20"/>
                <w:szCs w:val="20"/>
                <w:color w:val="auto"/>
              </w:rPr>
            </w:pPr>
            <w:r>
              <w:rPr>
                <w:rFonts w:ascii="Arial" w:cs="Arial" w:eastAsia="Arial" w:hAnsi="Arial"/>
                <w:sz w:val="18"/>
                <w:szCs w:val="18"/>
                <w:color w:val="auto"/>
              </w:rPr>
              <w:t>Total</w:t>
            </w:r>
          </w:p>
        </w:tc>
        <w:tc>
          <w:tcPr>
            <w:tcW w:w="240" w:type="dxa"/>
            <w:vAlign w:val="bottom"/>
            <w:gridSpan w:val="2"/>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gridSpan w:val="6"/>
          </w:tcPr>
          <w:p>
            <w:pPr>
              <w:jc w:val="right"/>
              <w:spacing w:after="0"/>
              <w:rPr>
                <w:sz w:val="20"/>
                <w:szCs w:val="20"/>
                <w:color w:val="auto"/>
              </w:rPr>
            </w:pPr>
            <w:r>
              <w:rPr>
                <w:rFonts w:ascii="Arial" w:cs="Arial" w:eastAsia="Arial" w:hAnsi="Arial"/>
                <w:sz w:val="18"/>
                <w:szCs w:val="18"/>
                <w:color w:val="auto"/>
              </w:rPr>
              <w:t>1,239</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60" w:type="dxa"/>
            <w:vAlign w:val="bottom"/>
            <w:vMerge w:val="restart"/>
          </w:tcPr>
          <w:p>
            <w:pPr>
              <w:ind w:left="554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83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3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 NOTES TO CONDENSED CONSOLIDATED FINANCIAL STATEMENTS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(Unaudited - Dollars in thousands, except 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8. Shareholders' Equity</w:t>
            </w: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8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80" w:type="dxa"/>
            <w:vAlign w:val="bottom"/>
            <w:gridSpan w:val="6"/>
          </w:tcPr>
          <w:p>
            <w:pPr>
              <w:jc w:val="right"/>
              <w:ind w:right="440"/>
              <w:spacing w:after="0"/>
              <w:rPr>
                <w:sz w:val="20"/>
                <w:szCs w:val="20"/>
                <w:color w:val="auto"/>
              </w:rPr>
            </w:pPr>
            <w:r>
              <w:rPr>
                <w:rFonts w:ascii="Arial" w:cs="Arial" w:eastAsia="Arial" w:hAnsi="Arial"/>
                <w:sz w:val="18"/>
                <w:szCs w:val="18"/>
                <w:b w:val="1"/>
                <w:bCs w:val="1"/>
                <w:color w:val="auto"/>
                <w:w w:val="91"/>
              </w:rPr>
              <w:t>Three months ended June 30,</w:t>
            </w:r>
          </w:p>
        </w:tc>
        <w:tc>
          <w:tcPr>
            <w:tcW w:w="200" w:type="dxa"/>
            <w:vAlign w:val="bottom"/>
          </w:tcPr>
          <w:p>
            <w:pPr>
              <w:spacing w:after="0"/>
              <w:rPr>
                <w:sz w:val="24"/>
                <w:szCs w:val="24"/>
                <w:color w:val="auto"/>
              </w:rPr>
            </w:pPr>
          </w:p>
        </w:tc>
        <w:tc>
          <w:tcPr>
            <w:tcW w:w="2620" w:type="dxa"/>
            <w:vAlign w:val="bottom"/>
            <w:gridSpan w:val="6"/>
          </w:tcPr>
          <w:p>
            <w:pPr>
              <w:jc w:val="right"/>
              <w:ind w:right="420"/>
              <w:spacing w:after="0"/>
              <w:rPr>
                <w:sz w:val="20"/>
                <w:szCs w:val="20"/>
                <w:color w:val="auto"/>
              </w:rPr>
            </w:pPr>
            <w:r>
              <w:rPr>
                <w:rFonts w:ascii="Arial" w:cs="Arial" w:eastAsia="Arial" w:hAnsi="Arial"/>
                <w:sz w:val="18"/>
                <w:szCs w:val="18"/>
                <w:b w:val="1"/>
                <w:bCs w:val="1"/>
                <w:color w:val="auto"/>
                <w:w w:val="93"/>
              </w:rPr>
              <w:t>Six Months Ended June 30,</w:t>
            </w:r>
          </w:p>
        </w:tc>
        <w:tc>
          <w:tcPr>
            <w:tcW w:w="0" w:type="dxa"/>
            <w:vAlign w:val="bottom"/>
          </w:tcPr>
          <w:p>
            <w:pPr>
              <w:spacing w:after="0"/>
              <w:rPr>
                <w:sz w:val="1"/>
                <w:szCs w:val="1"/>
                <w:color w:val="auto"/>
              </w:rPr>
            </w:pPr>
          </w:p>
        </w:tc>
      </w:tr>
      <w:tr>
        <w:trPr>
          <w:trHeight w:val="223"/>
        </w:trPr>
        <w:tc>
          <w:tcPr>
            <w:tcW w:w="2820" w:type="dxa"/>
            <w:vAlign w:val="bottom"/>
            <w:tcBorders>
              <w:bottom w:val="single" w:sz="8" w:color="CCEEFF"/>
            </w:tcBorders>
          </w:tcPr>
          <w:p>
            <w:pPr>
              <w:spacing w:after="0"/>
              <w:rPr>
                <w:sz w:val="19"/>
                <w:szCs w:val="19"/>
                <w:color w:val="auto"/>
              </w:rPr>
            </w:pPr>
          </w:p>
        </w:tc>
        <w:tc>
          <w:tcPr>
            <w:tcW w:w="202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14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14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Common stock and additional paid-in capital</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40" w:type="dxa"/>
            <w:vAlign w:val="bottom"/>
            <w:gridSpan w:val="2"/>
          </w:tcPr>
          <w:p>
            <w:pPr>
              <w:spacing w:after="0"/>
              <w:rPr>
                <w:sz w:val="20"/>
                <w:szCs w:val="20"/>
                <w:color w:val="auto"/>
              </w:rPr>
            </w:pPr>
            <w:r>
              <w:rPr>
                <w:rFonts w:ascii="Arial" w:cs="Arial" w:eastAsia="Arial" w:hAnsi="Arial"/>
                <w:sz w:val="18"/>
                <w:szCs w:val="18"/>
                <w:color w:val="auto"/>
              </w:rPr>
              <w:t>Balance, beginning of period</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74,957</w:t>
            </w:r>
          </w:p>
        </w:tc>
        <w:tc>
          <w:tcPr>
            <w:tcW w:w="140" w:type="dxa"/>
            <w:vAlign w:val="bottom"/>
          </w:tcPr>
          <w:p>
            <w:pPr>
              <w:spacing w:after="0"/>
              <w:rPr>
                <w:sz w:val="19"/>
                <w:szCs w:val="19"/>
                <w:color w:val="auto"/>
              </w:rPr>
            </w:pPr>
          </w:p>
        </w:tc>
        <w:tc>
          <w:tcPr>
            <w:tcW w:w="34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74,855</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74,934</w:t>
            </w:r>
          </w:p>
        </w:tc>
        <w:tc>
          <w:tcPr>
            <w:tcW w:w="140" w:type="dxa"/>
            <w:vAlign w:val="bottom"/>
          </w:tcPr>
          <w:p>
            <w:pPr>
              <w:spacing w:after="0"/>
              <w:rPr>
                <w:sz w:val="19"/>
                <w:szCs w:val="19"/>
                <w:color w:val="auto"/>
              </w:rPr>
            </w:pPr>
          </w:p>
        </w:tc>
        <w:tc>
          <w:tcPr>
            <w:tcW w:w="34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72,818</w:t>
            </w:r>
          </w:p>
        </w:tc>
        <w:tc>
          <w:tcPr>
            <w:tcW w:w="0" w:type="dxa"/>
            <w:vAlign w:val="bottom"/>
          </w:tcPr>
          <w:p>
            <w:pPr>
              <w:spacing w:after="0"/>
              <w:rPr>
                <w:sz w:val="1"/>
                <w:szCs w:val="1"/>
                <w:color w:val="auto"/>
              </w:rPr>
            </w:pPr>
          </w:p>
        </w:tc>
      </w:tr>
      <w:tr>
        <w:trPr>
          <w:trHeight w:val="230"/>
        </w:trPr>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Dividends paid</w:t>
            </w: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(28,979)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(28,979)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40" w:type="dxa"/>
            <w:vAlign w:val="bottom"/>
            <w:gridSpan w:val="2"/>
          </w:tcPr>
          <w:p>
            <w:pPr>
              <w:spacing w:after="0"/>
              <w:rPr>
                <w:sz w:val="20"/>
                <w:szCs w:val="20"/>
                <w:color w:val="auto"/>
              </w:rPr>
            </w:pPr>
            <w:r>
              <w:rPr>
                <w:rFonts w:ascii="Arial" w:cs="Arial" w:eastAsia="Arial" w:hAnsi="Arial"/>
                <w:sz w:val="18"/>
                <w:szCs w:val="18"/>
                <w:color w:val="auto"/>
              </w:rPr>
              <w:t>Issuance of common stock and warrants, net</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29"/>
        </w:trPr>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Share-based compensation expense</w:t>
            </w: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30"/>
        </w:trPr>
        <w:tc>
          <w:tcPr>
            <w:tcW w:w="4840" w:type="dxa"/>
            <w:vAlign w:val="bottom"/>
            <w:gridSpan w:val="2"/>
          </w:tcPr>
          <w:p>
            <w:pPr>
              <w:spacing w:after="0"/>
              <w:rPr>
                <w:sz w:val="20"/>
                <w:szCs w:val="20"/>
                <w:color w:val="auto"/>
              </w:rPr>
            </w:pPr>
            <w:r>
              <w:rPr>
                <w:rFonts w:ascii="Arial" w:cs="Arial" w:eastAsia="Arial" w:hAnsi="Arial"/>
                <w:sz w:val="18"/>
                <w:szCs w:val="18"/>
                <w:color w:val="auto"/>
              </w:rPr>
              <w:t>Proceeds from employee stock purchase plan</w:t>
            </w: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9"/>
        </w:trPr>
        <w:tc>
          <w:tcPr>
            <w:tcW w:w="48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end of period</w:t>
            </w:r>
          </w:p>
        </w:tc>
        <w:tc>
          <w:tcPr>
            <w:tcW w:w="6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46,003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74,885</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46,003</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74,885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Accumulated other comprehensive loss</w:t>
            </w: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40" w:type="dxa"/>
            <w:vAlign w:val="bottom"/>
            <w:gridSpan w:val="2"/>
          </w:tcPr>
          <w:p>
            <w:pPr>
              <w:spacing w:after="0"/>
              <w:rPr>
                <w:sz w:val="20"/>
                <w:szCs w:val="20"/>
                <w:color w:val="auto"/>
              </w:rPr>
            </w:pPr>
            <w:r>
              <w:rPr>
                <w:rFonts w:ascii="Arial" w:cs="Arial" w:eastAsia="Arial" w:hAnsi="Arial"/>
                <w:sz w:val="18"/>
                <w:szCs w:val="18"/>
                <w:color w:val="auto"/>
              </w:rPr>
              <w:t>Balance, beginning of period</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(283)</w:t>
            </w:r>
          </w:p>
        </w:tc>
        <w:tc>
          <w:tcPr>
            <w:tcW w:w="34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(280)</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(288)</w:t>
            </w:r>
          </w:p>
        </w:tc>
        <w:tc>
          <w:tcPr>
            <w:tcW w:w="34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30"/>
        </w:trPr>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Unrealized loss on available-for-sale securities, net of tax</w:t>
            </w: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840" w:type="dxa"/>
            <w:vAlign w:val="bottom"/>
            <w:gridSpan w:val="2"/>
          </w:tcPr>
          <w:p>
            <w:pPr>
              <w:spacing w:after="0"/>
              <w:rPr>
                <w:sz w:val="20"/>
                <w:szCs w:val="20"/>
                <w:color w:val="auto"/>
              </w:rPr>
            </w:pPr>
            <w:r>
              <w:rPr>
                <w:rFonts w:ascii="Arial" w:cs="Arial" w:eastAsia="Arial" w:hAnsi="Arial"/>
                <w:sz w:val="18"/>
                <w:szCs w:val="18"/>
                <w:color w:val="auto"/>
              </w:rPr>
              <w:t>Foreign currency translation adjustment</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9"/>
        </w:trPr>
        <w:tc>
          <w:tcPr>
            <w:tcW w:w="48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end of period</w:t>
            </w:r>
          </w:p>
        </w:tc>
        <w:tc>
          <w:tcPr>
            <w:tcW w:w="6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Accumulated deficit</w:t>
            </w: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gridSpan w:val="2"/>
          </w:tcPr>
          <w:p>
            <w:pPr>
              <w:spacing w:after="0"/>
              <w:rPr>
                <w:sz w:val="20"/>
                <w:szCs w:val="20"/>
                <w:color w:val="auto"/>
              </w:rPr>
            </w:pPr>
            <w:r>
              <w:rPr>
                <w:rFonts w:ascii="Arial" w:cs="Arial" w:eastAsia="Arial" w:hAnsi="Arial"/>
                <w:sz w:val="18"/>
                <w:szCs w:val="18"/>
                <w:color w:val="auto"/>
              </w:rPr>
              <w:t>Balance, beginning of period</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(1,348)</w:t>
            </w:r>
          </w:p>
        </w:tc>
        <w:tc>
          <w:tcPr>
            <w:tcW w:w="34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(23,039)</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(516)</w:t>
            </w:r>
          </w:p>
        </w:tc>
        <w:tc>
          <w:tcPr>
            <w:tcW w:w="34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(21,072)</w:t>
            </w:r>
          </w:p>
        </w:tc>
        <w:tc>
          <w:tcPr>
            <w:tcW w:w="0" w:type="dxa"/>
            <w:vAlign w:val="bottom"/>
          </w:tcPr>
          <w:p>
            <w:pPr>
              <w:spacing w:after="0"/>
              <w:rPr>
                <w:sz w:val="1"/>
                <w:szCs w:val="1"/>
                <w:color w:val="auto"/>
              </w:rPr>
            </w:pPr>
          </w:p>
        </w:tc>
      </w:tr>
      <w:tr>
        <w:trPr>
          <w:trHeight w:val="216"/>
        </w:trPr>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(257)</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(1,851)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(2,224)</w:t>
            </w:r>
          </w:p>
        </w:tc>
        <w:tc>
          <w:tcPr>
            <w:tcW w:w="0" w:type="dxa"/>
            <w:vAlign w:val="bottom"/>
          </w:tcPr>
          <w:p>
            <w:pPr>
              <w:spacing w:after="0"/>
              <w:rPr>
                <w:sz w:val="1"/>
                <w:szCs w:val="1"/>
                <w:color w:val="auto"/>
              </w:rPr>
            </w:pPr>
          </w:p>
        </w:tc>
      </w:tr>
      <w:tr>
        <w:trPr>
          <w:trHeight w:val="210"/>
        </w:trPr>
        <w:tc>
          <w:tcPr>
            <w:tcW w:w="48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Balance, end of period</w:t>
            </w:r>
          </w:p>
        </w:tc>
        <w:tc>
          <w:tcPr>
            <w:tcW w:w="6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(2,367)</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(23,296)</w:t>
            </w:r>
          </w:p>
        </w:tc>
        <w:tc>
          <w:tcPr>
            <w:tcW w:w="2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(2,367)</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(23,296)</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82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gridSpan w:val="2"/>
          </w:tcPr>
          <w:p>
            <w:pPr>
              <w:spacing w:after="0"/>
              <w:rPr>
                <w:sz w:val="20"/>
                <w:szCs w:val="20"/>
                <w:color w:val="auto"/>
              </w:rPr>
            </w:pPr>
            <w:r>
              <w:rPr>
                <w:rFonts w:ascii="Arial" w:cs="Arial" w:eastAsia="Arial" w:hAnsi="Arial"/>
                <w:sz w:val="18"/>
                <w:szCs w:val="18"/>
                <w:color w:val="auto"/>
              </w:rPr>
              <w:t>Total shareholders' equity</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43,366</w:t>
            </w:r>
          </w:p>
        </w:tc>
        <w:tc>
          <w:tcPr>
            <w:tcW w:w="140" w:type="dxa"/>
            <w:vAlign w:val="bottom"/>
          </w:tcPr>
          <w:p>
            <w:pPr>
              <w:spacing w:after="0"/>
              <w:rPr>
                <w:sz w:val="18"/>
                <w:szCs w:val="18"/>
                <w:color w:val="auto"/>
              </w:rPr>
            </w:pPr>
          </w:p>
        </w:tc>
        <w:tc>
          <w:tcPr>
            <w:tcW w:w="34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51,323</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43,366</w:t>
            </w:r>
          </w:p>
        </w:tc>
        <w:tc>
          <w:tcPr>
            <w:tcW w:w="140" w:type="dxa"/>
            <w:vAlign w:val="bottom"/>
          </w:tcPr>
          <w:p>
            <w:pPr>
              <w:spacing w:after="0"/>
              <w:rPr>
                <w:sz w:val="18"/>
                <w:szCs w:val="18"/>
                <w:color w:val="auto"/>
              </w:rPr>
            </w:pPr>
          </w:p>
        </w:tc>
        <w:tc>
          <w:tcPr>
            <w:tcW w:w="34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51,323</w:t>
            </w:r>
          </w:p>
        </w:tc>
        <w:tc>
          <w:tcPr>
            <w:tcW w:w="0" w:type="dxa"/>
            <w:vAlign w:val="bottom"/>
          </w:tcPr>
          <w:p>
            <w:pPr>
              <w:spacing w:after="0"/>
              <w:rPr>
                <w:sz w:val="1"/>
                <w:szCs w:val="1"/>
                <w:color w:val="auto"/>
              </w:rPr>
            </w:pPr>
          </w:p>
        </w:tc>
      </w:tr>
      <w:tr>
        <w:trPr>
          <w:trHeight w:val="20"/>
        </w:trPr>
        <w:tc>
          <w:tcPr>
            <w:tcW w:w="484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Issue of Common Stock and Warrants</w:t>
            </w: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840" w:type="dxa"/>
            <w:vAlign w:val="bottom"/>
            <w:gridSpan w:val="2"/>
            <w:vMerge w:val="continue"/>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82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40"/>
        <w:spacing w:after="0" w:line="275" w:lineRule="auto"/>
        <w:rPr>
          <w:sz w:val="20"/>
          <w:szCs w:val="20"/>
          <w:color w:val="auto"/>
        </w:rPr>
      </w:pPr>
      <w:r>
        <w:rPr>
          <w:rFonts w:ascii="Arial" w:cs="Arial" w:eastAsia="Arial" w:hAnsi="Arial"/>
          <w:sz w:val="17"/>
          <w:szCs w:val="17"/>
          <w:color w:val="auto"/>
        </w:rPr>
        <w:t>On September 12, 2021, the Company entered into a securities purchase agreement with certain purchasers named therein, pursuant to which the Company issued 3,623,189 shares of the Company's common stock, par value $0.001 per share at an offering price of $2.76 per share. The Company received gross proceeds of approximately $10,000 and net proceeds of $9,288 after deducting placement agent fees and related offering expenses. In a concurring private placement the Company also issued to the same purchasers warrants exercisable for an aggregate of 3,623,189 shares of common stock at an exercise price of $2.76 per share. Each warrant became immediately exercisable and will expire on March 15, 2027.</w:t>
      </w:r>
    </w:p>
    <w:p>
      <w:pPr>
        <w:spacing w:after="0" w:line="176" w:lineRule="exact"/>
        <w:rPr>
          <w:sz w:val="20"/>
          <w:szCs w:val="20"/>
          <w:color w:val="auto"/>
        </w:rPr>
      </w:pPr>
    </w:p>
    <w:p>
      <w:pPr>
        <w:jc w:val="both"/>
        <w:ind w:right="40"/>
        <w:spacing w:after="0" w:line="275" w:lineRule="auto"/>
        <w:rPr>
          <w:sz w:val="20"/>
          <w:szCs w:val="20"/>
          <w:color w:val="auto"/>
        </w:rPr>
      </w:pPr>
      <w:r>
        <w:rPr>
          <w:rFonts w:ascii="Arial" w:cs="Arial" w:eastAsia="Arial" w:hAnsi="Arial"/>
          <w:sz w:val="17"/>
          <w:szCs w:val="17"/>
          <w:color w:val="auto"/>
        </w:rPr>
        <w:t>On January 4, 2022, the Company entered into a Securities Purchase Agreement with Edward D. Bagley, an affiliate of the Company, pursuant to which the Company agreed to issue and sell, in a private placement 1,538,461 shares (the “Shares”) of the Company’s common stock, par value $0.001 per share, at a purchase price of $1.30 per share of Common Stock. The consideration for the Shares is the cancellation and termination of Mr. Bagley’s outstanding bridge loan to the Company in the principal amount of $2,000 originally issued on July 2, 2021 and amended and restated on September 11, 2021. Mr. Bagley is an affiliate of the Company and the Company’s single largest stockholder.</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Cash Dividend Distribution</w:t>
      </w:r>
    </w:p>
    <w:p>
      <w:pPr>
        <w:spacing w:after="0" w:line="225"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On May 8, 2023, the Company announced that the Company’s Board of Directors had declared a special one-time cash dividend of $1.00 per share of the Company’s common stock or eligible warrants and paid $28,978 of cash dividends on May 31, 2023 to shareholders of record on May 22, 2023.</w:t>
      </w:r>
    </w:p>
    <w:p>
      <w:pPr>
        <w:spacing w:after="0" w:line="15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125" w:right="29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amounts)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212529"/>
        </w:rPr>
        <w:t>9. Debt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Senior Convertible Notes and Warrants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December 17, 2019, the Company completed the issuance and sale of $3,000 aggregate principal amount of secured convertible notes of the Company (the “Notes”) and warrants (the “Warrants”) to purchase 340,909 shares of common stock, par value $0.001 per share of the Company (the “Common Stock”), in a private placement transaction. The Notes and Warrants were issued and sold to Edward D. Bagley, an affiliate of the Company, on the terms and conditions of a Note Purchase Agreement dated December 8, 2019 between the Company, certain subsidiary guarantors of the Company, and Mr. Bagley. Mr. Bagley was the beneficial owner of approximately 46.6% of the Company’s issued and outstanding shares of Common Stock at the time that the Notes and Warrants were issued to him.</w:t>
      </w:r>
    </w:p>
    <w:p>
      <w:pPr>
        <w:spacing w:after="0" w:line="19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Notes will mature on December 17, 2023 (the “Maturity Date”) and will accrue interest at a variable rate adjusted on a quarterly basis and equal to two and one-half percent (2.5%) over the greater of (x) five and one-quarter percent (5.25%) and (y) the Prime Rate as published in the Wall Street Journal (New York edition) as of the beginning of such calendar quarter. The Notes may be converted into shares of the Company’s Common Stock at any time at the election of Mr. Bagley at an initial conversion price of $2.11 per share (the “Conversion Price”), or 120% of the closing price of the Common Stock on December 6, 2019 as reported on the Nasdaq Capital Market. Also, the Company can cause a mandatory conversion of the Notes if the volume weighted average closing price of the Common Stock over 90 consecutive trading days exceeds 200% of the Conversion Price. In addition, the Notes may be redeemed by the Company for cash at any time after December 17, 2020 upon payment of the outstanding principal balance of the Notes and any unpaid and accrued interest. The Company also is required to redeem the Notes upon the occurrence of a change in control of the Company.</w:t>
      </w:r>
    </w:p>
    <w:p>
      <w:pPr>
        <w:spacing w:after="0" w:line="16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Warrants have an initial exercise price equal to $1.76, the closing price of the Common Stock on December 6, 2019 as reported on the Nasdaq Capital Market, and are exercisable until December 17, 2026. The Warrants must be exercised for cash, unless at the time of exercise there is not a then effective registration statement for the resale of the shares of Common Stock issuable upon exercise of the Warrants, in which case the Warrants may be exercised via a cashless exercise feature that provides for net settlement of the shares of Common Stock issuable upon exercise.</w:t>
      </w:r>
    </w:p>
    <w:p>
      <w:pPr>
        <w:spacing w:after="0" w:line="17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Concurrent with the issuance of the Notes and Warrants pursuant to the Note Purchase Agreement, the Company, the Guarantors and Mr. Bagley entered into a Guaranty and Collateral Agreement (the “Collateral Agreement”) pursuant to which the Company and the Guarantors granted Mr. Bagley a first priority lien interest in all of the Company’s assets as security for the Company’s performance of its obligations under the Notes and Warrants.</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net proceeds after original issue discount and issuance costs of $346 were approximately $2,654. The Company expected to use the proceeds from the sale of the Notes and Warrants for general corporate purposes and working capital.</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In accounting for the issuance of the Notes, the Company separated Notes and Warrants into liability and equity components. The carrying amount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Warrants, being an equity component, was first calculated using Black-Scholes method with the following assumptions: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Expected life of warrants (years)</w:t>
            </w:r>
          </w:p>
        </w:tc>
        <w:tc>
          <w:tcPr>
            <w:tcW w:w="18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Expected price volatility</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860" w:type="dxa"/>
            <w:vAlign w:val="bottom"/>
          </w:tcPr>
          <w:p>
            <w:pPr>
              <w:jc w:val="right"/>
              <w:spacing w:after="0"/>
              <w:rPr>
                <w:sz w:val="20"/>
                <w:szCs w:val="20"/>
                <w:color w:val="auto"/>
              </w:rPr>
            </w:pPr>
            <w:r>
              <w:rPr>
                <w:rFonts w:ascii="Arial" w:cs="Arial" w:eastAsia="Arial" w:hAnsi="Arial"/>
                <w:sz w:val="18"/>
                <w:szCs w:val="18"/>
                <w:color w:val="auto"/>
              </w:rPr>
              <w:t>0%</w:t>
            </w:r>
          </w:p>
        </w:tc>
      </w:tr>
    </w:tbl>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carrying amount of the Notes was then determined by deducting the fair value of the Warrants from the principal amount of the Notes. The carrying amount of the Notes was further separated into equity and liability components after separating the value of the conversion feature into an equity component and leaving the remaining value as liability. The equity component is not remeasured while the Notes and Warrants continue to meet the conditions for equity classification for equity components.</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auto"/>
        </w:rPr>
        <w:t>The original issue discount and issuance costs are netted against the liability. The following table represents the carrying value of Notes and Warrants: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EE"/>
        </w:rPr>
        <w:t>Table of Contents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NOTES TO CONDENSED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amounts)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7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8"/>
              </w:rPr>
              <w:t>June 30, 2023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Liability component:</w:t>
            </w:r>
          </w:p>
        </w:tc>
        <w:tc>
          <w:tcPr>
            <w:tcW w:w="10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00" w:type="dxa"/>
            <w:vAlign w:val="bottom"/>
          </w:tcPr>
          <w:p>
            <w:pPr>
              <w:spacing w:after="0"/>
              <w:rPr>
                <w:sz w:val="20"/>
                <w:szCs w:val="20"/>
                <w:color w:val="auto"/>
              </w:rPr>
            </w:pPr>
            <w:r>
              <w:rPr>
                <w:rFonts w:ascii="Arial" w:cs="Arial" w:eastAsia="Arial" w:hAnsi="Arial"/>
                <w:sz w:val="18"/>
                <w:szCs w:val="18"/>
                <w:color w:val="auto"/>
              </w:rPr>
              <w:t>Principal</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1,470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1,920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Less: debt discount and issuance costs, net of amortization</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63"/>
        </w:trPr>
        <w:tc>
          <w:tcPr>
            <w:tcW w:w="7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carrying amount</w:t>
            </w:r>
          </w:p>
        </w:tc>
        <w:tc>
          <w:tcPr>
            <w:tcW w:w="1040" w:type="dxa"/>
            <w:vAlign w:val="bottom"/>
            <w:tcBorders>
              <w:bottom w:val="single" w:sz="8" w:color="CCEEFF"/>
            </w:tcBorders>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1,380</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1,732</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400" w:type="dxa"/>
            <w:vAlign w:val="bottom"/>
            <w:shd w:val="clear" w:color="auto" w:fill="CCEEFF"/>
          </w:tcPr>
          <w:p>
            <w:pPr>
              <w:spacing w:after="0" w:line="210" w:lineRule="exact"/>
              <w:rPr>
                <w:sz w:val="20"/>
                <w:szCs w:val="20"/>
                <w:color w:val="auto"/>
              </w:rPr>
            </w:pPr>
            <w:r>
              <w:rPr>
                <w:rFonts w:ascii="Arial" w:cs="Arial" w:eastAsia="Arial" w:hAnsi="Arial"/>
                <w:sz w:val="18"/>
                <w:szCs w:val="18"/>
                <w:color w:val="auto"/>
              </w:rPr>
              <w:t>Equity component</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400" w:type="dxa"/>
            <w:vAlign w:val="bottom"/>
          </w:tcPr>
          <w:p>
            <w:pPr>
              <w:spacing w:after="0"/>
              <w:rPr>
                <w:sz w:val="20"/>
                <w:szCs w:val="20"/>
                <w:color w:val="auto"/>
              </w:rPr>
            </w:pPr>
            <w:r>
              <w:rPr>
                <w:rFonts w:ascii="Arial" w:cs="Arial" w:eastAsia="Arial" w:hAnsi="Arial"/>
                <w:sz w:val="18"/>
                <w:szCs w:val="18"/>
                <w:color w:val="auto"/>
              </w:rPr>
              <w:t>Warrants</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318</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Conversion feature</w:t>
            </w: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carrying amount</w:t>
            </w:r>
          </w:p>
        </w:tc>
        <w:tc>
          <w:tcPr>
            <w:tcW w:w="1040" w:type="dxa"/>
            <w:vAlign w:val="bottom"/>
            <w:tcBorders>
              <w:bottom w:val="single" w:sz="8" w:color="CCEEFF"/>
            </w:tcBorders>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440</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440</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400" w:type="dxa"/>
            <w:vAlign w:val="bottom"/>
          </w:tcPr>
          <w:p>
            <w:pPr>
              <w:spacing w:after="0"/>
              <w:rPr>
                <w:sz w:val="20"/>
                <w:szCs w:val="20"/>
                <w:color w:val="auto"/>
              </w:rPr>
            </w:pPr>
            <w:r>
              <w:rPr>
                <w:rFonts w:ascii="Arial" w:cs="Arial" w:eastAsia="Arial" w:hAnsi="Arial"/>
                <w:sz w:val="18"/>
                <w:szCs w:val="18"/>
                <w:color w:val="auto"/>
              </w:rPr>
              <w:t>Current portion of liability component included under short-term debt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1,470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1,920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Liability component total</w:t>
            </w:r>
          </w:p>
        </w:tc>
        <w:tc>
          <w:tcPr>
            <w:tcW w:w="10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00" w:type="dxa"/>
            <w:vAlign w:val="bottom"/>
            <w:vMerge w:val="restart"/>
          </w:tcPr>
          <w:p>
            <w:pPr>
              <w:spacing w:after="0"/>
              <w:rPr>
                <w:sz w:val="20"/>
                <w:szCs w:val="20"/>
                <w:color w:val="auto"/>
              </w:rPr>
            </w:pPr>
            <w:r>
              <w:rPr>
                <w:rFonts w:ascii="Arial" w:cs="Arial" w:eastAsia="Arial" w:hAnsi="Arial"/>
                <w:sz w:val="18"/>
                <w:szCs w:val="18"/>
                <w:color w:val="212529"/>
              </w:rPr>
              <w:t>(1) Recorded on the condensed consolidated balance sheets as additional paid-in capital.</w:t>
            </w:r>
          </w:p>
        </w:tc>
        <w:tc>
          <w:tcPr>
            <w:tcW w:w="10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400" w:type="dxa"/>
            <w:vAlign w:val="bottom"/>
            <w:vMerge w:val="continue"/>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Debt discount and issuance costs are amortized over the life of the note to interest expense using the effective interest method. During the three and six months ended June 30, 2023 amortization of debt discount and issuance costs was $49 and $98, respectively and for the three and six months ended June 30, 2022 amortization of debt discount and issuance costs was $49 and $98, respectively. The following table represents schedule of maturities of principal amount contained in the Notes as of June 30, 2023:</w:t>
      </w:r>
    </w:p>
    <w:p>
      <w:pPr>
        <w:sectPr>
          <w:pgSz w:w="11900" w:h="16838" w:orient="portrait"/>
          <w:cols w:equalWidth="0" w:num="1">
            <w:col w:w="11240"/>
          </w:cols>
          <w:pgMar w:left="320" w:top="125" w:right="339" w:bottom="1440" w:gutter="0" w:footer="0" w:header="0"/>
        </w:sectPr>
      </w:pP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Year ending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1629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162935" cy="8255"/>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2023 (Remainder)</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Total principal amount</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Short-term Bridge Loans</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jc w:val="right"/>
        <w:ind w:right="4020"/>
        <w:spacing w:after="0"/>
        <w:rPr>
          <w:sz w:val="20"/>
          <w:szCs w:val="20"/>
          <w:color w:val="auto"/>
        </w:rPr>
      </w:pPr>
      <w:r>
        <w:rPr>
          <w:rFonts w:ascii="Arial" w:cs="Arial" w:eastAsia="Arial" w:hAnsi="Arial"/>
          <w:sz w:val="16"/>
          <w:szCs w:val="16"/>
          <w:b w:val="1"/>
          <w:bCs w:val="1"/>
          <w:u w:val="single" w:color="auto"/>
          <w:color w:val="auto"/>
        </w:rPr>
        <w:t>Principal Amount Maturing</w:t>
      </w:r>
    </w:p>
    <w:p>
      <w:pPr>
        <w:spacing w:after="0" w:line="63" w:lineRule="exact"/>
        <w:rPr>
          <w:sz w:val="20"/>
          <w:szCs w:val="20"/>
          <w:color w:val="auto"/>
        </w:rPr>
      </w:pPr>
    </w:p>
    <w:p>
      <w:pPr>
        <w:jc w:val="right"/>
        <w:ind w:right="4020"/>
        <w:spacing w:after="0"/>
        <w:rPr>
          <w:sz w:val="20"/>
          <w:szCs w:val="20"/>
          <w:color w:val="auto"/>
        </w:rPr>
      </w:pPr>
      <w:r>
        <w:rPr>
          <w:rFonts w:ascii="Arial" w:cs="Arial" w:eastAsia="Arial" w:hAnsi="Arial"/>
          <w:sz w:val="18"/>
          <w:szCs w:val="18"/>
          <w:color w:val="auto"/>
        </w:rPr>
        <w:t>1,470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138874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p>
      <w:pPr>
        <w:spacing w:after="0" w:line="3" w:lineRule="exact"/>
        <w:rPr>
          <w:sz w:val="20"/>
          <w:szCs w:val="20"/>
          <w:color w:val="auto"/>
        </w:rPr>
      </w:pPr>
    </w:p>
    <w:p>
      <w:pPr>
        <w:spacing w:after="0"/>
        <w:tabs>
          <w:tab w:leader="none" w:pos="174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1,470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-3207385</wp:posOffset>
            </wp:positionH>
            <wp:positionV relativeFrom="paragraph">
              <wp:posOffset>-100330</wp:posOffset>
            </wp:positionV>
            <wp:extent cx="4637405" cy="1631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637405" cy="163195"/>
                    </a:xfrm>
                    <a:prstGeom prst="rect">
                      <a:avLst/>
                    </a:prstGeom>
                    <a:noFill/>
                  </pic:spPr>
                </pic:pic>
              </a:graphicData>
            </a:graphic>
          </wp:anchor>
        </w:drawing>
      </w:r>
    </w:p>
    <w:p>
      <w:pPr>
        <w:spacing w:after="0" w:line="610" w:lineRule="exact"/>
        <w:rPr>
          <w:sz w:val="20"/>
          <w:szCs w:val="20"/>
          <w:color w:val="auto"/>
        </w:rPr>
      </w:pPr>
    </w:p>
    <w:p>
      <w:pPr>
        <w:sectPr>
          <w:pgSz w:w="11900" w:h="16838" w:orient="portrait"/>
          <w:cols w:equalWidth="0" w:num="2">
            <w:col w:w="4340" w:space="720"/>
            <w:col w:w="6180"/>
          </w:cols>
          <w:pgMar w:left="320" w:top="125" w:right="339" w:bottom="1440" w:gutter="0" w:footer="0" w:header="0"/>
          <w:type w:val="continuous"/>
        </w:sectPr>
      </w:pPr>
    </w:p>
    <w:p>
      <w:pPr>
        <w:jc w:val="both"/>
        <w:ind w:firstLine="324"/>
        <w:spacing w:after="0" w:line="253" w:lineRule="auto"/>
        <w:rPr>
          <w:sz w:val="20"/>
          <w:szCs w:val="20"/>
          <w:color w:val="auto"/>
        </w:rPr>
      </w:pPr>
      <w:r>
        <w:rPr>
          <w:rFonts w:ascii="Arial" w:cs="Arial" w:eastAsia="Arial" w:hAnsi="Arial"/>
          <w:sz w:val="18"/>
          <w:szCs w:val="18"/>
          <w:color w:val="auto"/>
        </w:rPr>
        <w:t>On July 2, 2021, the Company obtained a bridge loan in the principal amount of $2,000 from Edward D. Bagley (the “2021 Bridge Loan”), an affiliate of the Company. The Bridge Loan was evidenced by a promissory note dated July 2, 2021 (the “Note”) issued by the Company to Mr. Bagley. The Note bore interest at a rate of 8.0% per annum. On September 11, 2021, the Company amended and restated the terms of the Bridge Loan to extend the latest maturity date from October 1, 2021 to January 3, 2022. All other terms and conditions of the Bridge Loan remained the same. On January 4, 2022, the Company entered into a Securities Purchase Agreement with Edward D. Bagley, pursuant to which the Company issued and sold to Mr. Bagley, in a private placement 1,538,461 shares (the “Shares”) of the Company’s common stock, par value $0.001 per share, at a purchase price of $1.30 per share of Common Stock. The consideration for the Shares was the cancellation and termination of Mr. Bagley’s outstanding bridge loan to the Company in the principal amount of $2,000 originally issued on July 2, 2021 and amended and restated on September 11, 2021. Mr. Bagley is an affiliate of the Company and the Company’s single largest stockholder.</w:t>
      </w:r>
    </w:p>
    <w:p>
      <w:pPr>
        <w:spacing w:after="0" w:line="19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October 28, 2022 the Company obtained a bridge loan in the principal amount of $2,000 from Edward D. Bagley (the “2022 Bridge Loan”), an affiliate of the Company. The 2022 Bridge Loan was evidenced by a promissory note dated October 28, 2022 (the “2022 Note”) issued by the Company to Mr. Bagley. The 2022 Note bore interest at a rate of 12.0% per annum and had a maturity date of October 28, 2023. Mr. Bagley is an affiliate of the Company and the Company’s single largest stockholder. This Bridge Loan of $2,000 is included under short-term debt as of December 31, 2022. In January 2023, the 2022 Bridge loan of $2,000 along with applicable interest was repaid in full.</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ind w:left="3580" w:right="2100" w:hanging="1461"/>
        <w:spacing w:after="0" w:line="282" w:lineRule="auto"/>
        <w:rPr>
          <w:sz w:val="20"/>
          <w:szCs w:val="20"/>
          <w:color w:val="auto"/>
        </w:rPr>
      </w:pPr>
      <w:r>
        <w:rPr>
          <w:rFonts w:ascii="Arial" w:cs="Arial" w:eastAsia="Arial" w:hAnsi="Arial"/>
          <w:sz w:val="18"/>
          <w:szCs w:val="18"/>
          <w:b w:val="1"/>
          <w:bCs w:val="1"/>
          <w:color w:val="auto"/>
        </w:rPr>
        <w:t xml:space="preserve">UNAUDITED NOTES TO CONDENSED CONSOLIDATED FINANCIAL STATEMENTS </w:t>
      </w:r>
      <w:r>
        <w:rPr>
          <w:rFonts w:ascii="Arial" w:cs="Arial" w:eastAsia="Arial" w:hAnsi="Arial"/>
          <w:sz w:val="18"/>
          <w:szCs w:val="18"/>
          <w:color w:val="auto"/>
        </w:rPr>
        <w:t>(Unaudited - Dollars in thousands, except per share amounts)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Share-based Compensation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June 30, 2023, the Company had 245,685 options with contractual lives of ten years and 400,000 options with contractual lives of six years offered under the Company’s 2007 Equity Incentive Plan (the “2007 Plan”), which was restated and approved by the shareholders on December 12, 2015. As of June 30, 2023, the 2007 Plan had 813,585 authorized unissued options.</w:t>
      </w:r>
    </w:p>
    <w:p>
      <w:pPr>
        <w:spacing w:after="0" w:line="1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uses judgment in determining the fair value of the share-based payments on the date of grant using an option-pricing model with assumptions regarding a number of highly complex and subjective variables. These variables include, but are not limited to, the risk-free interest rate of the awards, the expected life of the awards, the expected volatility over the term of the awards, and the expected dividends of the awards. The Company uses the Black-Scholes option pricing model to determine the fair value of share-based payments granted under the guidelines of ASC Topic 718.</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In applying the Black-Scholes methodology to 160,000 options granted in June 2023, the Company used the following assumptions: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Risk free interest rate, average</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Expected option life, average</w:t>
            </w:r>
          </w:p>
        </w:tc>
        <w:tc>
          <w:tcPr>
            <w:tcW w:w="1880" w:type="dxa"/>
            <w:vAlign w:val="bottom"/>
          </w:tcPr>
          <w:p>
            <w:pPr>
              <w:jc w:val="right"/>
              <w:spacing w:after="0"/>
              <w:rPr>
                <w:sz w:val="20"/>
                <w:szCs w:val="20"/>
                <w:color w:val="auto"/>
              </w:rPr>
            </w:pPr>
            <w:r>
              <w:rPr>
                <w:rFonts w:ascii="Arial" w:cs="Arial" w:eastAsia="Arial" w:hAnsi="Arial"/>
                <w:sz w:val="18"/>
                <w:szCs w:val="18"/>
                <w:color w:val="auto"/>
              </w:rPr>
              <w:t>5 years</w:t>
            </w:r>
          </w:p>
        </w:tc>
      </w:tr>
      <w:tr>
        <w:trPr>
          <w:trHeight w:val="230"/>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Expected price volatility, average</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91.47%</w:t>
            </w: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880" w:type="dxa"/>
            <w:vAlign w:val="bottom"/>
          </w:tcPr>
          <w:p>
            <w:pPr>
              <w:jc w:val="right"/>
              <w:spacing w:after="0"/>
              <w:rPr>
                <w:sz w:val="20"/>
                <w:szCs w:val="20"/>
                <w:color w:val="auto"/>
              </w:rPr>
            </w:pPr>
            <w:r>
              <w:rPr>
                <w:rFonts w:ascii="Arial" w:cs="Arial" w:eastAsia="Arial" w:hAnsi="Arial"/>
                <w:sz w:val="18"/>
                <w:szCs w:val="18"/>
                <w:color w:val="auto"/>
              </w:rPr>
              <w:t>0%</w:t>
            </w:r>
          </w:p>
        </w:tc>
      </w:tr>
    </w:tbl>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stock option activity under the Company’s plans for the six months ended June 30, 2023,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216"/>
        </w:trPr>
        <w:tc>
          <w:tcPr>
            <w:tcW w:w="8440" w:type="dxa"/>
            <w:vAlign w:val="bottom"/>
          </w:tcPr>
          <w:p>
            <w:pPr>
              <w:spacing w:after="0"/>
              <w:rPr>
                <w:sz w:val="18"/>
                <w:szCs w:val="18"/>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Number of</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average</w:t>
            </w:r>
          </w:p>
        </w:tc>
        <w:tc>
          <w:tcPr>
            <w:tcW w:w="0" w:type="dxa"/>
            <w:vAlign w:val="bottom"/>
          </w:tcPr>
          <w:p>
            <w:pPr>
              <w:spacing w:after="0"/>
              <w:rPr>
                <w:sz w:val="1"/>
                <w:szCs w:val="1"/>
                <w:color w:val="auto"/>
              </w:rPr>
            </w:pPr>
          </w:p>
        </w:tc>
      </w:tr>
      <w:tr>
        <w:trPr>
          <w:trHeight w:val="234"/>
        </w:trPr>
        <w:tc>
          <w:tcPr>
            <w:tcW w:w="8440" w:type="dxa"/>
            <w:vAlign w:val="bottom"/>
          </w:tcPr>
          <w:p>
            <w:pPr>
              <w:spacing w:after="0"/>
              <w:rPr>
                <w:sz w:val="20"/>
                <w:szCs w:val="20"/>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shares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exercise price</w:t>
            </w:r>
          </w:p>
        </w:tc>
        <w:tc>
          <w:tcPr>
            <w:tcW w:w="0" w:type="dxa"/>
            <w:vAlign w:val="bottom"/>
          </w:tcPr>
          <w:p>
            <w:pPr>
              <w:spacing w:after="0"/>
              <w:rPr>
                <w:sz w:val="1"/>
                <w:szCs w:val="1"/>
                <w:color w:val="auto"/>
              </w:rPr>
            </w:pPr>
          </w:p>
        </w:tc>
      </w:tr>
      <w:tr>
        <w:trPr>
          <w:trHeight w:val="209"/>
        </w:trPr>
        <w:tc>
          <w:tcPr>
            <w:tcW w:w="8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Options outstanding at beginning of year</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488,477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40" w:type="dxa"/>
            <w:vAlign w:val="bottom"/>
          </w:tcPr>
          <w:p>
            <w:pPr>
              <w:ind w:left="180"/>
              <w:spacing w:after="0"/>
              <w:rPr>
                <w:sz w:val="20"/>
                <w:szCs w:val="20"/>
                <w:color w:val="auto"/>
              </w:rPr>
            </w:pPr>
            <w:r>
              <w:rPr>
                <w:rFonts w:ascii="Arial" w:cs="Arial" w:eastAsia="Arial" w:hAnsi="Arial"/>
                <w:sz w:val="18"/>
                <w:szCs w:val="18"/>
                <w:color w:val="auto"/>
              </w:rPr>
              <w:t>Granted</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160,000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Less:</w:t>
            </w:r>
          </w:p>
        </w:tc>
        <w:tc>
          <w:tcPr>
            <w:tcW w:w="1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tcPr>
          <w:p>
            <w:pPr>
              <w:ind w:left="180"/>
              <w:spacing w:after="0"/>
              <w:rPr>
                <w:sz w:val="20"/>
                <w:szCs w:val="20"/>
                <w:color w:val="auto"/>
              </w:rPr>
            </w:pPr>
            <w:r>
              <w:rPr>
                <w:rFonts w:ascii="Arial" w:cs="Arial" w:eastAsia="Arial" w:hAnsi="Arial"/>
                <w:sz w:val="18"/>
                <w:szCs w:val="18"/>
                <w:color w:val="auto"/>
              </w:rPr>
              <w:t>Exercised</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Forfeited prior to vesting</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(1,355)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Canceled or expired</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(1,437)</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8.88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4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Options outstanding at June 30, 2023</w:t>
            </w:r>
          </w:p>
        </w:tc>
        <w:tc>
          <w:tcPr>
            <w:tcW w:w="12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440" w:type="dxa"/>
            <w:vAlign w:val="bottom"/>
            <w:vMerge w:val="continue"/>
            <w:shd w:val="clear" w:color="auto" w:fill="CCEEFF"/>
          </w:tcPr>
          <w:p>
            <w:pPr>
              <w:spacing w:after="0"/>
              <w:rPr>
                <w:sz w:val="20"/>
                <w:szCs w:val="20"/>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645,685</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440" w:type="dxa"/>
            <w:vAlign w:val="bottom"/>
            <w:vMerge w:val="restart"/>
          </w:tcPr>
          <w:p>
            <w:pPr>
              <w:spacing w:after="0"/>
              <w:rPr>
                <w:sz w:val="20"/>
                <w:szCs w:val="20"/>
                <w:color w:val="auto"/>
              </w:rPr>
            </w:pPr>
            <w:r>
              <w:rPr>
                <w:rFonts w:ascii="Arial" w:cs="Arial" w:eastAsia="Arial" w:hAnsi="Arial"/>
                <w:sz w:val="18"/>
                <w:szCs w:val="18"/>
                <w:b w:val="1"/>
                <w:bCs w:val="1"/>
                <w:color w:val="auto"/>
              </w:rPr>
              <w:t>Options exercisable at end of June 30, 2023</w:t>
            </w:r>
          </w:p>
        </w:tc>
        <w:tc>
          <w:tcPr>
            <w:tcW w:w="1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440" w:type="dxa"/>
            <w:vAlign w:val="bottom"/>
            <w:vMerge w:val="continue"/>
          </w:tcPr>
          <w:p>
            <w:pPr>
              <w:spacing w:after="0"/>
              <w:rPr>
                <w:sz w:val="20"/>
                <w:szCs w:val="20"/>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405,400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As of June 30, 2023, the total remaining unrecognized compensation cost related to non-vested stock options, net of forfeitures, was approximately $221, which will be recognized over a weighted average period of 3.67 years.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00" w:type="dxa"/>
            <w:vAlign w:val="bottom"/>
          </w:tcPr>
          <w:p>
            <w:pPr>
              <w:spacing w:after="0"/>
              <w:rPr>
                <w:sz w:val="20"/>
                <w:szCs w:val="20"/>
                <w:color w:val="auto"/>
              </w:rPr>
            </w:pPr>
            <w:r>
              <w:rPr>
                <w:rFonts w:ascii="Arial" w:cs="Arial" w:eastAsia="Arial" w:hAnsi="Arial"/>
                <w:sz w:val="18"/>
                <w:szCs w:val="18"/>
                <w:color w:val="auto"/>
                <w:w w:val="94"/>
              </w:rPr>
              <w:t>Share-based compensation expense has been recorded as follows:</w:t>
            </w: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5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500" w:type="dxa"/>
            <w:vAlign w:val="bottom"/>
            <w:gridSpan w:val="4"/>
          </w:tcPr>
          <w:p>
            <w:pPr>
              <w:jc w:val="right"/>
              <w:spacing w:after="0"/>
              <w:rPr>
                <w:sz w:val="20"/>
                <w:szCs w:val="20"/>
                <w:color w:val="auto"/>
              </w:rPr>
            </w:pPr>
            <w:r>
              <w:rPr>
                <w:rFonts w:ascii="Arial" w:cs="Arial" w:eastAsia="Arial" w:hAnsi="Arial"/>
                <w:sz w:val="18"/>
                <w:szCs w:val="18"/>
                <w:b w:val="1"/>
                <w:bCs w:val="1"/>
                <w:color w:val="auto"/>
                <w:w w:val="96"/>
              </w:rPr>
              <w:t>Three months ended June 30,</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0" w:type="dxa"/>
            <w:vAlign w:val="bottom"/>
            <w:gridSpan w:val="5"/>
          </w:tcPr>
          <w:p>
            <w:pPr>
              <w:ind w:left="120"/>
              <w:spacing w:after="0"/>
              <w:rPr>
                <w:sz w:val="20"/>
                <w:szCs w:val="20"/>
                <w:color w:val="auto"/>
              </w:rPr>
            </w:pPr>
            <w:r>
              <w:rPr>
                <w:rFonts w:ascii="Arial" w:cs="Arial" w:eastAsia="Arial" w:hAnsi="Arial"/>
                <w:sz w:val="18"/>
                <w:szCs w:val="18"/>
                <w:b w:val="1"/>
                <w:bCs w:val="1"/>
                <w:color w:val="auto"/>
              </w:rPr>
              <w:t>Six months ended June 30,</w:t>
            </w:r>
          </w:p>
        </w:tc>
      </w:tr>
      <w:tr>
        <w:trPr>
          <w:trHeight w:val="223"/>
        </w:trPr>
        <w:tc>
          <w:tcPr>
            <w:tcW w:w="510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2023</w:t>
            </w:r>
          </w:p>
        </w:tc>
        <w:tc>
          <w:tcPr>
            <w:tcW w:w="3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CCEEFF"/>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2022</w:t>
            </w:r>
          </w:p>
        </w:tc>
        <w:tc>
          <w:tcPr>
            <w:tcW w:w="200" w:type="dxa"/>
            <w:vAlign w:val="bottom"/>
            <w:tcBorders>
              <w:top w:val="single" w:sz="8" w:color="auto"/>
              <w:bottom w:val="single" w:sz="8" w:color="auto"/>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r>
      <w:tr>
        <w:trPr>
          <w:trHeight w:val="223"/>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r>
      <w:tr>
        <w:trPr>
          <w:trHeight w:val="230"/>
        </w:trPr>
        <w:tc>
          <w:tcPr>
            <w:tcW w:w="5100" w:type="dxa"/>
            <w:vAlign w:val="bottom"/>
          </w:tcPr>
          <w:p>
            <w:pPr>
              <w:spacing w:after="0"/>
              <w:rPr>
                <w:sz w:val="20"/>
                <w:szCs w:val="20"/>
                <w:color w:val="auto"/>
              </w:rPr>
            </w:pPr>
            <w:r>
              <w:rPr>
                <w:rFonts w:ascii="Arial" w:cs="Arial" w:eastAsia="Arial" w:hAnsi="Arial"/>
                <w:sz w:val="18"/>
                <w:szCs w:val="18"/>
                <w:color w:val="auto"/>
              </w:rPr>
              <w:t>Sales and marketing</w:t>
            </w: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10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r>
      <w:tr>
        <w:trPr>
          <w:trHeight w:val="229"/>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Research and product development</w:t>
            </w: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r>
      <w:tr>
        <w:trPr>
          <w:trHeight w:val="243"/>
        </w:trPr>
        <w:tc>
          <w:tcPr>
            <w:tcW w:w="51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3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104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9"/>
              </w:rPr>
              <w:t>14</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r>
      <w:tr>
        <w:trPr>
          <w:trHeight w:val="209"/>
        </w:trPr>
        <w:tc>
          <w:tcPr>
            <w:tcW w:w="510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40"/>
        </w:trPr>
        <w:tc>
          <w:tcPr>
            <w:tcW w:w="5100" w:type="dxa"/>
            <w:vAlign w:val="bottom"/>
          </w:tcPr>
          <w:p>
            <w:pPr>
              <w:spacing w:after="0"/>
              <w:rPr>
                <w:sz w:val="24"/>
                <w:szCs w:val="24"/>
                <w:color w:val="auto"/>
              </w:rPr>
            </w:pPr>
          </w:p>
        </w:tc>
        <w:tc>
          <w:tcPr>
            <w:tcW w:w="1280" w:type="dxa"/>
            <w:vAlign w:val="bottom"/>
            <w:gridSpan w:val="2"/>
          </w:tcPr>
          <w:p>
            <w:pPr>
              <w:jc w:val="right"/>
              <w:ind w:right="570"/>
              <w:spacing w:after="0"/>
              <w:rPr>
                <w:sz w:val="20"/>
                <w:szCs w:val="20"/>
                <w:color w:val="auto"/>
              </w:rPr>
            </w:pPr>
            <w:r>
              <w:rPr>
                <w:rFonts w:ascii="Arial" w:cs="Arial" w:eastAsia="Arial" w:hAnsi="Arial"/>
                <w:sz w:val="18"/>
                <w:szCs w:val="18"/>
                <w:color w:val="auto"/>
              </w:rPr>
              <w:t>17</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51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amounts)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current year loss did not result in income tax benefit due to recording a full valuation allowance against expected benefits. The valuation allowance was recorded as we concluded that it was more likely than not that our deferred tax assets were not realizable primarily due to the Company's recent pre-tax losses. Provision for income taxes for the six months ended June 30, 2023 mostly represents income tax expense recorded for jurisdictions outside the United States.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had approximately $962 of uncertain tax positions as of June 30, 2023. Due to the inherent uncertainty of the underlying tax positions, it is not possible to forecast the payment of this liability for any particular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fair value of the Company’s financial instruments reflects the amounts that the Company estimates it will receive in connection with the sale of an asset or pay in connection with the transfer of a liability in an orderly transaction between market participants at the measurement date (exit price). The fair value hierarchy prioritizes the use of inputs used in valuation techniques into the following three levels: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Level 1 - Quoted prices in active markets for identical assets and liabilities.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Level 2 - Observable inputs other than quoted prices in active markets for identical assets and liabilities; quoted prices in markets that are not active; or other inputs that are observable or can be corroborated by observable market data for substantially the full term of the assets or liabilities. This category generally includes U.S. Government and agency securities; municipal securities; mutual funds and securities sold and not yet settled.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Level 3 - Unobservable inputs.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financial instruments are valued using observable inputs. The following table sets forth the fair value of the financial instruments re-measured by the Company as of June 30, 2023:</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Level 1</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2</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Level 3</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r>
      <w:tr>
        <w:trPr>
          <w:trHeight w:val="210"/>
        </w:trPr>
        <w:tc>
          <w:tcPr>
            <w:tcW w:w="5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June 30, 2023</w:t>
            </w: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Mutual funds</w:t>
            </w:r>
          </w:p>
        </w:tc>
        <w:tc>
          <w:tcPr>
            <w:tcW w:w="900" w:type="dxa"/>
            <w:vAlign w:val="bottom"/>
          </w:tcPr>
          <w:p>
            <w:pPr>
              <w:jc w:val="right"/>
              <w:ind w:right="710"/>
              <w:spacing w:after="0"/>
              <w:rPr>
                <w:sz w:val="20"/>
                <w:szCs w:val="20"/>
                <w:color w:val="auto"/>
              </w:rPr>
            </w:pPr>
            <w:r>
              <w:rPr>
                <w:rFonts w:ascii="Arial" w:cs="Arial" w:eastAsia="Arial" w:hAnsi="Arial"/>
                <w:sz w:val="18"/>
                <w:szCs w:val="18"/>
                <w:color w:val="auto"/>
                <w:w w:val="79"/>
              </w:rPr>
              <w:t>$</w:t>
            </w:r>
          </w:p>
        </w:tc>
        <w:tc>
          <w:tcPr>
            <w:tcW w:w="220" w:type="dxa"/>
            <w:vAlign w:val="bottom"/>
          </w:tcPr>
          <w:p>
            <w:pPr>
              <w:ind w:left="40"/>
              <w:spacing w:after="0"/>
              <w:rPr>
                <w:sz w:val="20"/>
                <w:szCs w:val="20"/>
                <w:color w:val="auto"/>
              </w:rPr>
            </w:pPr>
            <w:r>
              <w:rPr>
                <w:rFonts w:ascii="Arial" w:cs="Arial" w:eastAsia="Arial" w:hAnsi="Arial"/>
                <w:sz w:val="18"/>
                <w:szCs w:val="18"/>
                <w:color w:val="auto"/>
                <w:w w:val="88"/>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1,166</w:t>
            </w:r>
          </w:p>
        </w:tc>
        <w:tc>
          <w:tcPr>
            <w:tcW w:w="1000" w:type="dxa"/>
            <w:vAlign w:val="bottom"/>
            <w:gridSpan w:val="2"/>
          </w:tcPr>
          <w:p>
            <w:pPr>
              <w:jc w:val="right"/>
              <w:ind w:right="710"/>
              <w:spacing w:after="0"/>
              <w:rPr>
                <w:sz w:val="20"/>
                <w:szCs w:val="20"/>
                <w:color w:val="auto"/>
              </w:rPr>
            </w:pPr>
            <w:r>
              <w:rPr>
                <w:rFonts w:ascii="Arial" w:cs="Arial" w:eastAsia="Arial" w:hAnsi="Arial"/>
                <w:sz w:val="18"/>
                <w:szCs w:val="18"/>
                <w:color w:val="auto"/>
              </w:rPr>
              <w:t>$</w:t>
            </w:r>
          </w:p>
        </w:tc>
        <w:tc>
          <w:tcPr>
            <w:tcW w:w="240" w:type="dxa"/>
            <w:vAlign w:val="bottom"/>
          </w:tcPr>
          <w:p>
            <w:pPr>
              <w:ind w:left="60"/>
              <w:spacing w:after="0"/>
              <w:rPr>
                <w:sz w:val="20"/>
                <w:szCs w:val="20"/>
                <w:color w:val="auto"/>
              </w:rPr>
            </w:pPr>
            <w:r>
              <w:rPr>
                <w:rFonts w:ascii="Arial" w:cs="Arial" w:eastAsia="Arial" w:hAnsi="Arial"/>
                <w:sz w:val="18"/>
                <w:szCs w:val="18"/>
                <w:color w:val="auto"/>
                <w:w w:val="88"/>
              </w:rPr>
              <w:t>—</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1,166</w:t>
            </w:r>
          </w:p>
        </w:tc>
        <w:tc>
          <w:tcPr>
            <w:tcW w:w="100" w:type="dxa"/>
            <w:vAlign w:val="bottom"/>
          </w:tcPr>
          <w:p>
            <w:pPr>
              <w:spacing w:after="0"/>
              <w:rPr>
                <w:sz w:val="18"/>
                <w:szCs w:val="18"/>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3,757</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3,757</w:t>
            </w:r>
          </w:p>
        </w:tc>
        <w:tc>
          <w:tcPr>
            <w:tcW w:w="100" w:type="dxa"/>
            <w:vAlign w:val="bottom"/>
            <w:shd w:val="clear" w:color="auto" w:fill="CCEEFF"/>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Certificates of deposit</w:t>
            </w:r>
          </w:p>
        </w:tc>
        <w:tc>
          <w:tcPr>
            <w:tcW w:w="900" w:type="dxa"/>
            <w:vAlign w:val="bottom"/>
          </w:tcPr>
          <w:p>
            <w:pPr>
              <w:spacing w:after="0"/>
              <w:rPr>
                <w:sz w:val="18"/>
                <w:szCs w:val="18"/>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1,099</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ind w:left="6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1,099</w:t>
            </w:r>
          </w:p>
        </w:tc>
        <w:tc>
          <w:tcPr>
            <w:tcW w:w="100" w:type="dxa"/>
            <w:vAlign w:val="bottom"/>
          </w:tcPr>
          <w:p>
            <w:pPr>
              <w:spacing w:after="0"/>
              <w:rPr>
                <w:sz w:val="18"/>
                <w:szCs w:val="18"/>
                <w:color w:val="auto"/>
              </w:rPr>
            </w:pPr>
          </w:p>
        </w:tc>
      </w:tr>
      <w:tr>
        <w:trPr>
          <w:trHeight w:val="230"/>
        </w:trPr>
        <w:tc>
          <w:tcPr>
            <w:tcW w:w="5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Corporate bonds and notes</w:t>
            </w:r>
          </w:p>
        </w:tc>
        <w:tc>
          <w:tcPr>
            <w:tcW w:w="9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88"/>
              </w:rPr>
              <w:t>—</w:t>
            </w:r>
          </w:p>
        </w:tc>
        <w:tc>
          <w:tcPr>
            <w:tcW w:w="2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8"/>
              </w:rPr>
              <w:t>—</w:t>
            </w:r>
          </w:p>
        </w:tc>
        <w:tc>
          <w:tcPr>
            <w:tcW w:w="2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0"/>
        </w:trPr>
        <w:tc>
          <w:tcPr>
            <w:tcW w:w="5960" w:type="dxa"/>
            <w:vAlign w:val="bottom"/>
          </w:tcPr>
          <w:p>
            <w:pPr>
              <w:spacing w:after="0"/>
              <w:rPr>
                <w:sz w:val="20"/>
                <w:szCs w:val="20"/>
                <w:color w:val="auto"/>
              </w:rPr>
            </w:pPr>
            <w:r>
              <w:rPr>
                <w:rFonts w:ascii="Arial" w:cs="Arial" w:eastAsia="Arial" w:hAnsi="Arial"/>
                <w:sz w:val="18"/>
                <w:szCs w:val="18"/>
                <w:color w:val="auto"/>
              </w:rPr>
              <w:t>Total</w:t>
            </w:r>
          </w:p>
        </w:tc>
        <w:tc>
          <w:tcPr>
            <w:tcW w:w="900" w:type="dxa"/>
            <w:vAlign w:val="bottom"/>
          </w:tcPr>
          <w:p>
            <w:pPr>
              <w:jc w:val="right"/>
              <w:ind w:right="710"/>
              <w:spacing w:after="0"/>
              <w:rPr>
                <w:sz w:val="20"/>
                <w:szCs w:val="20"/>
                <w:color w:val="auto"/>
              </w:rPr>
            </w:pPr>
            <w:r>
              <w:rPr>
                <w:rFonts w:ascii="Arial" w:cs="Arial" w:eastAsia="Arial" w:hAnsi="Arial"/>
                <w:sz w:val="18"/>
                <w:szCs w:val="18"/>
                <w:color w:val="auto"/>
                <w:w w:val="79"/>
              </w:rPr>
              <w:t>$</w:t>
            </w:r>
          </w:p>
        </w:tc>
        <w:tc>
          <w:tcPr>
            <w:tcW w:w="220" w:type="dxa"/>
            <w:vAlign w:val="bottom"/>
          </w:tcPr>
          <w:p>
            <w:pPr>
              <w:ind w:left="40"/>
              <w:spacing w:after="0"/>
              <w:rPr>
                <w:sz w:val="20"/>
                <w:szCs w:val="20"/>
                <w:color w:val="auto"/>
              </w:rPr>
            </w:pPr>
            <w:r>
              <w:rPr>
                <w:rFonts w:ascii="Arial" w:cs="Arial" w:eastAsia="Arial" w:hAnsi="Arial"/>
                <w:sz w:val="18"/>
                <w:szCs w:val="18"/>
                <w:color w:val="auto"/>
                <w:w w:val="88"/>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6,994</w:t>
            </w:r>
          </w:p>
        </w:tc>
        <w:tc>
          <w:tcPr>
            <w:tcW w:w="1000" w:type="dxa"/>
            <w:vAlign w:val="bottom"/>
            <w:gridSpan w:val="2"/>
          </w:tcPr>
          <w:p>
            <w:pPr>
              <w:jc w:val="right"/>
              <w:ind w:right="710"/>
              <w:spacing w:after="0"/>
              <w:rPr>
                <w:sz w:val="20"/>
                <w:szCs w:val="20"/>
                <w:color w:val="auto"/>
              </w:rPr>
            </w:pPr>
            <w:r>
              <w:rPr>
                <w:rFonts w:ascii="Arial" w:cs="Arial" w:eastAsia="Arial" w:hAnsi="Arial"/>
                <w:sz w:val="18"/>
                <w:szCs w:val="18"/>
                <w:color w:val="auto"/>
              </w:rPr>
              <w:t>$</w:t>
            </w:r>
          </w:p>
        </w:tc>
        <w:tc>
          <w:tcPr>
            <w:tcW w:w="240" w:type="dxa"/>
            <w:vAlign w:val="bottom"/>
          </w:tcPr>
          <w:p>
            <w:pPr>
              <w:ind w:left="60"/>
              <w:spacing w:after="0"/>
              <w:rPr>
                <w:sz w:val="20"/>
                <w:szCs w:val="20"/>
                <w:color w:val="auto"/>
              </w:rPr>
            </w:pPr>
            <w:r>
              <w:rPr>
                <w:rFonts w:ascii="Arial" w:cs="Arial" w:eastAsia="Arial" w:hAnsi="Arial"/>
                <w:sz w:val="18"/>
                <w:szCs w:val="18"/>
                <w:color w:val="auto"/>
                <w:w w:val="88"/>
              </w:rPr>
              <w:t>—</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6,994</w:t>
            </w:r>
          </w:p>
        </w:tc>
        <w:tc>
          <w:tcPr>
            <w:tcW w:w="100" w:type="dxa"/>
            <w:vAlign w:val="bottom"/>
          </w:tcPr>
          <w:p>
            <w:pPr>
              <w:spacing w:after="0"/>
              <w:rPr>
                <w:sz w:val="18"/>
                <w:szCs w:val="18"/>
                <w:color w:val="auto"/>
              </w:rPr>
            </w:pPr>
          </w:p>
        </w:tc>
      </w:tr>
      <w:tr>
        <w:trPr>
          <w:trHeight w:val="20"/>
        </w:trPr>
        <w:tc>
          <w:tcPr>
            <w:tcW w:w="59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financial instruments that were re-measured by the Company as of December 31, 2022.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Subsequent events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August 1, 2023, the Company received a letter (the “Notice”) from the Listing Qualifications Department (the “Staff”) of the Nasdaq Stock Market (“Nasdaq”) informing management that because the closing bid price for the Company’s common stock listed on Nasdaq was below $1.00 for 30 consecutive trading days, the Company is not in compliance with the minimum bid price requirement for continued listing on the Nasdaq Capital Market, as set forth in Nasdaq Marketplace Rule 5550(a)(2) (the “Minimum Bid Price Requirement”). In accordance with Nasdaq Marketplace Rule 5810(c)(3)(A), the Company was granted a period of 180 calendar days from August 1, 2023, or until January 29, 2024, to regain compliance with the Minimum Bid Price Requirement. The Company’s common stock has continued to trade below $1.00 per share, and the closing price of the Company’s common stock on August 4, 2023 was $0.8083.</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This report on Form 10-Q includes “forward-looking statements” within the meaning of Section 27A of the Securities Act of 1933, as amended, and Section 21E of the Securities Exchange Act of 1934, as amended (the “Exchange Act”). All statements in this report, other than statements of historical fact, are forward-looking statements for purposes of these provisions, including any projections of earnings, revenues or other financial items, any statements of the plans and objectives of management for future operations, any statements concerning proposed new products or services, any statements regarding future economic conditions or performance, and any statements of assumptions underlying any of the foregoing. All forward-looking statements included in this report are made as of the date hereof and are based on information available to us as of such date. We assume no obligation to update any forward-looking statement. In some cases, forward-looking statements can be identified by the use of terminology such as “may,” “will,” “expects,” “plans,” “anticipates,” “intends,” “believes,” “estimates,” “potential,” or “continue,” or the negative thereof or other comparable terminology. Although we believe that the expectations reflected in the forward-looking statements contained herein are based upon reasonable assumptions at the time made, there can be no assurance that any such expectations or any forward-looking statement will prove to be correct. Our actual results will vary, and may vary materially, from those projected or assumed in the forward-looking statements. Future financial condition and results of operations, as well as any forward-looking statements, are subject to inherent risks and uncertainties, many of which we cannot predict with accuracy and some of which we might not anticipate, including, without limitation, product recalls and product liability claims; infringement of our technology or assertion that our technology infringes the rights of other parties; termination of supplier relationships, or failure of suppliers to perform; our expectations regarding the ongoing transition of manufacturing of our products from China to Singapore by our electronics manufacturing services provider; inability to successfully manage growth; delays in obtaining regulatory approvals or the failure to maintain such approvals; concentration of our revenue among a few customers, products or procedures; development of new products and technology that could render our products obsolete; market acceptance of new products; introduction of products in a timely fashion; price and product competition, availability of labor and materials, cost increases, and fluctuations in and obsolescence of inventory; volatility of the market price of our common stock; foreign currency fluctuations; changes in key personnel; work stoppage or transportation risks; integration of business acquisitions; and other factors referred to in our reports filed with the SEC, including our Annual Report on Form 10-K for the year ended December 31, 2022. All subsequent forward-looking statements attributable to us or persons acting on our behalf are expressly qualified in their entirety by these cautionary statements. Additional factors that may have a direct bearing on our operating results are discussed in Part II, Item 1A “Risk Factors” in this Quarterly Report on Form 10-Q and in Part I, Item 1A “Risk Factors” in our Annual Report on Form 10-K for the year ended December 31, 2022.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ClearOne is a global Company that designs, develops and sells conferencing, collaboration, and AV networking solutions for voice and visual communications. The performance and simplicity of our advanced, comprehensive solutions offer a high level of functionality, reliability and scalability. We derive a major portion of our revenue from audio conferencing products and microphones by promoting our products in the professional audio-visual channel. We have extended our total addressable market from the installed audio conferencing market to adjacent complementary markets – microphones, video collaboration and AV networking. We have achieved this through strategic technological acquisitions as well as by internal product development.</w:t>
      </w:r>
    </w:p>
    <w:p>
      <w:pPr>
        <w:spacing w:after="0" w:line="16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January 30, 2023, we introduced the new CHAT® 150 BT group speakerphone with USB and Bluetooth connectivity that enhances the conferencing experience for the ultimate in business class performance. With simple, instant connection to personal computers, mobile devices or Bluetooth-enabled desk phones, the CHAT® 150 BT group speakerphone provides users with an affordable way to upgrade home offices, executive offices, and mid-size meeting rooms with BYOD convenience and superior audio clarity for audio conferences and video meetings. The CHAT® 150 BT speakerphone also has an audio bridging feature that allows far end conference participants connected via a software conferencing application through USB, local users of the speakerphone, and far end callers on a mobile call connected through Bluetooth to all join the same call and hear each other clearly. Featuring a steerable microphone array with first-mic priority, the CHAT® 150 BT speakerphone intelligently activates the microphone closest to the person speaking, reducing interference from ambient noise. Like all ClearOne microphone products, the CHAT® 150 BT speakerphone is compatible with popular collaboration platforms including Microsoft® Teams, Zoom™, WebEx™, Google® Meet™, and many more. The new BT model retains all the class-leading features of the original CHAT® 150 speakerphone, including Advanced Noise Cancellation, Full Duplex Distributed Echo Cancellation™ and Automatic Level Control algorithms, to ensure highly intelligible, natural audio capture and playback. It also supports NFC tap-to-pair and includes a wired USB connection for compatibility with the full variety of modern devices.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January 16, 2023, we introduced UNITE 260 Pro camera, a professional grade 4K Ultra HD camera featuring both a 20X optical zoom and 16X digital zoom that allows users to capture every participant in all meeting, training, and learning environments it is deployed in. Compatible with all popular meeting applications like Microsoft® Teams, Zoom™, WebEx™, and Google® Meet™, the new camera features an AI-based smart face tracking mode that keeps a selected presenter in the frame as they move about the room. Alternatively, the camera’s AI-based auto framing mode always keeps an entire group in perfect view. With dual video outputs HDMI and IP, the UNITE 260 Pro Camera is an excellent choice for a hybrid environment: streaming content while simultaneously showing it live where the presentation is occurring.</w:t>
      </w:r>
    </w:p>
    <w:p>
      <w:pPr>
        <w:spacing w:after="0" w:line="19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May 2023, we launched eight new COLLABORATE® Versa® packaged hardware systems to provide optimized audio and video performance for conference rooms and personal office spaces. The updated lineup of bundled solutions empowers businesses of all sizes and means to leverage powerful conferencing capabilities that include automatic voice tracking, face tracking and echo cancellation. The new lineup of COLLABORATE Versa solutions offers an ideal package for every small-to-medium sized conferencing space or personal office, giving business owners and IT staff mission-specific options that ensure maximum value, utility and performance in any room. The solutions launched were COLLABORATE Versa Room CT 160, COLLABORATE Versa Room CT, COLLABORATE Versa 20, COLLABORATE Versa 20 Plus, COLLABORATE Versa 160, COLLABORATE Versa 60, COLLABORATE Versa Pro 160, and COLLABORATE Versa Pro 60.</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June 2023, we returned to Infocomm for the first time since 2019 with a complete suite of products, programs, and on-site demonstrations designed to help partners grow their business across every vertical market where increased collaboration is a priority. We exhibited our solutions in Booth #3061 in the Orange County Convention Center from June 14-16, 2023 in Orlando, Florida.</w:t>
      </w:r>
    </w:p>
    <w:p>
      <w:pPr>
        <w:spacing w:after="0" w:line="184"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At Infocomm 2023, we unveiled the BMA 360D, the newest member of the world’s most advanced beamforming microphone array ceiling tile family. The BMA 360D offers unrivaled audio performance and native compatibility with any Dante-enabled DSP mixer. The new Dante-compatible beamforming microphone array allows integrators and users to leverage ClearOne’s industry-leading microphone innovations in more projects and spaces than ever before. The BMA 360D takes our groundbreaking product to the next level by leveraging standard IP networking infrastructure in an enterprise, empowering AV and IT practitioners to upgrade existing room solutions to use more powerful microphones and expanding flexibility that enables third-party DSP integrations in new system designs. The added power and advanced beamforming also enhance the performance of critical modern functions such as voice lift and camera tracking. Dante integration in the BMA 360D enhances the array’s functionality by delivering unprocessed beam audio on individual Dante transmit channels. Additionally, a smart-switched output is delivered on a separate Dante channel to provide the optimal mix of active inputs while enabling ClearOne’s full suite of audio enhancements, which include echo cancellation, noise cancellation, and level control. The BMA 360D incorporates the industry’s only ultra-wideband, frequency-invariant beamforming mic array technology with uniform gain response across all frequency bands. With proprietary FiBeam™ and DsBeam™ technology, participants experience natural and full-fidelity audio across all beams and within a single beam. DsBeam delivers superb clarity and intelligibility through unparalleled sidelobe depth below -40 dB, resulting in superior rejection of reverb and noise even in challenging environments. Integrator setup is simplified by convenient preset beam patterns for common room layouts, while custom beam patterns can be created for unique floor plans. Combined with adaptive steering that focuses audio pickup on active speakers, the adjustable beam patterns provide impeccable coverage of every meeting or conference participant. The exceptional accuracy of ClearOne’s beamforming and adaptive steering technologies also enhance the performance of voice lift and camera tracking functions for any attached DSP mixer.</w:t>
      </w:r>
    </w:p>
    <w:p>
      <w:pPr>
        <w:spacing w:after="0" w:line="17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We also introduced at Infocomm, our powerful new DIALOG® UVHF wireless microphone system that combines class-leading flexibility, Power over Ethernet (PoE) simplicity, Dante technology, and up to 350 usable frequencies to offer professional-quality audio conferencing, video collaboration, and sound reinforcement for any size room. The new DIALOG UVHF system offers businesses and institutions a flexible wireless microphone system that can address varying types of audio pickup needs for rooms of virtually any size. With up to 350 available frequencies across 160 MHz of RF range, the system also delivers incredibly robust reception. Now corporate boardrooms, training rooms, college lecture halls, courtrooms and other multi-use venues can ensure excellent audio pickup quality and meet varying pickup needs with the simplicity of PoE that enables installation virtually anywhere through a single CAT6 ethernet cable. ClearOne’s free support for system design and remote commissioning makes it easier than ever to outfit any presentation space with a professional-quality multi-function audio pickup solution. The DIALOG UVHF system allows integrators, room designers and meeting hosts to address a wide range of audio pickup needs through five lavalier, lanyard and headset-type body microphones, two handheld microphones, a boundary microphone and three gooseneck microphones for podium use. Powering the microphones is simple and efficient, as all models use the same 12-hour off-the-shelf Li-ion battery that can be charged via USB-C or an optional eight-bay network-connected charging dock. Firmware updates can be done over the network, while the transmitters charge. The Dante-enabled system includes an eight-channel Dante Access Point to ensure optimal signal transmission and system reliability, while an optional DIALOG UVHF Dante interface provides eight Euroblock balanced analog outputs, including mixed output, USB audio output and eight GPIOs. The lightweight plenum-rated access point provides versatile mounting options for wall, ceiling, tabletop or pole mounting, including VESA mount holes. The DIALOG UVHF is the only system with a wireless access point that delivers antenna redundancy and diversity, with dual antennas providing spatial and polarization diversity that helps maintain high audio quality in harsh environments. A wired ethernet connection adds the ability to connect management software to the access point via a web browser. Secure RF connections are created using full-time standards-based FIPS 197 AES-256 encryption. ClearOne’s solutions are designed to support all leading collaboration platforms, including Microsoft Teams, Google Meet, GoToMeeting, Zoom and WebEx.</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continued our programs to cut costs and to speed up product development that we believe will enable us to get back to a growth path.</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Overall revenue decreased by 26% in the second quarter of 2023 when compared to the second quarter of 2022, primarily due to a significant decrease in revenues from all product categories, especially microphones. The revenue decline was primarily due to our continued inability to source adequate inventory to meet the demand for professional audio products and BMA due to the ongoing transition of manufacturing of our products from China to Singapore by our electronics manufacturing services provider and due to the decline in demand for video products. We expect the challenges with the manufacturing transition from China to Singapore to ease in the second half of 2023 as we have seen improvement in product deliveries in the second quarter of 2023 when compared to the first quarter of 2023. Our revenue performance in 2023-Q2 was also partially impacted negatively due to increased costs associated with the electronic raw material supply shortages that have affected the global manufacturing of high tech products. We expect these supply shortages and associated increased costs in various degrees to continue through at least the end of 2023.</w:t>
      </w:r>
    </w:p>
    <w:p>
      <w:pPr>
        <w:spacing w:after="0" w:line="17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gross profit margin decreased to 33.7% during the second quarter of 2023 from 38.1% during the second quarter of 2022. Our gross profit margin decreased to 32.7% during the first six months of 2023 compared to 37.7% during the first six months of 2022. Gross Profit margin decreased year over year mainly due to increase in administration and overhead costs as a percentage of revenue and increase in inventory obsolescence costs.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Net loss increased from $0.3 million in the second quarter of 2022 to $1.0 million in the second quarter of 2023. The increase in net loss was mainly due to</w:t>
      </w:r>
    </w:p>
    <w:p>
      <w:pPr>
        <w:spacing w:after="0" w:line="46" w:lineRule="exact"/>
        <w:rPr>
          <w:sz w:val="20"/>
          <w:szCs w:val="20"/>
          <w:color w:val="auto"/>
        </w:rPr>
      </w:pPr>
    </w:p>
    <w:p>
      <w:pPr>
        <w:jc w:val="both"/>
        <w:ind w:firstLine="8"/>
        <w:spacing w:after="0" w:line="252" w:lineRule="auto"/>
        <w:tabs>
          <w:tab w:leader="none" w:pos="267"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recognition in 2022-Q2 of $1.5 million in gain from the forgiveness of CARES Act Paycheck Protection Program Loan in 2022-Q2, and (b) a decrease in revenues and associated gross margin, partially offset by (c) a decrease in operating expenses and increase in interest income. Net loss decreased from $2.2 million for the first half of 2022 to $1.9 million for the first half of 2023. The decrease was mainly due to (a) a recognition of $1.35 million from a one-time legal settlement of a contract dispute, (b) significant reduction in operating expenses, and (c) increase in interest income, partially reduced by (d) reduced revenue and associated gross margin, and (e) recognition of $1.5 million gain from the forgiveness of CARES Act Paycheck Protection Program Loan in 2022-Q2.</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Industry conditions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operate in a very dynamic and highly competitive industry which is dominated on the one hand by a few players with respect to certain products like traditional video conferencing appliances while on the other hand influenced heavily by a fragmented reseller market consisting of numerous regional and local players. The industry is also characterized by venture capitalist-funded start-ups and private companies willing to fund cumulative cash losses in order to gain market share and achieve certain non-financial goals. It has become increasingly important to have higher interoperability with other products in the audio visual market as well as with leading video conferencing service providers like Microsoft and Zoom.</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Economic conditions, challenges and risks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audio-visual products market is characterized by intense competition and rapidly evolving technology. Our competitors vary within each product category. Our installed professional audio conferencing products, which is our flagship product category, continue to be ahead of the competition despite the reduction in revenues. Our strength in this space is largely due to our fully integrated suite of products consisting of DSP mixers, wide range of professional microphone products and video collaboration products. Despite our strong leadership position in the installed professional audio conferencing market, we face challenges to revenue growth due to the limited size of the market, pricing pressures from new competitors attracted to the commercial market due to higher margins, our limited ability to be interoperable with other audio visual products in the market, and the lack of certifications from Microsoft.</w:t>
      </w:r>
    </w:p>
    <w:p>
      <w:pPr>
        <w:spacing w:after="0" w:line="19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video products and beamforming microphone arrays, especially highly advanced BMA 360 and BMA-CT are critical to our long-term growth. We face intense competition in this market from well-established market leaders as well as emerging players rich with marketing funds. We expect our strategy of making our products more interoperable with other audio-visual products, continuing to improve the quality of our high-end audio conferencing products and microphones, and offering a wide range of innovative professional cameras will generate high growth in the near future.</w:t>
      </w:r>
    </w:p>
    <w:p>
      <w:pPr>
        <w:spacing w:after="0" w:line="17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derive a significant portion of our revenue (approximately 52% in 2022) from international operations and expect this trend to continue in the future. Most of our revenue from outside the U.S. is billed in U.S. dollars and is not exposed to any significant currency risk. However, we are exposed to foreign exchange risk if the U.S. dollar is strong against other currencies as it will make U.S. Dollar denominated prices of our products less competitive.</w:t>
      </w:r>
    </w:p>
    <w:p>
      <w:pPr>
        <w:spacing w:after="0" w:line="14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December 2019, a novel strain of coronavirus (“COVID-19”) started spreading from China and was declared a pandemic. The COVID-19 pandemic caused severe global disruptions and had varying impact on our business. The installed audio conferencing market was negatively impacted due to lockdowns, postponement of projects and restrictions on installers to visit commercial sites. On the other hand, COVID-19 generated higher than normal demand in 2020 for our video products and personal conferencing products due to the significant expansion of work-from-home market. The extent of COVID-19’s effect on our operational and financial performance keeps evolving and depends on multiple factors including the severity and infectiousness of current and future virus strains, effectiveness of vaccines especially on novel strains of COVID-19, government regulations, etc., all of which are uncertain and difficult to predict considering the rapidly evolving landscape. Supply chain disruptions resulting from COVID-19 have caused significant fluctuations in our costs of goods resulting in a reduction of our gross margins in 2021 and 2022. We expect these fluctuations to continue in 2023. If the pandemic continues to be a severe worldwide health crisis, the disease could have a material adverse effect on our business, results of operations, financial condition and cash flows and adversely impact the trading price of our common stock.</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Product 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Deferred product revenue decreased to $52 thousand on June 30, 2023 compared to $63 thousand on December 31,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detailed discussion of our results of operations follows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 for the three and six months ended June 30, 2023</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 sets forth certain items from our unaudited condensed consolidated statements of operations for the three and six months ended June 30, 2023 (“2023-Q2”) ("2023-H1") and 2022 ("2022-Q2") ("2022-H1"), respectively, together with the percentage of total revenue which each such item represents: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20" w:type="dxa"/>
            <w:vAlign w:val="bottom"/>
            <w:gridSpan w:val="7"/>
          </w:tcPr>
          <w:p>
            <w:pPr>
              <w:jc w:val="right"/>
              <w:ind w:right="1080"/>
              <w:spacing w:after="0"/>
              <w:rPr>
                <w:sz w:val="20"/>
                <w:szCs w:val="20"/>
                <w:color w:val="auto"/>
              </w:rPr>
            </w:pPr>
            <w:r>
              <w:rPr>
                <w:rFonts w:ascii="Arial" w:cs="Arial" w:eastAsia="Arial" w:hAnsi="Arial"/>
                <w:sz w:val="18"/>
                <w:szCs w:val="18"/>
                <w:b w:val="1"/>
                <w:bCs w:val="1"/>
                <w:color w:val="auto"/>
              </w:rPr>
              <w:t>Three months ended June 30,</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60" w:type="dxa"/>
            <w:vAlign w:val="bottom"/>
            <w:gridSpan w:val="8"/>
          </w:tcPr>
          <w:p>
            <w:pPr>
              <w:jc w:val="right"/>
              <w:spacing w:after="0"/>
              <w:rPr>
                <w:sz w:val="20"/>
                <w:szCs w:val="20"/>
                <w:color w:val="auto"/>
              </w:rPr>
            </w:pPr>
            <w:r>
              <w:rPr>
                <w:rFonts w:ascii="Arial" w:cs="Arial" w:eastAsia="Arial" w:hAnsi="Arial"/>
                <w:sz w:val="18"/>
                <w:szCs w:val="18"/>
                <w:b w:val="1"/>
                <w:bCs w:val="1"/>
                <w:color w:val="auto"/>
              </w:rPr>
              <w:t>Six months ended June 30,</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25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Change</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center"/>
              <w:ind w:right="130"/>
              <w:spacing w:after="0" w:line="191" w:lineRule="exact"/>
              <w:rPr>
                <w:sz w:val="20"/>
                <w:szCs w:val="20"/>
                <w:color w:val="auto"/>
              </w:rPr>
            </w:pPr>
            <w:r>
              <w:rPr>
                <w:rFonts w:ascii="Arial" w:cs="Arial" w:eastAsia="Arial" w:hAnsi="Arial"/>
                <w:sz w:val="18"/>
                <w:szCs w:val="18"/>
                <w:b w:val="1"/>
                <w:bCs w:val="1"/>
                <w:color w:val="auto"/>
                <w:w w:val="90"/>
              </w:rPr>
              <w:t>Change</w:t>
            </w:r>
          </w:p>
        </w:tc>
        <w:tc>
          <w:tcPr>
            <w:tcW w:w="100" w:type="dxa"/>
            <w:vAlign w:val="bottom"/>
          </w:tcPr>
          <w:p>
            <w:pPr>
              <w:spacing w:after="0"/>
              <w:rPr>
                <w:sz w:val="16"/>
                <w:szCs w:val="16"/>
                <w:color w:val="auto"/>
              </w:rPr>
            </w:pPr>
          </w:p>
        </w:tc>
      </w:tr>
      <w:tr>
        <w:trPr>
          <w:trHeight w:val="216"/>
        </w:trPr>
        <w:tc>
          <w:tcPr>
            <w:tcW w:w="2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Favorable</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Favorable</w:t>
            </w:r>
          </w:p>
        </w:tc>
      </w:tr>
      <w:tr>
        <w:trPr>
          <w:trHeight w:val="234"/>
        </w:trPr>
        <w:tc>
          <w:tcPr>
            <w:tcW w:w="2580" w:type="dxa"/>
            <w:vAlign w:val="bottom"/>
          </w:tcPr>
          <w:p>
            <w:pPr>
              <w:spacing w:after="0"/>
              <w:rPr>
                <w:sz w:val="20"/>
                <w:szCs w:val="20"/>
                <w:color w:val="auto"/>
              </w:rPr>
            </w:pPr>
            <w:r>
              <w:rPr>
                <w:rFonts w:ascii="Arial" w:cs="Arial" w:eastAsia="Arial" w:hAnsi="Arial"/>
                <w:sz w:val="18"/>
                <w:szCs w:val="18"/>
                <w:color w:val="auto"/>
              </w:rPr>
              <w:t>(dollars in thousands)</w:t>
            </w: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(Adverse) in %</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(Adverse) in %</w:t>
            </w:r>
          </w:p>
        </w:tc>
      </w:tr>
      <w:tr>
        <w:trPr>
          <w:trHeight w:val="209"/>
        </w:trPr>
        <w:tc>
          <w:tcPr>
            <w:tcW w:w="2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5,483</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7,375</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9,661</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14,920</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Cost of goods sold</w:t>
            </w:r>
          </w:p>
        </w:tc>
        <w:tc>
          <w:tcPr>
            <w:tcW w:w="2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3,635</w:t>
            </w: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4,568</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6,498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9,297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r>
      <w:tr>
        <w:trPr>
          <w:trHeight w:val="20"/>
        </w:trPr>
        <w:tc>
          <w:tcPr>
            <w:tcW w:w="25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1,848</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2,807</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3,163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5,623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w:t>
            </w:r>
          </w:p>
        </w:tc>
      </w:tr>
      <w:tr>
        <w:trPr>
          <w:trHeight w:val="20"/>
        </w:trPr>
        <w:tc>
          <w:tcPr>
            <w:tcW w:w="25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2580" w:type="dxa"/>
            <w:vAlign w:val="bottom"/>
          </w:tcPr>
          <w:p>
            <w:pPr>
              <w:spacing w:after="0"/>
              <w:rPr>
                <w:sz w:val="20"/>
                <w:szCs w:val="20"/>
                <w:color w:val="auto"/>
              </w:rPr>
            </w:pPr>
            <w:r>
              <w:rPr>
                <w:rFonts w:ascii="Arial" w:cs="Arial" w:eastAsia="Arial" w:hAnsi="Arial"/>
                <w:sz w:val="18"/>
                <w:szCs w:val="18"/>
                <w:color w:val="auto"/>
              </w:rPr>
              <w:t>Sales and marketing</w:t>
            </w:r>
          </w:p>
        </w:tc>
        <w:tc>
          <w:tcPr>
            <w:tcW w:w="2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1,323</w:t>
            </w: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1,562</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2,515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3,122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r>
      <w:tr>
        <w:trPr>
          <w:trHeight w:val="202"/>
        </w:trPr>
        <w:tc>
          <w:tcPr>
            <w:tcW w:w="2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Research and product</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development</w:t>
            </w:r>
          </w:p>
        </w:tc>
        <w:tc>
          <w:tcPr>
            <w:tcW w:w="2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873</w:t>
            </w:r>
          </w:p>
        </w:tc>
        <w:tc>
          <w:tcPr>
            <w:tcW w:w="2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1,177</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1,916</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2,530</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20"/>
                <w:szCs w:val="20"/>
                <w:color w:val="auto"/>
              </w:rPr>
            </w:pPr>
          </w:p>
        </w:tc>
      </w:tr>
      <w:tr>
        <w:trPr>
          <w:trHeight w:val="230"/>
        </w:trPr>
        <w:tc>
          <w:tcPr>
            <w:tcW w:w="25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1,007</w:t>
            </w:r>
          </w:p>
        </w:tc>
        <w:tc>
          <w:tcPr>
            <w:tcW w:w="26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1,717</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2,276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3,473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r>
      <w:tr>
        <w:trPr>
          <w:trHeight w:val="209"/>
        </w:trPr>
        <w:tc>
          <w:tcPr>
            <w:tcW w:w="2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3,203</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4,456</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6,707</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9,125</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2580" w:type="dxa"/>
            <w:vAlign w:val="bottom"/>
          </w:tcPr>
          <w:p>
            <w:pPr>
              <w:spacing w:after="0"/>
              <w:rPr>
                <w:sz w:val="20"/>
                <w:szCs w:val="20"/>
                <w:color w:val="auto"/>
              </w:rPr>
            </w:pPr>
            <w:r>
              <w:rPr>
                <w:rFonts w:ascii="Arial" w:cs="Arial" w:eastAsia="Arial" w:hAnsi="Arial"/>
                <w:sz w:val="18"/>
                <w:szCs w:val="18"/>
                <w:color w:val="auto"/>
              </w:rPr>
              <w:t>Operating loss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(1,355)</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(1,649)</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(3,544)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(3,502)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346</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1,411</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1,720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1,313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8"/>
                <w:szCs w:val="18"/>
                <w:color w:val="auto"/>
              </w:rPr>
            </w:pPr>
          </w:p>
        </w:tc>
      </w:tr>
      <w:tr>
        <w:trPr>
          <w:trHeight w:val="20"/>
        </w:trPr>
        <w:tc>
          <w:tcPr>
            <w:tcW w:w="25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258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2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(1,009)</w:t>
            </w:r>
          </w:p>
        </w:tc>
        <w:tc>
          <w:tcPr>
            <w:tcW w:w="2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(238)</w:t>
            </w: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(324)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(1,824)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(2,189)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r>
      <w:tr>
        <w:trPr>
          <w:trHeight w:val="230"/>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r>
      <w:tr>
        <w:trPr>
          <w:trHeight w:val="209"/>
        </w:trPr>
        <w:tc>
          <w:tcPr>
            <w:tcW w:w="2580" w:type="dxa"/>
            <w:vAlign w:val="bottom"/>
          </w:tcPr>
          <w:p>
            <w:pPr>
              <w:spacing w:after="0"/>
              <w:rPr>
                <w:sz w:val="20"/>
                <w:szCs w:val="20"/>
                <w:color w:val="auto"/>
              </w:rPr>
            </w:pPr>
            <w:r>
              <w:rPr>
                <w:rFonts w:ascii="Arial" w:cs="Arial" w:eastAsia="Arial" w:hAnsi="Arial"/>
                <w:sz w:val="18"/>
                <w:szCs w:val="18"/>
                <w:color w:val="auto"/>
              </w:rPr>
              <w:t>Net loss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(1,019)</w:t>
            </w:r>
          </w:p>
        </w:tc>
        <w:tc>
          <w:tcPr>
            <w:tcW w:w="2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w:t>
            </w:r>
          </w:p>
        </w:tc>
        <w:tc>
          <w:tcPr>
            <w:tcW w:w="22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revenue decreased to $5.5 million in 2023-Q2 compared to $7.4 million in 2022-Q2 due to a 14% decline in microphones, a 48% decline in video products, and a 30% decline in audio conferencing. Except for premium audio conferencing, which constitutes a small percentage of our revenue all other product categories suffered revenue declines year over year. Revenues from BMA and professional audio conferencing products were negatively impacted by our inability to source adequate inventory to meet the demand for these products despite a robust backlog of orders, due to the ongoing transition of manufacturing of our products from China to Singapore by our electronics manufacturing services provider. Our traditional ceiling mics, personal audio conferencing products, video cameras and video conferencing equipment suffered revenue declines due to lack of demand. During the second quarter of 2023, revenues from Americas increased by 6% while all other regions suffered revenue loss. During 2023-Q2 revenues from the Asia Pacific, including the Middle East, India and Australia declined by 32%. Finally, revenues from Europe and Africa declined significantly by 75% in 2023-Q2.</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six months ended June 30, 2023 our revenues decreased from $14.9 million to $9.7 million compared to the same period in 2022 due to revenues from microphones decreasing by 36%, video products decreasing by 52% and audio conferencing decreasing by 28%.</w:t>
      </w:r>
    </w:p>
    <w:p>
      <w:pPr>
        <w:spacing w:after="0" w:line="17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believe, although there can be no assurance, that we can return to generating operating profits through our strategic initiatives namely product innovation and cost reduction.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of Goods Sold and Gross Profit</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Cost of goods sold includes expenses associated with finished goods purchased from outsourced manufacturers, the repackaging of our products, our manufacturing and operations organization, property and equipment depreciation, warranty expense, freight expense, royalty payments, and the allocation of overhead expenses.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gross profit margin decreased from 38.1% during 2022-Q2 to 33.7% during 2023-Q2. The gross profit margin was negatively impacted due to increases in material costs mainly due to an increase in administration and overhead costs as a percentage of revenue and increase in inventory obsolescence costs.</w:t>
      </w:r>
    </w:p>
    <w:p>
      <w:pPr>
        <w:spacing w:after="0" w:line="18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gross profit margin decreased from 37.7% during 2022-H1 to 32.7% during 2023-H1. The gross profit margin decreased primarily due to increase in material costs mainly due to an increase in administration and overhead costs as a percentage of revenue and increase in inventory obsolescence costs.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profitability in the near-term continues to depend significantly on our revenues from professional installed audio-conferencing products. We hold long-term inventory and if we are unable to sell our long-term inventory, our profitability might be affected by inventory write-offs and price mark-downs. Our long-term inventory includes approximately $0.5 million of wireless microphone-related finished goods and assemblies, $0.3 million of Converge Pro and Beamforming microphone array products, $0.9 million of video products, and $1.5 million of raw materials that will be used primarily for manufacturing professional audio conferencing products and BMA microphones. Any business changes that are adverse to these product lines could potentially impact our ability to sell our long-term inventory in addition to our current inventory.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Operating expenses include sales and marketing (“S&amp;M”) expenses, research and product development (“R&amp;D”) expenses and general and administrative (“G&amp;A”) expenses. Total operating expenses in 2023-Q2 was $3.2 million compared to $4.5 million in 2022-Q2. Total operating expenses were $6.7 million for 2023-H1 compared to $9.1 million for 2022-H1. The following contains a more detailed discussion of expenses related to sales and marketing, research and product development, general and administrative, and other items. The following contains a more detailed discussion of expenses related to sales and marketing, research and product development, general and administrative, and other items.</w:t>
      </w:r>
    </w:p>
    <w:p>
      <w:pPr>
        <w:spacing w:after="0" w:line="13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u w:val="single" w:color="auto"/>
          <w:color w:val="auto"/>
        </w:rPr>
        <w:t>Sales and Marketing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S&amp;M expenses include selling, customer service, and marketing expenses such as employee-related costs, allocations of overhead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expenses, trade shows, and other advertising and selling expenses.</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S&amp;M expenses in 2023-Q2 decreased to $1.3 million from $1.6 million for 2022-Q2. The decrease was primarily due to decreases in employment expenses and consultant expenses due to a reduction in headcount and due to a decrease in commissions paid to employees and consultants.</w:t>
      </w:r>
    </w:p>
    <w:p>
      <w:pPr>
        <w:spacing w:after="0" w:line="14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S&amp;M expenses in 2023-H1 decreased to $2.5 million from $3.1 million for 2022-H1. The decrease was primarily due to decreases in employment expenses and consultant expenses due to a reduction in headcount and due to a decrease in commissions paid to employees and consultants.</w:t>
      </w:r>
    </w:p>
    <w:p>
      <w:pPr>
        <w:spacing w:after="0" w:line="14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u w:val="single" w:color="auto"/>
          <w:color w:val="auto"/>
        </w:rPr>
        <w:t>Research and Product Development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R&amp;D expenses include research and development, product line management, engineering services, and test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application expenses, including employee-related costs, outside services, expensed materials, depreciation, and an allocation of overhead expenses.</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R&amp;D expenses decreased to $0.9 million in 2023-Q2 compared to $1.2 million for 2022-Q2. The decrease was primarily due to a reduction in employment expenses due to a reduction in headcount and a decrease in project-related expenses.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R&amp;D expenses decreased to $1.9 million in 2023-H1 compared to $2.5 million for 2022-H1. The decrease was primarily due to a reduction in employment expenses due to a reduction in the headcount and a decrease in project-related expenses.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u w:val="single" w:color="auto"/>
          <w:color w:val="auto"/>
        </w:rPr>
        <w:t>General and Administrative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G&amp;A expenses include employee-related costs, professional service fees, allocations of overhead expenses, litigation costs,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corporate administrative costs, including costs related to finance and human resources teams.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G&amp;A expenses decreased to $1.0 million in 2023-Q2 compared to $1.7 million in 2022-Q2. The reduction was primarily due to (i) a decrease in amortization costs relating to our capitalized patent defense costs, which was fully amortized in 2022-Q4, (ii) a decrease in legal expenses, (iii) and a decrease in employment-related expenses.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G&amp;A expenses decreased to $2.3 million in 2023-H1 compared to $3.5 million in 2022-H1. The reduction was primarily due to (i) a decrease in amortization costs relating to our capitalized patent defense costs, which was fully amortized in 2022-Q4, (ii) a decline in audit fees, (iii) and a decline in employment-related expenses, partially offset by (iv) increase in insurance expenses.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Other income (expense), net includes interest income, foreign currency changes and gain or loss on disposal of assets. Other income for 2023-Q2 included $0.45 million of interest income received on marketable securities. Other income in 2022-Q2 and 2022-H1 included $1.5 million in gain from the forgiveness of CARES Act Paycheck Protection Program Loan. 2023-H1 included a receipt of $1.35 million from a one-time legal settlement of a contract dispute and $0.8 million of interest income received on marketable securities. All other items not discussed herein included in other income remained immaterial during 2023-H1, 2022-H1, 2023-Q2 and 2022-Q2.</w:t>
      </w:r>
    </w:p>
    <w:p>
      <w:pPr>
        <w:spacing w:after="0" w:line="1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expense remained almost the same at $0.1 million in 2023-Q2 and 2022-Q2. Interest expense increased to $0.4 million in 2023-Q1 compared to $0.2 million in 2022-Q1 primarily due to interest associated with the prepayment of the $2 million bridge loan in January 2023.</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EE"/>
        </w:rPr>
        <w:t>Table of Contents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each of the six months ended June 30, 2023 and 2022, we did not recognize any benefit from the losses incurred due to setting up a full valuation allowance.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2023, our cash and cash equivalents were approximately $15.1 million compared to $1.0 million as of December 31, 2022. Our working capital was $37.5 million and $69.3 million as of June 30, 2023 and December 31, 2022, respectively.</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provided by operating activities was approximately $52.9 million in 2023-Q2, an increase of cash provided by operating activities of approximately $55.6 million from $2.7 million of cash used by operating activities in 2022-Q2. The increase in cash inflow was primarily due to $55 million in receipts from legal settlements, the receipt of $4.5 million from the return of a bond deposited with a court, and a $1.3 million refund of income taxes with interest. These receipts were partially offset by operating losses and $6.5 million in income tax payments.</w:t>
      </w:r>
    </w:p>
    <w:p>
      <w:pPr>
        <w:spacing w:after="0" w:line="18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Net cash used in investing activities in 2023-Q2 was $7.4 million compared to $2.4 million of net cash provided by investing activities in 2022-Q2. The increase in cash used in investing activities was primarily due to increase in purchase of marketable securities (net of sales) by $4.0 million and increase in purchase of property and equipment by $0.3 million. These increases were partially offset by the elimination of capitalized legal expenses of $0.5 million.</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used in financing activities in 2023-Q2 was $31.4 million, comprised primarily of dividend distributions of $29.0 million, repayment of the bridge loan of $2 million and $0.5 million payments of principal amounts due on senior convertible debt. This compares to $0.4 million used in principal amounts due on senior convertible debt and a receipt of $0.8 million in loan repayments refunded upon forgiveness of CARES Act Paycheck Protection Program loan in 2022-Q2.</w:t>
      </w:r>
    </w:p>
    <w:p>
      <w:pPr>
        <w:spacing w:after="0" w:line="18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of June 30, 2023, our cash and cash equivalents were approximately $15.1 million compared to $1.0 million as of December 31, 2022. Our working capital was $37.5 million as of June 30, 2023. Net cash provided by operating activities was $52.9 million for the six months ended June 30, 2023, an increase of $55.6 million compared to $2.7 million of cash used in operating activities for the six months ended June 30, 2022. The company announced and paid in May 2023 a special one-time cash dividend of $1.00 per share or eligible warrant totaling $29.0 million. The Company also paid approximately $6.5 million towards income taxes in April 2023. The Company believes that the Company's core strategies of product innovation and prudent cost management will bring the company back to profitability in the future. The Company believes, although there can be no assurance, that the current cash position and effective management of working capital will provide the liquidity needed to meet our operating needs through at least August 10, 2024. The Company also believes that its strong portfolio of intellectual property and its solid brand equity in the market will enable it to raise additional capital if and when needed to meet its short and long-term financing needs; however, there can be no assurance that, if needed, the Company will be successful in obtaining the necessary funds through equity or debt financing. If the Company needs additional capital and is unable to secure financing, it may be required to further reduce expenses, or delay product development and enhancement.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2023, we had open purchase orders of approximately $2.1 million mostly for the purchase of inventory.</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2023, we had inventory totaling $10.9 million, of which non-current inventory accounted for $3.4 million. This compares to total inventories of $11.7 million, which includes non-current inventory of $2.7 million as of December 31, 2022.</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212529"/>
        </w:rPr>
        <w:t>The following table summarizes our contractual obligations as of June 30, 2023 (in millions):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6"/>
          </w:tcPr>
          <w:p>
            <w:pPr>
              <w:jc w:val="right"/>
              <w:ind w:right="27"/>
              <w:spacing w:after="0"/>
              <w:rPr>
                <w:sz w:val="20"/>
                <w:szCs w:val="20"/>
                <w:color w:val="auto"/>
              </w:rPr>
            </w:pPr>
            <w:r>
              <w:rPr>
                <w:rFonts w:ascii="Arial" w:cs="Arial" w:eastAsia="Arial" w:hAnsi="Arial"/>
                <w:sz w:val="18"/>
                <w:szCs w:val="18"/>
                <w:b w:val="1"/>
                <w:bCs w:val="1"/>
                <w:color w:val="auto"/>
              </w:rPr>
              <w:t>Payment Due by Period</w:t>
            </w:r>
          </w:p>
        </w:tc>
        <w:tc>
          <w:tcPr>
            <w:tcW w:w="10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5"/>
        </w:trPr>
        <w:tc>
          <w:tcPr>
            <w:tcW w:w="4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ind w:right="130"/>
              <w:spacing w:after="0" w:line="205" w:lineRule="exact"/>
              <w:rPr>
                <w:sz w:val="20"/>
                <w:szCs w:val="20"/>
                <w:color w:val="auto"/>
              </w:rPr>
            </w:pPr>
            <w:r>
              <w:rPr>
                <w:rFonts w:ascii="Arial" w:cs="Arial" w:eastAsia="Arial" w:hAnsi="Arial"/>
                <w:sz w:val="18"/>
                <w:szCs w:val="18"/>
                <w:b w:val="1"/>
                <w:bCs w:val="1"/>
                <w:color w:val="auto"/>
                <w:w w:val="94"/>
              </w:rPr>
              <w:t>Less Than</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ind w:left="40"/>
              <w:spacing w:after="0" w:line="205" w:lineRule="exact"/>
              <w:rPr>
                <w:sz w:val="20"/>
                <w:szCs w:val="20"/>
                <w:color w:val="auto"/>
              </w:rPr>
            </w:pPr>
            <w:r>
              <w:rPr>
                <w:rFonts w:ascii="Arial" w:cs="Arial" w:eastAsia="Arial" w:hAnsi="Arial"/>
                <w:sz w:val="18"/>
                <w:szCs w:val="18"/>
                <w:b w:val="1"/>
                <w:bCs w:val="1"/>
                <w:color w:val="auto"/>
              </w:rPr>
              <w:t>More than 5</w:t>
            </w:r>
          </w:p>
        </w:tc>
        <w:tc>
          <w:tcPr>
            <w:tcW w:w="100" w:type="dxa"/>
            <w:vAlign w:val="bottom"/>
          </w:tcPr>
          <w:p>
            <w:pPr>
              <w:spacing w:after="0"/>
              <w:rPr>
                <w:sz w:val="17"/>
                <w:szCs w:val="17"/>
                <w:color w:val="auto"/>
              </w:rPr>
            </w:pPr>
          </w:p>
        </w:tc>
      </w:tr>
      <w:tr>
        <w:trPr>
          <w:trHeight w:val="234"/>
        </w:trPr>
        <w:tc>
          <w:tcPr>
            <w:tcW w:w="4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jc w:val="right"/>
              <w:ind w:right="36"/>
              <w:spacing w:after="0"/>
              <w:rPr>
                <w:sz w:val="20"/>
                <w:szCs w:val="20"/>
                <w:color w:val="auto"/>
              </w:rPr>
            </w:pPr>
            <w:r>
              <w:rPr>
                <w:rFonts w:ascii="Arial" w:cs="Arial" w:eastAsia="Arial" w:hAnsi="Arial"/>
                <w:sz w:val="18"/>
                <w:szCs w:val="18"/>
                <w:b w:val="1"/>
                <w:bCs w:val="1"/>
                <w:color w:val="auto"/>
              </w:rPr>
              <w:t>Total</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270"/>
              <w:spacing w:after="0"/>
              <w:rPr>
                <w:sz w:val="20"/>
                <w:szCs w:val="20"/>
                <w:color w:val="auto"/>
              </w:rPr>
            </w:pPr>
            <w:r>
              <w:rPr>
                <w:rFonts w:ascii="Arial" w:cs="Arial" w:eastAsia="Arial" w:hAnsi="Arial"/>
                <w:sz w:val="18"/>
                <w:szCs w:val="18"/>
                <w:b w:val="1"/>
                <w:bCs w:val="1"/>
                <w:color w:val="auto"/>
              </w:rPr>
              <w:t>1 Year</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170"/>
              <w:spacing w:after="0"/>
              <w:rPr>
                <w:sz w:val="20"/>
                <w:szCs w:val="20"/>
                <w:color w:val="auto"/>
              </w:rPr>
            </w:pPr>
            <w:r>
              <w:rPr>
                <w:rFonts w:ascii="Arial" w:cs="Arial" w:eastAsia="Arial" w:hAnsi="Arial"/>
                <w:sz w:val="18"/>
                <w:szCs w:val="18"/>
                <w:b w:val="1"/>
                <w:bCs w:val="1"/>
                <w:color w:val="auto"/>
                <w:w w:val="97"/>
              </w:rPr>
              <w:t>1-3 Years</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170"/>
              <w:spacing w:after="0"/>
              <w:rPr>
                <w:sz w:val="20"/>
                <w:szCs w:val="20"/>
                <w:color w:val="auto"/>
              </w:rPr>
            </w:pPr>
            <w:r>
              <w:rPr>
                <w:rFonts w:ascii="Arial" w:cs="Arial" w:eastAsia="Arial" w:hAnsi="Arial"/>
                <w:sz w:val="18"/>
                <w:szCs w:val="18"/>
                <w:b w:val="1"/>
                <w:bCs w:val="1"/>
                <w:color w:val="auto"/>
                <w:w w:val="97"/>
              </w:rPr>
              <w:t>3-5 Years</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ind w:left="300"/>
              <w:spacing w:after="0"/>
              <w:rPr>
                <w:sz w:val="20"/>
                <w:szCs w:val="20"/>
                <w:color w:val="auto"/>
              </w:rPr>
            </w:pPr>
            <w:r>
              <w:rPr>
                <w:rFonts w:ascii="Arial" w:cs="Arial" w:eastAsia="Arial" w:hAnsi="Arial"/>
                <w:sz w:val="18"/>
                <w:szCs w:val="18"/>
                <w:b w:val="1"/>
                <w:bCs w:val="1"/>
                <w:color w:val="auto"/>
              </w:rPr>
              <w:t>years</w:t>
            </w:r>
          </w:p>
        </w:tc>
      </w:tr>
      <w:tr>
        <w:trPr>
          <w:trHeight w:val="223"/>
        </w:trPr>
        <w:tc>
          <w:tcPr>
            <w:tcW w:w="4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Senior convertible notes</w:t>
            </w:r>
          </w:p>
        </w:tc>
        <w:tc>
          <w:tcPr>
            <w:tcW w:w="2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ind w:right="756"/>
              <w:spacing w:after="0"/>
              <w:rPr>
                <w:sz w:val="20"/>
                <w:szCs w:val="20"/>
                <w:color w:val="auto"/>
              </w:rPr>
            </w:pPr>
            <w:r>
              <w:rPr>
                <w:rFonts w:ascii="Arial" w:cs="Arial" w:eastAsia="Arial" w:hAnsi="Arial"/>
                <w:sz w:val="10"/>
                <w:szCs w:val="10"/>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shd w:val="clear" w:color="auto" w:fill="CCEEFF"/>
          </w:tcPr>
          <w:p>
            <w:pPr>
              <w:spacing w:after="0"/>
              <w:rPr>
                <w:sz w:val="19"/>
                <w:szCs w:val="19"/>
                <w:color w:val="auto"/>
              </w:rPr>
            </w:pP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Operating lease obligations</w:t>
            </w: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0.4</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0.6</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ind w:left="940"/>
              <w:spacing w:after="0"/>
              <w:rPr>
                <w:sz w:val="20"/>
                <w:szCs w:val="20"/>
                <w:color w:val="auto"/>
              </w:rPr>
            </w:pPr>
            <w:r>
              <w:rPr>
                <w:rFonts w:ascii="Arial" w:cs="Arial" w:eastAsia="Arial" w:hAnsi="Arial"/>
                <w:sz w:val="18"/>
                <w:szCs w:val="18"/>
                <w:color w:val="auto"/>
              </w:rPr>
              <w:t>—</w:t>
            </w:r>
          </w:p>
        </w:tc>
      </w:tr>
      <w:tr>
        <w:trPr>
          <w:trHeight w:val="229"/>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Purchase obligations</w:t>
            </w:r>
          </w:p>
        </w:tc>
        <w:tc>
          <w:tcPr>
            <w:tcW w:w="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23"/>
        </w:trPr>
        <w:tc>
          <w:tcPr>
            <w:tcW w:w="406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756"/>
              <w:spacing w:after="0"/>
              <w:rPr>
                <w:sz w:val="20"/>
                <w:szCs w:val="20"/>
                <w:color w:val="auto"/>
              </w:rPr>
            </w:pPr>
            <w:r>
              <w:rPr>
                <w:rFonts w:ascii="Arial" w:cs="Arial" w:eastAsia="Arial" w:hAnsi="Arial"/>
                <w:sz w:val="10"/>
                <w:szCs w:val="10"/>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ind w:left="9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r>
      <w:tr>
        <w:trPr>
          <w:trHeight w:val="20"/>
        </w:trPr>
        <w:tc>
          <w:tcPr>
            <w:tcW w:w="4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have no off-balance-sheet arrangements that have or are reasonably likely to have a current or future material effect on our financial condition, changes in financial conditions, revenues or expenses, results of operations, liquidity, capital expenditures or capital resources, results of operations or liquidity.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discussion and analysis of our results of operations and financial position are based upon our unaudited condensed consolidated financial statements included under Item 1 of this Form 10-Q, which have been prepared in conformity with accounting principles generally accepted in the United States. We review the accounting policies used in reporting our financial results on a regular basis. We believe certain of our accounting policies are critical to understanding our financial position and results of operations. There have been no changes to the critical accounting policies as explained in our Annual Report on Form 10-K for the year ended December 31, 2022.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a discussion of recent accounting pronouncements, see Note 1: “Business Description, Basis of Presentation and Significant Accounting Policies” in the notes to our unaudited condensed consolidated financial statements included under Item 1 of this Form 10-Q.</w:t>
      </w:r>
    </w:p>
    <w:p>
      <w:pPr>
        <w:spacing w:after="0" w:line="166"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An evaluation of the effectiveness of our disclosure controls and procedures (as defined in Rules 13a-15(e) and 15d-15(e) of the Exchange Act) as of June 30, 2023 was performed under the supervision and with the participation of our management, including our Chief Executive Officer and our Principal Financial and Accounting Officer. Based upon this evaluation, our Chief Executive Officer and Chief Financial Officer concluded that, as of the end of the period covered by this Quarterly Report, our disclosure controls and procedures are effective at a reasonable assurance level as of June 30, 2023.</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has been no change in the Company's internal control over financial reporting as of June 30, 2023, that has materially affected, or is reasonably likely to materially affect, the Company's internal control over financial reporting.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risk factor set forth below supplements and should be read in conjunction with the risk factors included in our Annual Report on Form 10-K for the fiscal year ended December 31, 2022:</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common stock trades at prices less than $1.00 which is the minimum bid price requirement under Nasdaq’s continued listing standards, as such our common stock may be subject to delisting from the Nasdaq Capital Market.</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August 1, 2023, we received a letter (the “Notice”) from the Listing Qualifications Department (the “Staff”) of the Nasdaq Stock Market (“Nasdaq”) informing us that because the closing bid price for the Company’s common stock listed on Nasdaq was below $1.00 for 30 consecutive trading days, we are not in compliance with the minimum bid price requirement for continued listing on the Nasdaq Capital Market, as set forth in Nasdaq Marketplace Rule 5550(a)(2) (the “Minimum Bid Price Requirement”). In accordance with Nasdaq Marketplace Rule 5810(c)(3)(A), we were granted a period of 180 calendar days from August 1, 2023, or until January 29, 2024, to regain compliance with the Minimum Bid Price Requirement. Our common stock has continued to trade below $1.00 per share, and the closing price of our common stock on August 4, 2023 was $0.8083.</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our common stock is delisted from Nasdaq Capital Market in the future, such securities may be traded on the over-the-counter markets. Such alternative markets, however, are generally considered to be less efficient than, and not as broad as, Nasdaq. Accordingly, delisting of our common stock from Nasdaq could have a significant negative effect on the trading volume, liquidity and market price of our common stock. In addition, the delisting of our common stock could adversely affect our ability to raise capital on terms acceptable to us or at all and could reduce the number of investors willing to hold or acquire our common stock.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260" w:hanging="252"/>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None.</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11" w:lineRule="exact"/>
        <w:rPr>
          <w:rFonts w:ascii="Arial" w:cs="Arial" w:eastAsia="Arial" w:hAnsi="Arial"/>
          <w:sz w:val="18"/>
          <w:szCs w:val="18"/>
          <w:color w:val="auto"/>
        </w:rPr>
      </w:pPr>
    </w:p>
    <w:p>
      <w:pPr>
        <w:ind w:left="260" w:hanging="252"/>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260" w:hanging="252"/>
        <w:spacing w:after="0"/>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260" w:hanging="252"/>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EE"/>
        </w:rPr>
        <w:t>Table of Contents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No.</w:t>
            </w: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10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rPr>
              <w:t>Title of Document</w:t>
            </w:r>
          </w:p>
        </w:tc>
      </w:tr>
      <w:tr>
        <w:trPr>
          <w:trHeight w:val="385"/>
        </w:trPr>
        <w:tc>
          <w:tcPr>
            <w:tcW w:w="1020" w:type="dxa"/>
            <w:vAlign w:val="bottom"/>
          </w:tcPr>
          <w:p>
            <w:pPr>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4"/>
                <w:szCs w:val="24"/>
                <w:color w:val="auto"/>
              </w:rPr>
            </w:pPr>
          </w:p>
        </w:tc>
        <w:tc>
          <w:tcPr>
            <w:tcW w:w="20" w:type="dxa"/>
            <w:vAlign w:val="bottom"/>
            <w:tcBorders>
              <w:bottom w:val="single" w:sz="8" w:color="0000EE"/>
            </w:tcBorders>
          </w:tcPr>
          <w:p>
            <w:pPr>
              <w:spacing w:after="0"/>
              <w:rPr>
                <w:sz w:val="24"/>
                <w:szCs w:val="24"/>
                <w:color w:val="auto"/>
              </w:rPr>
            </w:pPr>
          </w:p>
        </w:tc>
        <w:tc>
          <w:tcPr>
            <w:tcW w:w="86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88"/>
              </w:rPr>
              <w:t>Section 302</w:t>
            </w:r>
          </w:p>
        </w:tc>
        <w:tc>
          <w:tcPr>
            <w:tcW w:w="4080" w:type="dxa"/>
            <w:vAlign w:val="bottom"/>
            <w:tcBorders>
              <w:bottom w:val="single" w:sz="8" w:color="0000FF"/>
            </w:tcBorders>
          </w:tcPr>
          <w:p>
            <w:pPr>
              <w:ind w:left="40"/>
              <w:spacing w:after="0"/>
              <w:rPr>
                <w:sz w:val="20"/>
                <w:szCs w:val="20"/>
                <w:color w:val="auto"/>
              </w:rPr>
            </w:pPr>
            <w:r>
              <w:rPr>
                <w:rFonts w:ascii="Arial" w:cs="Arial" w:eastAsia="Arial" w:hAnsi="Arial"/>
                <w:sz w:val="18"/>
                <w:szCs w:val="18"/>
                <w:color w:val="0000FF"/>
                <w:w w:val="94"/>
              </w:rPr>
              <w:t>Certification of Chief Executive Officer (filed herewith)</w:t>
            </w:r>
          </w:p>
        </w:tc>
        <w:tc>
          <w:tcPr>
            <w:tcW w:w="5160" w:type="dxa"/>
            <w:vAlign w:val="bottom"/>
            <w:gridSpan w:val="2"/>
          </w:tcPr>
          <w:p>
            <w:pPr>
              <w:spacing w:after="0"/>
              <w:rPr>
                <w:sz w:val="24"/>
                <w:szCs w:val="24"/>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4"/>
                <w:szCs w:val="24"/>
                <w:color w:val="auto"/>
              </w:rPr>
            </w:pPr>
          </w:p>
        </w:tc>
        <w:tc>
          <w:tcPr>
            <w:tcW w:w="20" w:type="dxa"/>
            <w:vAlign w:val="bottom"/>
            <w:tcBorders>
              <w:bottom w:val="single" w:sz="8" w:color="0000EE"/>
            </w:tcBorders>
          </w:tcPr>
          <w:p>
            <w:pPr>
              <w:spacing w:after="0"/>
              <w:rPr>
                <w:sz w:val="24"/>
                <w:szCs w:val="24"/>
                <w:color w:val="auto"/>
              </w:rPr>
            </w:pPr>
          </w:p>
        </w:tc>
        <w:tc>
          <w:tcPr>
            <w:tcW w:w="86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88"/>
              </w:rPr>
              <w:t>Section 302</w:t>
            </w:r>
          </w:p>
        </w:tc>
        <w:tc>
          <w:tcPr>
            <w:tcW w:w="4280" w:type="dxa"/>
            <w:vAlign w:val="bottom"/>
            <w:tcBorders>
              <w:bottom w:val="single" w:sz="8" w:color="0000FF"/>
            </w:tcBorders>
            <w:gridSpan w:val="2"/>
          </w:tcPr>
          <w:p>
            <w:pPr>
              <w:ind w:left="40"/>
              <w:spacing w:after="0"/>
              <w:rPr>
                <w:sz w:val="20"/>
                <w:szCs w:val="20"/>
                <w:color w:val="auto"/>
              </w:rPr>
            </w:pPr>
            <w:r>
              <w:rPr>
                <w:rFonts w:ascii="Arial" w:cs="Arial" w:eastAsia="Arial" w:hAnsi="Arial"/>
                <w:sz w:val="18"/>
                <w:szCs w:val="18"/>
                <w:color w:val="0000FF"/>
                <w:w w:val="94"/>
              </w:rPr>
              <w:t>Certification of Principal Financial Officer (filed herewith)</w:t>
            </w:r>
          </w:p>
        </w:tc>
        <w:tc>
          <w:tcPr>
            <w:tcW w:w="4960" w:type="dxa"/>
            <w:vAlign w:val="bottom"/>
          </w:tcPr>
          <w:p>
            <w:pPr>
              <w:spacing w:after="0"/>
              <w:rPr>
                <w:sz w:val="24"/>
                <w:szCs w:val="24"/>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4"/>
                <w:szCs w:val="24"/>
                <w:color w:val="auto"/>
              </w:rPr>
            </w:pPr>
          </w:p>
        </w:tc>
        <w:tc>
          <w:tcPr>
            <w:tcW w:w="20" w:type="dxa"/>
            <w:vAlign w:val="bottom"/>
            <w:tcBorders>
              <w:bottom w:val="single" w:sz="8" w:color="0000EE"/>
            </w:tcBorders>
          </w:tcPr>
          <w:p>
            <w:pPr>
              <w:spacing w:after="0"/>
              <w:rPr>
                <w:sz w:val="24"/>
                <w:szCs w:val="24"/>
                <w:color w:val="auto"/>
              </w:rPr>
            </w:pPr>
          </w:p>
        </w:tc>
        <w:tc>
          <w:tcPr>
            <w:tcW w:w="86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88"/>
              </w:rPr>
              <w:t>Section 906</w:t>
            </w:r>
          </w:p>
        </w:tc>
        <w:tc>
          <w:tcPr>
            <w:tcW w:w="4080" w:type="dxa"/>
            <w:vAlign w:val="bottom"/>
            <w:tcBorders>
              <w:bottom w:val="single" w:sz="8" w:color="0000FF"/>
            </w:tcBorders>
          </w:tcPr>
          <w:p>
            <w:pPr>
              <w:ind w:left="40"/>
              <w:spacing w:after="0"/>
              <w:rPr>
                <w:sz w:val="20"/>
                <w:szCs w:val="20"/>
                <w:color w:val="auto"/>
              </w:rPr>
            </w:pPr>
            <w:r>
              <w:rPr>
                <w:rFonts w:ascii="Arial" w:cs="Arial" w:eastAsia="Arial" w:hAnsi="Arial"/>
                <w:sz w:val="18"/>
                <w:szCs w:val="18"/>
                <w:color w:val="0000FF"/>
                <w:w w:val="94"/>
              </w:rPr>
              <w:t>Certification of Chief Executive Officer (filed herewith)</w:t>
            </w:r>
          </w:p>
        </w:tc>
        <w:tc>
          <w:tcPr>
            <w:tcW w:w="5160" w:type="dxa"/>
            <w:vAlign w:val="bottom"/>
            <w:gridSpan w:val="2"/>
          </w:tcPr>
          <w:p>
            <w:pPr>
              <w:spacing w:after="0"/>
              <w:rPr>
                <w:sz w:val="24"/>
                <w:szCs w:val="24"/>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4"/>
                <w:szCs w:val="24"/>
                <w:color w:val="auto"/>
              </w:rPr>
            </w:pPr>
          </w:p>
        </w:tc>
        <w:tc>
          <w:tcPr>
            <w:tcW w:w="20" w:type="dxa"/>
            <w:vAlign w:val="bottom"/>
            <w:tcBorders>
              <w:bottom w:val="single" w:sz="8" w:color="0000EE"/>
            </w:tcBorders>
          </w:tcPr>
          <w:p>
            <w:pPr>
              <w:spacing w:after="0"/>
              <w:rPr>
                <w:sz w:val="24"/>
                <w:szCs w:val="24"/>
                <w:color w:val="auto"/>
              </w:rPr>
            </w:pPr>
          </w:p>
        </w:tc>
        <w:tc>
          <w:tcPr>
            <w:tcW w:w="86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88"/>
              </w:rPr>
              <w:t>Section 906</w:t>
            </w:r>
          </w:p>
        </w:tc>
        <w:tc>
          <w:tcPr>
            <w:tcW w:w="4280" w:type="dxa"/>
            <w:vAlign w:val="bottom"/>
            <w:tcBorders>
              <w:bottom w:val="single" w:sz="8" w:color="0000FF"/>
            </w:tcBorders>
            <w:gridSpan w:val="2"/>
          </w:tcPr>
          <w:p>
            <w:pPr>
              <w:ind w:left="40"/>
              <w:spacing w:after="0"/>
              <w:rPr>
                <w:sz w:val="20"/>
                <w:szCs w:val="20"/>
                <w:color w:val="auto"/>
              </w:rPr>
            </w:pPr>
            <w:r>
              <w:rPr>
                <w:rFonts w:ascii="Arial" w:cs="Arial" w:eastAsia="Arial" w:hAnsi="Arial"/>
                <w:sz w:val="18"/>
                <w:szCs w:val="18"/>
                <w:color w:val="0000FF"/>
                <w:w w:val="94"/>
              </w:rPr>
              <w:t>Certification of Principal Financial Officer (filed herewith)</w:t>
            </w:r>
          </w:p>
        </w:tc>
        <w:tc>
          <w:tcPr>
            <w:tcW w:w="4960" w:type="dxa"/>
            <w:vAlign w:val="bottom"/>
          </w:tcPr>
          <w:p>
            <w:pPr>
              <w:spacing w:after="0"/>
              <w:rPr>
                <w:sz w:val="24"/>
                <w:szCs w:val="24"/>
                <w:color w:val="auto"/>
              </w:rPr>
            </w:pPr>
          </w:p>
        </w:tc>
      </w:tr>
      <w:tr>
        <w:trPr>
          <w:trHeight w:val="453"/>
        </w:trPr>
        <w:tc>
          <w:tcPr>
            <w:tcW w:w="1020" w:type="dxa"/>
            <w:vAlign w:val="bottom"/>
          </w:tcPr>
          <w:p>
            <w:pPr>
              <w:spacing w:after="0"/>
              <w:rPr>
                <w:sz w:val="20"/>
                <w:szCs w:val="20"/>
                <w:color w:val="auto"/>
              </w:rPr>
            </w:pPr>
            <w:r>
              <w:rPr>
                <w:rFonts w:ascii="Arial" w:cs="Arial" w:eastAsia="Arial" w:hAnsi="Arial"/>
                <w:sz w:val="18"/>
                <w:szCs w:val="18"/>
                <w:color w:val="auto"/>
              </w:rPr>
              <w:t>101.INS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4"/>
          </w:tcPr>
          <w:p>
            <w:pPr>
              <w:spacing w:after="0"/>
              <w:rPr>
                <w:sz w:val="20"/>
                <w:szCs w:val="20"/>
                <w:color w:val="auto"/>
              </w:rPr>
            </w:pPr>
            <w:r>
              <w:rPr>
                <w:rFonts w:ascii="Arial" w:cs="Arial" w:eastAsia="Arial" w:hAnsi="Arial"/>
                <w:sz w:val="18"/>
                <w:szCs w:val="18"/>
                <w:color w:val="auto"/>
              </w:rPr>
              <w:t>XBRL Instance Document (filed herewith)</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101.SCH</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4"/>
          </w:tcPr>
          <w:p>
            <w:pPr>
              <w:spacing w:after="0"/>
              <w:rPr>
                <w:sz w:val="20"/>
                <w:szCs w:val="20"/>
                <w:color w:val="auto"/>
              </w:rPr>
            </w:pPr>
            <w:r>
              <w:rPr>
                <w:rFonts w:ascii="Arial" w:cs="Arial" w:eastAsia="Arial" w:hAnsi="Arial"/>
                <w:sz w:val="18"/>
                <w:szCs w:val="18"/>
                <w:color w:val="auto"/>
              </w:rPr>
              <w:t>XBRL Taxonomy Extension Schema (filed herewith)</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101.CAL</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4"/>
          </w:tcPr>
          <w:p>
            <w:pPr>
              <w:spacing w:after="0"/>
              <w:rPr>
                <w:sz w:val="20"/>
                <w:szCs w:val="20"/>
                <w:color w:val="auto"/>
              </w:rPr>
            </w:pPr>
            <w:r>
              <w:rPr>
                <w:rFonts w:ascii="Arial" w:cs="Arial" w:eastAsia="Arial" w:hAnsi="Arial"/>
                <w:sz w:val="18"/>
                <w:szCs w:val="18"/>
                <w:color w:val="auto"/>
              </w:rPr>
              <w:t>XBRL Taxonomy Extension Calculation Linkbase (filed herewith)</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101.DEF</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4"/>
          </w:tcPr>
          <w:p>
            <w:pPr>
              <w:spacing w:after="0"/>
              <w:rPr>
                <w:sz w:val="20"/>
                <w:szCs w:val="20"/>
                <w:color w:val="auto"/>
              </w:rPr>
            </w:pPr>
            <w:r>
              <w:rPr>
                <w:rFonts w:ascii="Arial" w:cs="Arial" w:eastAsia="Arial" w:hAnsi="Arial"/>
                <w:sz w:val="18"/>
                <w:szCs w:val="18"/>
                <w:color w:val="auto"/>
              </w:rPr>
              <w:t>XBRL Taxonomy Extension Definitions Linkbase (filed herewith)</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101.LAB</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4"/>
          </w:tcPr>
          <w:p>
            <w:pPr>
              <w:spacing w:after="0"/>
              <w:rPr>
                <w:sz w:val="20"/>
                <w:szCs w:val="20"/>
                <w:color w:val="auto"/>
              </w:rPr>
            </w:pPr>
            <w:r>
              <w:rPr>
                <w:rFonts w:ascii="Arial" w:cs="Arial" w:eastAsia="Arial" w:hAnsi="Arial"/>
                <w:sz w:val="18"/>
                <w:szCs w:val="18"/>
                <w:color w:val="auto"/>
              </w:rPr>
              <w:t>XBRL Taxonomy Extension Label Linkbase (filed herewith)</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101.PRE</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4"/>
          </w:tcPr>
          <w:p>
            <w:pPr>
              <w:spacing w:after="0"/>
              <w:rPr>
                <w:sz w:val="20"/>
                <w:szCs w:val="20"/>
                <w:color w:val="auto"/>
              </w:rPr>
            </w:pPr>
            <w:r>
              <w:rPr>
                <w:rFonts w:ascii="Arial" w:cs="Arial" w:eastAsia="Arial" w:hAnsi="Arial"/>
                <w:sz w:val="18"/>
                <w:szCs w:val="18"/>
                <w:color w:val="auto"/>
              </w:rPr>
              <w:t>XBRL Taxonomy Extension Presentation Linkbase (filed herewith)</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104.1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4"/>
          </w:tcPr>
          <w:p>
            <w:pPr>
              <w:spacing w:after="0"/>
              <w:rPr>
                <w:sz w:val="20"/>
                <w:szCs w:val="20"/>
                <w:color w:val="auto"/>
              </w:rPr>
            </w:pPr>
            <w:r>
              <w:rPr>
                <w:rFonts w:ascii="Arial" w:cs="Arial" w:eastAsia="Arial" w:hAnsi="Arial"/>
                <w:sz w:val="18"/>
                <w:szCs w:val="18"/>
                <w:color w:val="auto"/>
              </w:rPr>
              <w:t>The cover page of this Quarterly Report on Form 10-Q, formatted in Inline XBRL.</w:t>
            </w:r>
          </w:p>
        </w:tc>
      </w:tr>
      <w:tr>
        <w:trPr>
          <w:trHeight w:val="418"/>
        </w:trPr>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80" w:type="dxa"/>
            <w:vAlign w:val="bottom"/>
          </w:tcPr>
          <w:p>
            <w:pPr>
              <w:ind w:left="3540"/>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24"/>
                <w:szCs w:val="24"/>
                <w:color w:val="auto"/>
              </w:rPr>
            </w:pPr>
          </w:p>
        </w:tc>
        <w:tc>
          <w:tcPr>
            <w:tcW w:w="4960" w:type="dxa"/>
            <w:vAlign w:val="bottom"/>
          </w:tcPr>
          <w:p>
            <w:pPr>
              <w:spacing w:after="0"/>
              <w:rPr>
                <w:sz w:val="24"/>
                <w:szCs w:val="24"/>
                <w:color w:val="auto"/>
              </w:rPr>
            </w:pPr>
          </w:p>
        </w:tc>
      </w:tr>
      <w:tr>
        <w:trPr>
          <w:trHeight w:val="128"/>
        </w:trPr>
        <w:tc>
          <w:tcPr>
            <w:tcW w:w="10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40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96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40" w:type="dxa"/>
            <w:vAlign w:val="bottom"/>
            <w:gridSpan w:val="2"/>
          </w:tcPr>
          <w:p>
            <w:pPr>
              <w:ind w:left="5620"/>
              <w:spacing w:after="0"/>
              <w:rPr>
                <w:sz w:val="20"/>
                <w:szCs w:val="20"/>
                <w:color w:val="auto"/>
              </w:rPr>
            </w:pPr>
            <w:r>
              <w:rPr>
                <w:rFonts w:ascii="Arial" w:cs="Arial" w:eastAsia="Arial" w:hAnsi="Arial"/>
                <w:sz w:val="18"/>
                <w:szCs w:val="18"/>
                <w:color w:val="auto"/>
              </w:rPr>
              <w:t>ClearOne, Inc.,</w:t>
            </w:r>
          </w:p>
        </w:tc>
      </w:tr>
      <w:tr>
        <w:trPr>
          <w:trHeight w:val="230"/>
        </w:trPr>
        <w:tc>
          <w:tcPr>
            <w:tcW w:w="11240" w:type="dxa"/>
            <w:vAlign w:val="bottom"/>
            <w:gridSpan w:val="2"/>
          </w:tcPr>
          <w:p>
            <w:pPr>
              <w:ind w:left="5620"/>
              <w:spacing w:after="0"/>
              <w:rPr>
                <w:sz w:val="20"/>
                <w:szCs w:val="20"/>
                <w:color w:val="auto"/>
              </w:rPr>
            </w:pPr>
            <w:r>
              <w:rPr>
                <w:rFonts w:ascii="Arial" w:cs="Arial" w:eastAsia="Arial" w:hAnsi="Arial"/>
                <w:sz w:val="18"/>
                <w:szCs w:val="18"/>
                <w:color w:val="auto"/>
              </w:rPr>
              <w:t>(Registrant)</w:t>
            </w:r>
          </w:p>
        </w:tc>
      </w:tr>
      <w:tr>
        <w:trPr>
          <w:trHeight w:val="473"/>
        </w:trPr>
        <w:tc>
          <w:tcPr>
            <w:tcW w:w="11240" w:type="dxa"/>
            <w:vAlign w:val="bottom"/>
            <w:gridSpan w:val="2"/>
          </w:tcPr>
          <w:p>
            <w:pPr>
              <w:ind w:left="56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Derek L. Graham</w:t>
            </w:r>
          </w:p>
        </w:tc>
      </w:tr>
      <w:tr>
        <w:trPr>
          <w:trHeight w:val="195"/>
        </w:trPr>
        <w:tc>
          <w:tcPr>
            <w:tcW w:w="6060" w:type="dxa"/>
            <w:vAlign w:val="bottom"/>
          </w:tcPr>
          <w:p>
            <w:pPr>
              <w:spacing w:after="0"/>
              <w:rPr>
                <w:sz w:val="16"/>
                <w:szCs w:val="16"/>
                <w:color w:val="auto"/>
              </w:rPr>
            </w:pPr>
          </w:p>
        </w:tc>
        <w:tc>
          <w:tcPr>
            <w:tcW w:w="5180" w:type="dxa"/>
            <w:vAlign w:val="bottom"/>
            <w:tcBorders>
              <w:top w:val="single" w:sz="8" w:color="auto"/>
            </w:tcBorders>
          </w:tcPr>
          <w:p>
            <w:pPr>
              <w:ind w:left="20"/>
              <w:spacing w:after="0" w:line="195" w:lineRule="exact"/>
              <w:rPr>
                <w:sz w:val="20"/>
                <w:szCs w:val="20"/>
                <w:color w:val="auto"/>
              </w:rPr>
            </w:pPr>
            <w:r>
              <w:rPr>
                <w:rFonts w:ascii="Arial" w:cs="Arial" w:eastAsia="Arial" w:hAnsi="Arial"/>
                <w:sz w:val="18"/>
                <w:szCs w:val="18"/>
                <w:color w:val="auto"/>
              </w:rPr>
              <w:t>Derek L. Graham</w:t>
            </w:r>
          </w:p>
        </w:tc>
      </w:tr>
      <w:tr>
        <w:trPr>
          <w:trHeight w:val="216"/>
        </w:trPr>
        <w:tc>
          <w:tcPr>
            <w:tcW w:w="6060" w:type="dxa"/>
            <w:vAlign w:val="bottom"/>
          </w:tcPr>
          <w:p>
            <w:pPr>
              <w:spacing w:after="0"/>
              <w:rPr>
                <w:sz w:val="18"/>
                <w:szCs w:val="18"/>
                <w:color w:val="auto"/>
              </w:rPr>
            </w:pPr>
          </w:p>
        </w:tc>
        <w:tc>
          <w:tcPr>
            <w:tcW w:w="518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30"/>
        </w:trPr>
        <w:tc>
          <w:tcPr>
            <w:tcW w:w="6060" w:type="dxa"/>
            <w:vAlign w:val="bottom"/>
          </w:tcPr>
          <w:p>
            <w:pPr>
              <w:spacing w:after="0"/>
              <w:rPr>
                <w:sz w:val="20"/>
                <w:szCs w:val="20"/>
                <w:color w:val="auto"/>
              </w:rPr>
            </w:pPr>
            <w:r>
              <w:rPr>
                <w:rFonts w:ascii="Arial" w:cs="Arial" w:eastAsia="Arial" w:hAnsi="Arial"/>
                <w:sz w:val="18"/>
                <w:szCs w:val="18"/>
                <w:color w:val="auto"/>
              </w:rPr>
              <w:t>August 10, 2023</w:t>
            </w:r>
          </w:p>
        </w:tc>
        <w:tc>
          <w:tcPr>
            <w:tcW w:w="518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r>
      <w:tr>
        <w:trPr>
          <w:trHeight w:val="446"/>
        </w:trPr>
        <w:tc>
          <w:tcPr>
            <w:tcW w:w="6060" w:type="dxa"/>
            <w:vAlign w:val="bottom"/>
          </w:tcPr>
          <w:p>
            <w:pPr>
              <w:ind w:left="5620"/>
              <w:spacing w:after="0"/>
              <w:rPr>
                <w:sz w:val="20"/>
                <w:szCs w:val="20"/>
                <w:color w:val="auto"/>
              </w:rPr>
            </w:pPr>
            <w:r>
              <w:rPr>
                <w:rFonts w:ascii="Arial" w:cs="Arial" w:eastAsia="Arial" w:hAnsi="Arial"/>
                <w:sz w:val="18"/>
                <w:szCs w:val="18"/>
                <w:color w:val="auto"/>
              </w:rPr>
              <w:t>By:</w:t>
            </w:r>
          </w:p>
        </w:tc>
        <w:tc>
          <w:tcPr>
            <w:tcW w:w="51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Narsi Narayanan</w:t>
            </w:r>
          </w:p>
        </w:tc>
      </w:tr>
      <w:tr>
        <w:trPr>
          <w:trHeight w:val="195"/>
        </w:trPr>
        <w:tc>
          <w:tcPr>
            <w:tcW w:w="6060" w:type="dxa"/>
            <w:vAlign w:val="bottom"/>
          </w:tcPr>
          <w:p>
            <w:pPr>
              <w:spacing w:after="0"/>
              <w:rPr>
                <w:sz w:val="16"/>
                <w:szCs w:val="16"/>
                <w:color w:val="auto"/>
              </w:rPr>
            </w:pPr>
          </w:p>
        </w:tc>
        <w:tc>
          <w:tcPr>
            <w:tcW w:w="5180" w:type="dxa"/>
            <w:vAlign w:val="bottom"/>
          </w:tcPr>
          <w:p>
            <w:pPr>
              <w:ind w:left="20"/>
              <w:spacing w:after="0" w:line="195" w:lineRule="exact"/>
              <w:rPr>
                <w:sz w:val="20"/>
                <w:szCs w:val="20"/>
                <w:color w:val="auto"/>
              </w:rPr>
            </w:pPr>
            <w:r>
              <w:rPr>
                <w:rFonts w:ascii="Arial" w:cs="Arial" w:eastAsia="Arial" w:hAnsi="Arial"/>
                <w:sz w:val="18"/>
                <w:szCs w:val="18"/>
                <w:color w:val="auto"/>
              </w:rPr>
              <w:t>Narsi Narayanan</w:t>
            </w:r>
          </w:p>
        </w:tc>
      </w:tr>
      <w:tr>
        <w:trPr>
          <w:trHeight w:val="216"/>
        </w:trPr>
        <w:tc>
          <w:tcPr>
            <w:tcW w:w="6060" w:type="dxa"/>
            <w:vAlign w:val="bottom"/>
          </w:tcPr>
          <w:p>
            <w:pPr>
              <w:spacing w:after="0"/>
              <w:rPr>
                <w:sz w:val="18"/>
                <w:szCs w:val="18"/>
                <w:color w:val="auto"/>
              </w:rPr>
            </w:pPr>
          </w:p>
        </w:tc>
        <w:tc>
          <w:tcPr>
            <w:tcW w:w="518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0"/>
        </w:trPr>
        <w:tc>
          <w:tcPr>
            <w:tcW w:w="6060" w:type="dxa"/>
            <w:vAlign w:val="bottom"/>
          </w:tcPr>
          <w:p>
            <w:pPr>
              <w:spacing w:after="0"/>
              <w:rPr>
                <w:sz w:val="20"/>
                <w:szCs w:val="20"/>
                <w:color w:val="auto"/>
              </w:rPr>
            </w:pPr>
            <w:r>
              <w:rPr>
                <w:rFonts w:ascii="Arial" w:cs="Arial" w:eastAsia="Arial" w:hAnsi="Arial"/>
                <w:sz w:val="18"/>
                <w:szCs w:val="18"/>
                <w:color w:val="auto"/>
              </w:rPr>
              <w:t>August 10, 2023</w:t>
            </w:r>
          </w:p>
        </w:tc>
        <w:tc>
          <w:tcPr>
            <w:tcW w:w="5180" w:type="dxa"/>
            <w:vAlign w:val="bottom"/>
          </w:tcPr>
          <w:p>
            <w:pPr>
              <w:ind w:left="20"/>
              <w:spacing w:after="0"/>
              <w:rPr>
                <w:sz w:val="20"/>
                <w:szCs w:val="20"/>
                <w:color w:val="auto"/>
              </w:rPr>
            </w:pPr>
            <w:r>
              <w:rPr>
                <w:rFonts w:ascii="Arial" w:cs="Arial" w:eastAsia="Arial" w:hAnsi="Arial"/>
                <w:sz w:val="18"/>
                <w:szCs w:val="18"/>
                <w:i w:val="1"/>
                <w:iCs w:val="1"/>
                <w:color w:val="auto"/>
              </w:rPr>
              <w:t>(Principal Accounting and Principal Financial Officer)</w:t>
            </w:r>
          </w:p>
        </w:tc>
      </w:tr>
      <w:tr>
        <w:trPr>
          <w:trHeight w:val="675"/>
        </w:trPr>
        <w:tc>
          <w:tcPr>
            <w:tcW w:w="6060" w:type="dxa"/>
            <w:vAlign w:val="bottom"/>
          </w:tcPr>
          <w:p>
            <w:pPr>
              <w:ind w:left="5540"/>
              <w:spacing w:after="0"/>
              <w:rPr>
                <w:sz w:val="20"/>
                <w:szCs w:val="20"/>
                <w:color w:val="auto"/>
              </w:rPr>
            </w:pPr>
            <w:r>
              <w:rPr>
                <w:rFonts w:ascii="Arial" w:cs="Arial" w:eastAsia="Arial" w:hAnsi="Arial"/>
                <w:sz w:val="18"/>
                <w:szCs w:val="18"/>
                <w:color w:val="auto"/>
              </w:rPr>
              <w:t>29</w:t>
            </w:r>
          </w:p>
        </w:tc>
        <w:tc>
          <w:tcPr>
            <w:tcW w:w="5180" w:type="dxa"/>
            <w:vAlign w:val="bottom"/>
          </w:tcPr>
          <w:p>
            <w:pPr>
              <w:spacing w:after="0"/>
              <w:rPr>
                <w:sz w:val="24"/>
                <w:szCs w:val="24"/>
                <w:color w:val="auto"/>
              </w:rPr>
            </w:pPr>
          </w:p>
        </w:tc>
      </w:tr>
      <w:tr>
        <w:trPr>
          <w:trHeight w:val="128"/>
        </w:trPr>
        <w:tc>
          <w:tcPr>
            <w:tcW w:w="6060" w:type="dxa"/>
            <w:vAlign w:val="bottom"/>
            <w:tcBorders>
              <w:bottom w:val="single" w:sz="8" w:color="auto"/>
            </w:tcBorders>
          </w:tcPr>
          <w:p>
            <w:pPr>
              <w:spacing w:after="0"/>
              <w:rPr>
                <w:sz w:val="11"/>
                <w:szCs w:val="11"/>
                <w:color w:val="auto"/>
              </w:rPr>
            </w:pPr>
          </w:p>
        </w:tc>
        <w:tc>
          <w:tcPr>
            <w:tcW w:w="518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ind w:left="10120"/>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Derek L. Graham, certify that:</w:t>
      </w:r>
    </w:p>
    <w:p>
      <w:pPr>
        <w:spacing w:after="0" w:line="225" w:lineRule="exact"/>
        <w:rPr>
          <w:sz w:val="20"/>
          <w:szCs w:val="20"/>
          <w:color w:val="auto"/>
        </w:rPr>
      </w:pPr>
    </w:p>
    <w:p>
      <w:pPr>
        <w:ind w:left="340" w:hanging="331"/>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of ClearOne, Inc. on Form 10-Q;</w:t>
      </w:r>
    </w:p>
    <w:p>
      <w:pPr>
        <w:spacing w:after="0" w:line="238" w:lineRule="exact"/>
        <w:rPr>
          <w:rFonts w:ascii="Arial" w:cs="Arial" w:eastAsia="Arial" w:hAnsi="Arial"/>
          <w:sz w:val="18"/>
          <w:szCs w:val="18"/>
          <w:color w:val="auto"/>
        </w:rPr>
      </w:pPr>
    </w:p>
    <w:p>
      <w:pPr>
        <w:jc w:val="both"/>
        <w:ind w:left="340" w:hanging="331"/>
        <w:spacing w:after="0" w:line="263"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1"/>
        <w:spacing w:after="0" w:line="277"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340" w:hanging="331"/>
        <w:spacing w:after="0" w:line="263"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680" w:hanging="335"/>
        <w:spacing w:after="0" w:line="263" w:lineRule="auto"/>
        <w:tabs>
          <w:tab w:leader="none" w:pos="68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680" w:hanging="335"/>
        <w:spacing w:after="0" w:line="263" w:lineRule="auto"/>
        <w:tabs>
          <w:tab w:leader="none" w:pos="68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80" w:hanging="335"/>
        <w:spacing w:after="0" w:line="308" w:lineRule="auto"/>
        <w:tabs>
          <w:tab w:leader="none" w:pos="680" w:val="left"/>
        </w:tabs>
        <w:numPr>
          <w:ilvl w:val="1"/>
          <w:numId w:val="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80" w:hanging="335"/>
        <w:spacing w:after="0" w:line="263" w:lineRule="auto"/>
        <w:tabs>
          <w:tab w:leader="none" w:pos="68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3"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80" w:hanging="335"/>
        <w:spacing w:after="0" w:line="277" w:lineRule="auto"/>
        <w:tabs>
          <w:tab w:leader="none" w:pos="680"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80" w:hanging="335"/>
        <w:spacing w:after="0" w:line="277" w:lineRule="auto"/>
        <w:tabs>
          <w:tab w:leader="none" w:pos="68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20" w:type="dxa"/>
            <w:vAlign w:val="bottom"/>
          </w:tcPr>
          <w:p>
            <w:pPr>
              <w:spacing w:after="0"/>
              <w:rPr>
                <w:sz w:val="20"/>
                <w:szCs w:val="20"/>
                <w:color w:val="auto"/>
              </w:rPr>
            </w:pPr>
          </w:p>
        </w:tc>
        <w:tc>
          <w:tcPr>
            <w:tcW w:w="7820" w:type="dxa"/>
            <w:vAlign w:val="bottom"/>
            <w:gridSpan w:val="2"/>
          </w:tcPr>
          <w:p>
            <w:pPr>
              <w:ind w:left="22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Derek L. Graham</w:t>
            </w:r>
          </w:p>
        </w:tc>
      </w:tr>
      <w:tr>
        <w:trPr>
          <w:trHeight w:val="195"/>
        </w:trPr>
        <w:tc>
          <w:tcPr>
            <w:tcW w:w="34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5180" w:type="dxa"/>
            <w:vAlign w:val="bottom"/>
            <w:tcBorders>
              <w:top w:val="single" w:sz="8" w:color="auto"/>
            </w:tcBorders>
          </w:tcPr>
          <w:p>
            <w:pPr>
              <w:ind w:left="20"/>
              <w:spacing w:after="0" w:line="195" w:lineRule="exact"/>
              <w:rPr>
                <w:sz w:val="20"/>
                <w:szCs w:val="20"/>
                <w:color w:val="auto"/>
              </w:rPr>
            </w:pPr>
            <w:r>
              <w:rPr>
                <w:rFonts w:ascii="Arial" w:cs="Arial" w:eastAsia="Arial" w:hAnsi="Arial"/>
                <w:sz w:val="18"/>
                <w:szCs w:val="18"/>
                <w:color w:val="auto"/>
              </w:rPr>
              <w:t>Derek L. Graham</w:t>
            </w:r>
          </w:p>
        </w:tc>
      </w:tr>
      <w:tr>
        <w:trPr>
          <w:trHeight w:val="216"/>
        </w:trPr>
        <w:tc>
          <w:tcPr>
            <w:tcW w:w="34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518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August 10, 2023</w:t>
            </w:r>
          </w:p>
        </w:tc>
        <w:tc>
          <w:tcPr>
            <w:tcW w:w="2640" w:type="dxa"/>
            <w:vAlign w:val="bottom"/>
          </w:tcPr>
          <w:p>
            <w:pPr>
              <w:spacing w:after="0"/>
              <w:rPr>
                <w:sz w:val="20"/>
                <w:szCs w:val="20"/>
                <w:color w:val="auto"/>
              </w:rPr>
            </w:pPr>
          </w:p>
        </w:tc>
        <w:tc>
          <w:tcPr>
            <w:tcW w:w="518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r>
    </w:tbl>
    <w:p>
      <w:pPr>
        <w:sectPr>
          <w:pgSz w:w="11900" w:h="16838" w:orient="portrait"/>
          <w:cols w:equalWidth="0" w:num="1">
            <w:col w:w="11240"/>
          </w:cols>
          <w:pgMar w:left="320" w:top="121"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Narsi Narayanan, certify that:</w:t>
      </w:r>
    </w:p>
    <w:p>
      <w:pPr>
        <w:spacing w:after="0" w:line="225"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of ClearOne, Inc. on Form 10-Q;</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680" w:hanging="335"/>
        <w:spacing w:after="0" w:line="263" w:lineRule="auto"/>
        <w:tabs>
          <w:tab w:leader="none" w:pos="68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680" w:hanging="335"/>
        <w:spacing w:after="0" w:line="263" w:lineRule="auto"/>
        <w:tabs>
          <w:tab w:leader="none" w:pos="68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80" w:hanging="335"/>
        <w:spacing w:after="0" w:line="308" w:lineRule="auto"/>
        <w:tabs>
          <w:tab w:leader="none" w:pos="680" w:val="left"/>
        </w:tabs>
        <w:numPr>
          <w:ilvl w:val="1"/>
          <w:numId w:val="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80" w:hanging="335"/>
        <w:spacing w:after="0" w:line="263" w:lineRule="auto"/>
        <w:tabs>
          <w:tab w:leader="none" w:pos="68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3"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80" w:hanging="335"/>
        <w:spacing w:after="0" w:line="277" w:lineRule="auto"/>
        <w:tabs>
          <w:tab w:leader="none" w:pos="680"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680" w:hanging="335"/>
        <w:spacing w:after="0" w:line="277" w:lineRule="auto"/>
        <w:tabs>
          <w:tab w:leader="none" w:pos="68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60" w:type="dxa"/>
            <w:vAlign w:val="bottom"/>
          </w:tcPr>
          <w:p>
            <w:pPr>
              <w:ind w:left="5620"/>
              <w:spacing w:after="0"/>
              <w:rPr>
                <w:sz w:val="20"/>
                <w:szCs w:val="20"/>
                <w:color w:val="auto"/>
              </w:rPr>
            </w:pPr>
            <w:r>
              <w:rPr>
                <w:rFonts w:ascii="Arial" w:cs="Arial" w:eastAsia="Arial" w:hAnsi="Arial"/>
                <w:sz w:val="18"/>
                <w:szCs w:val="18"/>
                <w:color w:val="auto"/>
              </w:rPr>
              <w:t>By:</w:t>
            </w:r>
          </w:p>
        </w:tc>
        <w:tc>
          <w:tcPr>
            <w:tcW w:w="51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Narsi Narayanan</w:t>
            </w:r>
          </w:p>
        </w:tc>
      </w:tr>
      <w:tr>
        <w:trPr>
          <w:trHeight w:val="195"/>
        </w:trPr>
        <w:tc>
          <w:tcPr>
            <w:tcW w:w="6060" w:type="dxa"/>
            <w:vAlign w:val="bottom"/>
          </w:tcPr>
          <w:p>
            <w:pPr>
              <w:spacing w:after="0"/>
              <w:rPr>
                <w:sz w:val="16"/>
                <w:szCs w:val="16"/>
                <w:color w:val="auto"/>
              </w:rPr>
            </w:pPr>
          </w:p>
        </w:tc>
        <w:tc>
          <w:tcPr>
            <w:tcW w:w="5180" w:type="dxa"/>
            <w:vAlign w:val="bottom"/>
          </w:tcPr>
          <w:p>
            <w:pPr>
              <w:ind w:left="20"/>
              <w:spacing w:after="0" w:line="195" w:lineRule="exact"/>
              <w:rPr>
                <w:sz w:val="20"/>
                <w:szCs w:val="20"/>
                <w:color w:val="auto"/>
              </w:rPr>
            </w:pPr>
            <w:r>
              <w:rPr>
                <w:rFonts w:ascii="Arial" w:cs="Arial" w:eastAsia="Arial" w:hAnsi="Arial"/>
                <w:sz w:val="18"/>
                <w:szCs w:val="18"/>
                <w:color w:val="auto"/>
              </w:rPr>
              <w:t>Narsi Narayanan</w:t>
            </w:r>
          </w:p>
        </w:tc>
      </w:tr>
      <w:tr>
        <w:trPr>
          <w:trHeight w:val="216"/>
        </w:trPr>
        <w:tc>
          <w:tcPr>
            <w:tcW w:w="6060" w:type="dxa"/>
            <w:vAlign w:val="bottom"/>
          </w:tcPr>
          <w:p>
            <w:pPr>
              <w:spacing w:after="0"/>
              <w:rPr>
                <w:sz w:val="18"/>
                <w:szCs w:val="18"/>
                <w:color w:val="auto"/>
              </w:rPr>
            </w:pPr>
          </w:p>
        </w:tc>
        <w:tc>
          <w:tcPr>
            <w:tcW w:w="518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0"/>
        </w:trPr>
        <w:tc>
          <w:tcPr>
            <w:tcW w:w="6060" w:type="dxa"/>
            <w:vAlign w:val="bottom"/>
          </w:tcPr>
          <w:p>
            <w:pPr>
              <w:spacing w:after="0"/>
              <w:rPr>
                <w:sz w:val="20"/>
                <w:szCs w:val="20"/>
                <w:color w:val="auto"/>
              </w:rPr>
            </w:pPr>
            <w:r>
              <w:rPr>
                <w:rFonts w:ascii="Arial" w:cs="Arial" w:eastAsia="Arial" w:hAnsi="Arial"/>
                <w:sz w:val="18"/>
                <w:szCs w:val="18"/>
                <w:color w:val="auto"/>
              </w:rPr>
              <w:t>August 10, 2023</w:t>
            </w:r>
          </w:p>
        </w:tc>
        <w:tc>
          <w:tcPr>
            <w:tcW w:w="5180" w:type="dxa"/>
            <w:vAlign w:val="bottom"/>
          </w:tcPr>
          <w:p>
            <w:pPr>
              <w:ind w:left="20"/>
              <w:spacing w:after="0"/>
              <w:rPr>
                <w:sz w:val="20"/>
                <w:szCs w:val="20"/>
                <w:color w:val="auto"/>
              </w:rPr>
            </w:pPr>
            <w:r>
              <w:rPr>
                <w:rFonts w:ascii="Arial" w:cs="Arial" w:eastAsia="Arial" w:hAnsi="Arial"/>
                <w:sz w:val="18"/>
                <w:szCs w:val="18"/>
                <w:i w:val="1"/>
                <w:iCs w:val="1"/>
                <w:color w:val="auto"/>
              </w:rPr>
              <w:t>(Principal Accounting and Principal Financial Officer)</w:t>
            </w:r>
          </w:p>
        </w:tc>
      </w:tr>
    </w:tbl>
    <w:p>
      <w:pPr>
        <w:sectPr>
          <w:pgSz w:w="11900" w:h="16838" w:orient="portrait"/>
          <w:cols w:equalWidth="0" w:num="1">
            <w:col w:w="11240"/>
          </w:cols>
          <w:pgMar w:left="320" w:top="121"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 Derek L. Graham, certify, to my best knowledge and belief, pursuant to 18 U.S.C. Section 1350, as adopted pursuant to Section 906 of the Sarbanes-Oxley Act of 2002, that the Quarterly Report of ClearOne, Inc. on Form 10-Q for the quarter ended June 30, 2023 fully complies with the requirements of Section 13(a) or 15(d) of the Securities Exchange Act of 1934 and that information contained in such Quarterly Report on Form 10-Q fairly presents, in all material respects, the financial condition and results of operations of ClearOne, Inc.</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20" w:type="dxa"/>
            <w:vAlign w:val="bottom"/>
          </w:tcPr>
          <w:p>
            <w:pPr>
              <w:spacing w:after="0"/>
              <w:rPr>
                <w:sz w:val="20"/>
                <w:szCs w:val="20"/>
                <w:color w:val="auto"/>
              </w:rPr>
            </w:pPr>
          </w:p>
        </w:tc>
        <w:tc>
          <w:tcPr>
            <w:tcW w:w="7820" w:type="dxa"/>
            <w:vAlign w:val="bottom"/>
            <w:gridSpan w:val="2"/>
          </w:tcPr>
          <w:p>
            <w:pPr>
              <w:ind w:left="22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Derek L. Graham</w:t>
            </w:r>
          </w:p>
        </w:tc>
      </w:tr>
      <w:tr>
        <w:trPr>
          <w:trHeight w:val="195"/>
        </w:trPr>
        <w:tc>
          <w:tcPr>
            <w:tcW w:w="34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5180" w:type="dxa"/>
            <w:vAlign w:val="bottom"/>
            <w:tcBorders>
              <w:top w:val="single" w:sz="8" w:color="auto"/>
            </w:tcBorders>
          </w:tcPr>
          <w:p>
            <w:pPr>
              <w:ind w:left="20"/>
              <w:spacing w:after="0" w:line="195" w:lineRule="exact"/>
              <w:rPr>
                <w:sz w:val="20"/>
                <w:szCs w:val="20"/>
                <w:color w:val="auto"/>
              </w:rPr>
            </w:pPr>
            <w:r>
              <w:rPr>
                <w:rFonts w:ascii="Arial" w:cs="Arial" w:eastAsia="Arial" w:hAnsi="Arial"/>
                <w:sz w:val="18"/>
                <w:szCs w:val="18"/>
                <w:color w:val="auto"/>
              </w:rPr>
              <w:t>Derek L. Graham</w:t>
            </w:r>
          </w:p>
        </w:tc>
      </w:tr>
      <w:tr>
        <w:trPr>
          <w:trHeight w:val="216"/>
        </w:trPr>
        <w:tc>
          <w:tcPr>
            <w:tcW w:w="34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518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August 10, 2023</w:t>
            </w:r>
          </w:p>
        </w:tc>
        <w:tc>
          <w:tcPr>
            <w:tcW w:w="2640" w:type="dxa"/>
            <w:vAlign w:val="bottom"/>
          </w:tcPr>
          <w:p>
            <w:pPr>
              <w:spacing w:after="0"/>
              <w:rPr>
                <w:sz w:val="20"/>
                <w:szCs w:val="20"/>
                <w:color w:val="auto"/>
              </w:rPr>
            </w:pPr>
          </w:p>
        </w:tc>
        <w:tc>
          <w:tcPr>
            <w:tcW w:w="518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r>
    </w:tbl>
    <w:p>
      <w:pPr>
        <w:sectPr>
          <w:pgSz w:w="11900" w:h="16838" w:orient="portrait"/>
          <w:cols w:equalWidth="0" w:num="1">
            <w:col w:w="11240"/>
          </w:cols>
          <w:pgMar w:left="320" w:top="121"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 Narsi Narayanan, certify, to my best knowledge and belief, pursuant to 18 U.S.C. Section 1350, as adopted pursuant to Section 906 of the Sarbanes-Oxley Act of 2002, that the Quarterly Report of ClearOne, Inc. on Form 10-Q for the quarter ended June 30, 2023, fully complies with the requirements of Section 13(a) or 15(d) of the Securities Exchange Act of 1934 and that information contained in such Quarterly Report on Form 10-Q fairly presents, in all material respects, the financial condition and results of operations of ClearOne, Inc.</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60" w:type="dxa"/>
            <w:vAlign w:val="bottom"/>
          </w:tcPr>
          <w:p>
            <w:pPr>
              <w:ind w:left="5620"/>
              <w:spacing w:after="0"/>
              <w:rPr>
                <w:sz w:val="20"/>
                <w:szCs w:val="20"/>
                <w:color w:val="auto"/>
              </w:rPr>
            </w:pPr>
            <w:r>
              <w:rPr>
                <w:rFonts w:ascii="Arial" w:cs="Arial" w:eastAsia="Arial" w:hAnsi="Arial"/>
                <w:sz w:val="18"/>
                <w:szCs w:val="18"/>
                <w:color w:val="auto"/>
              </w:rPr>
              <w:t>By:</w:t>
            </w:r>
          </w:p>
        </w:tc>
        <w:tc>
          <w:tcPr>
            <w:tcW w:w="51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Narsi Narayanan</w:t>
            </w:r>
          </w:p>
        </w:tc>
      </w:tr>
      <w:tr>
        <w:trPr>
          <w:trHeight w:val="195"/>
        </w:trPr>
        <w:tc>
          <w:tcPr>
            <w:tcW w:w="6060" w:type="dxa"/>
            <w:vAlign w:val="bottom"/>
          </w:tcPr>
          <w:p>
            <w:pPr>
              <w:spacing w:after="0"/>
              <w:rPr>
                <w:sz w:val="16"/>
                <w:szCs w:val="16"/>
                <w:color w:val="auto"/>
              </w:rPr>
            </w:pPr>
          </w:p>
        </w:tc>
        <w:tc>
          <w:tcPr>
            <w:tcW w:w="5180" w:type="dxa"/>
            <w:vAlign w:val="bottom"/>
          </w:tcPr>
          <w:p>
            <w:pPr>
              <w:ind w:left="20"/>
              <w:spacing w:after="0" w:line="195" w:lineRule="exact"/>
              <w:rPr>
                <w:sz w:val="20"/>
                <w:szCs w:val="20"/>
                <w:color w:val="auto"/>
              </w:rPr>
            </w:pPr>
            <w:r>
              <w:rPr>
                <w:rFonts w:ascii="Arial" w:cs="Arial" w:eastAsia="Arial" w:hAnsi="Arial"/>
                <w:sz w:val="18"/>
                <w:szCs w:val="18"/>
                <w:color w:val="auto"/>
              </w:rPr>
              <w:t>Narsi Narayanan</w:t>
            </w:r>
          </w:p>
        </w:tc>
      </w:tr>
      <w:tr>
        <w:trPr>
          <w:trHeight w:val="216"/>
        </w:trPr>
        <w:tc>
          <w:tcPr>
            <w:tcW w:w="6060" w:type="dxa"/>
            <w:vAlign w:val="bottom"/>
          </w:tcPr>
          <w:p>
            <w:pPr>
              <w:spacing w:after="0"/>
              <w:rPr>
                <w:sz w:val="18"/>
                <w:szCs w:val="18"/>
                <w:color w:val="auto"/>
              </w:rPr>
            </w:pPr>
          </w:p>
        </w:tc>
        <w:tc>
          <w:tcPr>
            <w:tcW w:w="518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0"/>
        </w:trPr>
        <w:tc>
          <w:tcPr>
            <w:tcW w:w="6060" w:type="dxa"/>
            <w:vAlign w:val="bottom"/>
          </w:tcPr>
          <w:p>
            <w:pPr>
              <w:spacing w:after="0"/>
              <w:rPr>
                <w:sz w:val="20"/>
                <w:szCs w:val="20"/>
                <w:color w:val="auto"/>
              </w:rPr>
            </w:pPr>
            <w:r>
              <w:rPr>
                <w:rFonts w:ascii="Arial" w:cs="Arial" w:eastAsia="Arial" w:hAnsi="Arial"/>
                <w:sz w:val="18"/>
                <w:szCs w:val="18"/>
                <w:color w:val="auto"/>
              </w:rPr>
              <w:t>August 10, 2023</w:t>
            </w:r>
          </w:p>
        </w:tc>
        <w:tc>
          <w:tcPr>
            <w:tcW w:w="5180" w:type="dxa"/>
            <w:vAlign w:val="bottom"/>
          </w:tcPr>
          <w:p>
            <w:pPr>
              <w:ind w:left="20"/>
              <w:spacing w:after="0"/>
              <w:rPr>
                <w:sz w:val="20"/>
                <w:szCs w:val="20"/>
                <w:color w:val="auto"/>
              </w:rPr>
            </w:pPr>
            <w:r>
              <w:rPr>
                <w:rFonts w:ascii="Arial" w:cs="Arial" w:eastAsia="Arial" w:hAnsi="Arial"/>
                <w:sz w:val="18"/>
                <w:szCs w:val="18"/>
                <w:i w:val="1"/>
                <w:iCs w:val="1"/>
                <w:color w:val="auto"/>
              </w:rPr>
              <w:t>(Principal Accounting and Principal Financial Officer)</w:t>
            </w: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decimal"/>
      <w:start w:val="1"/>
    </w:lvl>
    <w:lvl w:ilvl="1">
      <w:lvlJc w:val="left"/>
      <w:lvlText w:val="%2)"/>
      <w:numFmt w:val="lowerLetter"/>
      <w:start w:val="1"/>
    </w:lvl>
  </w:abstractNum>
  <w:abstractNum w:abstractNumId="8">
    <w:nsid w:val="5BD062C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2023-08-10T12:25:10Z</dcterms:created>
  <dcterms:modified xsi:type="dcterms:W3CDTF">2023-08-10T12:25:10Z</dcterms:modified>
</cp:coreProperties>
</file>