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February 5, 2010</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jc w:val="right"/>
              <w:ind w:right="2370"/>
              <w:spacing w:after="0"/>
              <w:rPr>
                <w:sz w:val="20"/>
                <w:szCs w:val="20"/>
                <w:color w:val="auto"/>
              </w:rPr>
            </w:pPr>
            <w:r>
              <w:rPr>
                <w:rFonts w:ascii="Arial" w:cs="Arial" w:eastAsia="Arial" w:hAnsi="Arial"/>
                <w:sz w:val="18"/>
                <w:szCs w:val="18"/>
                <w:b w:val="1"/>
                <w:bCs w:val="1"/>
                <w:color w:val="auto"/>
              </w:rPr>
              <w:t>001-33660</w:t>
            </w:r>
          </w:p>
        </w:tc>
        <w:tc>
          <w:tcPr>
            <w:tcW w:w="5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87-0398877</w:t>
            </w:r>
          </w:p>
        </w:tc>
        <w:tc>
          <w:tcPr>
            <w:tcW w:w="0" w:type="dxa"/>
            <w:vAlign w:val="bottom"/>
          </w:tcPr>
          <w:p>
            <w:pPr>
              <w:spacing w:after="0"/>
              <w:rPr>
                <w:sz w:val="1"/>
                <w:szCs w:val="1"/>
                <w:color w:val="auto"/>
              </w:rPr>
            </w:pPr>
          </w:p>
        </w:tc>
      </w:tr>
      <w:tr>
        <w:trPr>
          <w:trHeight w:val="21"/>
        </w:trPr>
        <w:tc>
          <w:tcPr>
            <w:tcW w:w="5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580" w:type="dxa"/>
            <w:vAlign w:val="bottom"/>
            <w:vMerge w:val="continue"/>
          </w:tcPr>
          <w:p>
            <w:pPr>
              <w:spacing w:after="0"/>
              <w:rPr>
                <w:sz w:val="16"/>
                <w:szCs w:val="16"/>
                <w:color w:val="auto"/>
              </w:rPr>
            </w:pPr>
          </w:p>
        </w:tc>
        <w:tc>
          <w:tcPr>
            <w:tcW w:w="514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r>
        <w:trPr>
          <w:trHeight w:val="441"/>
        </w:trPr>
        <w:tc>
          <w:tcPr>
            <w:tcW w:w="5700" w:type="dxa"/>
            <w:vAlign w:val="bottom"/>
          </w:tcPr>
          <w:p>
            <w:pPr>
              <w:jc w:val="center"/>
              <w:ind w:left="2510"/>
              <w:spacing w:after="0"/>
              <w:rPr>
                <w:sz w:val="20"/>
                <w:szCs w:val="20"/>
                <w:color w:val="auto"/>
              </w:rPr>
            </w:pPr>
            <w:r>
              <w:rPr>
                <w:rFonts w:ascii="Arial" w:cs="Arial" w:eastAsia="Arial" w:hAnsi="Arial"/>
                <w:sz w:val="18"/>
                <w:szCs w:val="18"/>
                <w:b w:val="1"/>
                <w:bCs w:val="1"/>
                <w:color w:val="auto"/>
                <w:w w:val="90"/>
              </w:rPr>
              <w:t>5225 Wiley Post Way, Suite 500</w:t>
            </w: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0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Salt Lake City, Utah</w:t>
            </w:r>
          </w:p>
        </w:tc>
        <w:tc>
          <w:tcPr>
            <w:tcW w:w="572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84116</w:t>
            </w:r>
          </w:p>
        </w:tc>
        <w:tc>
          <w:tcPr>
            <w:tcW w:w="0" w:type="dxa"/>
            <w:vAlign w:val="bottom"/>
          </w:tcPr>
          <w:p>
            <w:pPr>
              <w:spacing w:after="0"/>
              <w:rPr>
                <w:sz w:val="1"/>
                <w:szCs w:val="1"/>
                <w:color w:val="auto"/>
              </w:rPr>
            </w:pPr>
          </w:p>
        </w:tc>
      </w:tr>
      <w:tr>
        <w:trPr>
          <w:trHeight w:val="21"/>
        </w:trPr>
        <w:tc>
          <w:tcPr>
            <w:tcW w:w="5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700" w:type="dxa"/>
            <w:vAlign w:val="bottom"/>
          </w:tcPr>
          <w:p>
            <w:pPr>
              <w:jc w:val="center"/>
              <w:ind w:left="251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143"/>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996"/>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3, 2009, ClearOne Communications, Inc. (“ClearOne”) entered into and closed the Merger Agreement with Alta-Wasatch Acquisition Corporation (“Alta-Wasatch”), our wholly owned subsidiary and NetStreams, Inc (“NetStreams”). Pursuant to the Merger Agreement, Alta-Wasatch, merged into NetStreams (the “Merger”).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Merger on November 3, 2009, we entered into the Joinder to the Loan and Security Agreement (the “Joinder”) and the Seventh Amendment to the Loan and Security Agreement (the “Seventh Amendment”).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Joinder, we entered into the Loan and Security Agreement as a co-borrower and assumed certain obligations under the Loan and Security Agreement. We were not required to pledge additional security interests to the Bank. The existing collateral arrangement with respect to Borrowers’ assets continues to secure the obligations of the parties under the Loan and Security Agreement. In connection therewith, NetSteams entered into the Seventh Amendment which obligates us to the Loan and Security Agreement in the amount of $2,000,000 and payment of Interest (as defined in the Loan and Security Agreement) under the Formula Revolving Line (as defined in the Loan and Security Agreement) shall be due and payable on the first calendar day of each month during the term of the Loan and Security Agreement.</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22, 2009 ClearOne along with NetStreams executed the Eighth Amendment to Loan and Security Agreement (“Eighth Amendment”) with Square 1 Bank. The effect of the agreement is to extend the forbearance period from December 15, 2009 to January 15, 2010.</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01, 2010 ClearOne along with NetStreams executed the Ninth Amendment to Loan and Security Agreement (“Ninth Amendment”) with Square 1 Bank. The effect of the agreement is to extend the forbearance period from January 15, 2010 to February 15, 2010.</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descriptions of the Joinder, Seventh Amendment, Eighth Amendment and Ninth Amendment are only summaries and are qualified in their entirety by reference to the full text of the Joinder, Seventh Amendment, Eighth amendment and Ninth Amendment, which are attached hereto as 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60"/>
              <w:spacing w:after="0"/>
              <w:rPr>
                <w:sz w:val="20"/>
                <w:szCs w:val="20"/>
                <w:color w:val="auto"/>
              </w:rPr>
            </w:pPr>
            <w:r>
              <w:rPr>
                <w:rFonts w:ascii="Arial" w:cs="Arial" w:eastAsia="Arial" w:hAnsi="Arial"/>
                <w:sz w:val="18"/>
                <w:szCs w:val="18"/>
                <w:b w:val="1"/>
                <w:bCs w:val="1"/>
                <w:color w:val="auto"/>
              </w:rPr>
              <w:t>Item 9.01</w:t>
            </w:r>
          </w:p>
        </w:tc>
        <w:tc>
          <w:tcPr>
            <w:tcW w:w="460" w:type="dxa"/>
            <w:vAlign w:val="bottom"/>
          </w:tcPr>
          <w:p>
            <w:pPr>
              <w:spacing w:after="0"/>
              <w:rPr>
                <w:sz w:val="20"/>
                <w:szCs w:val="20"/>
                <w:color w:val="auto"/>
              </w:rPr>
            </w:pPr>
          </w:p>
        </w:tc>
        <w:tc>
          <w:tcPr>
            <w:tcW w:w="9700" w:type="dxa"/>
            <w:vAlign w:val="bottom"/>
          </w:tcPr>
          <w:p>
            <w:pPr>
              <w:jc w:val="right"/>
              <w:ind w:right="6930"/>
              <w:spacing w:after="0"/>
              <w:rPr>
                <w:sz w:val="20"/>
                <w:szCs w:val="20"/>
                <w:color w:val="auto"/>
              </w:rPr>
            </w:pPr>
            <w:r>
              <w:rPr>
                <w:rFonts w:ascii="Arial" w:cs="Arial" w:eastAsia="Arial" w:hAnsi="Arial"/>
                <w:sz w:val="18"/>
                <w:szCs w:val="18"/>
                <w:b w:val="1"/>
                <w:bCs w:val="1"/>
                <w:color w:val="auto"/>
                <w:w w:val="91"/>
              </w:rPr>
              <w:t>Financial Statements and Exhibits</w:t>
            </w:r>
          </w:p>
        </w:tc>
      </w:tr>
      <w:tr>
        <w:trPr>
          <w:trHeight w:val="414"/>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6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60" w:type="dxa"/>
            <w:vAlign w:val="bottom"/>
          </w:tcPr>
          <w:p>
            <w:pPr>
              <w:spacing w:after="0"/>
              <w:rPr>
                <w:sz w:val="20"/>
                <w:szCs w:val="20"/>
                <w:color w:val="auto"/>
              </w:rPr>
            </w:pPr>
          </w:p>
        </w:tc>
        <w:tc>
          <w:tcPr>
            <w:tcW w:w="9700" w:type="dxa"/>
            <w:vAlign w:val="bottom"/>
            <w:tcBorders>
              <w:bottom w:val="single" w:sz="8" w:color="auto"/>
            </w:tcBorders>
          </w:tcPr>
          <w:p>
            <w:pPr>
              <w:jc w:val="right"/>
              <w:ind w:right="433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700" w:type="dxa"/>
            <w:vAlign w:val="bottom"/>
            <w:tcBorders>
              <w:bottom w:val="single" w:sz="8" w:color="auto"/>
            </w:tcBorders>
          </w:tcPr>
          <w:p>
            <w:pPr>
              <w:spacing w:after="0" w:line="20" w:lineRule="exact"/>
              <w:rPr>
                <w:sz w:val="1"/>
                <w:szCs w:val="1"/>
                <w:color w:val="auto"/>
              </w:rPr>
            </w:pPr>
          </w:p>
        </w:tc>
      </w:tr>
      <w:tr>
        <w:trPr>
          <w:trHeight w:val="411"/>
        </w:trPr>
        <w:tc>
          <w:tcPr>
            <w:tcW w:w="12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6"/>
              </w:rPr>
              <w:t>Agreement and Plan of Merger, dated as of November 3, 2009, by and among ClearOne Communications, Inc., Alta-Wasatch</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2"/>
              </w:rPr>
              <w:t>Acquisition Corporation, NetStreams, Inc., Austin Ventures VIII, L.P., and Kevin A. Reinis. Incorporated by reference to our Form 8-</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K filed on Nov 9, 2009</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0"/>
              </w:rPr>
              <w:t>Joinder to Loan and Security Agreement, dated as of November 3, 2009, by and between ClearOne Communications, Inc. and Square</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1 Bank. Incorporated by reference to our Form 8-K filed on Nov 9, 2009</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3"/>
              </w:rPr>
              <w:t>Seventh Amendment to Loan and Security Agreement, dated as of November 3, 2009, by and between Square 1 Bank, ClearOne</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5"/>
              </w:rPr>
              <w:t>Communications, Inc., NetStreams, Inc., and NetStreams, LLC. Incorporated by reference to our Form 8-K filed on Nov 9, 2009</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4"/>
              </w:rPr>
              <w:t>Eighth Amendment to Loan and Security Agreement, dated as of December 15, 2009, by and between Square 1 Bank, ClearOne</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4"/>
              </w:rPr>
              <w:t>Communications, Inc., NetStreams, Inc., and NetStreams, LLC. Incorporated by reference to our Form 8-K filed on Dec 29, 2009</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6"/>
              </w:rPr>
              <w:t>Ninth Amendment to Loan and Security Agreement, dated as of January 13, 2010, by and between Square 1 Bank, ClearOne</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Communications, Inc., NetStreams, Inc., and NetStreams, LLC.</w:t>
            </w:r>
          </w:p>
        </w:tc>
      </w:tr>
      <w:tr>
        <w:trPr>
          <w:trHeight w:val="675"/>
        </w:trPr>
        <w:tc>
          <w:tcPr>
            <w:tcW w:w="1260" w:type="dxa"/>
            <w:vAlign w:val="bottom"/>
          </w:tcPr>
          <w:p>
            <w:pPr>
              <w:spacing w:after="0"/>
              <w:rPr>
                <w:sz w:val="24"/>
                <w:szCs w:val="24"/>
                <w:color w:val="auto"/>
              </w:rPr>
            </w:pPr>
          </w:p>
        </w:tc>
        <w:tc>
          <w:tcPr>
            <w:tcW w:w="10160" w:type="dxa"/>
            <w:vAlign w:val="bottom"/>
            <w:gridSpan w:val="2"/>
          </w:tcPr>
          <w:p>
            <w:pPr>
              <w:jc w:val="right"/>
              <w:ind w:right="5570"/>
              <w:spacing w:after="0"/>
              <w:rPr>
                <w:sz w:val="20"/>
                <w:szCs w:val="20"/>
                <w:color w:val="auto"/>
              </w:rPr>
            </w:pPr>
            <w:r>
              <w:rPr>
                <w:rFonts w:ascii="Arial" w:cs="Arial" w:eastAsia="Arial" w:hAnsi="Arial"/>
                <w:sz w:val="18"/>
                <w:szCs w:val="18"/>
                <w:color w:val="auto"/>
              </w:rPr>
              <w:t>2</w:t>
            </w:r>
          </w:p>
        </w:tc>
      </w:tr>
      <w:tr>
        <w:trPr>
          <w:trHeight w:val="1388"/>
        </w:trPr>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260" w:val="left"/>
          <w:tab w:leader="none" w:pos="5100" w:val="left"/>
        </w:tabs>
        <w:rPr>
          <w:sz w:val="20"/>
          <w:szCs w:val="20"/>
          <w:color w:val="auto"/>
        </w:rPr>
      </w:pPr>
      <w:r>
        <w:rPr>
          <w:rFonts w:ascii="Arial" w:cs="Arial" w:eastAsia="Arial" w:hAnsi="Arial"/>
          <w:sz w:val="18"/>
          <w:szCs w:val="18"/>
          <w:color w:val="auto"/>
        </w:rPr>
        <w:t>Date: February 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14605</wp:posOffset>
            </wp:positionV>
            <wp:extent cx="4004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-130175</wp:posOffset>
            </wp:positionV>
            <wp:extent cx="4004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Vice President - Finance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15" w:right="4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10.26</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EIGHTH AMENDMENT TO FORBEARANCE AGREEMENT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NINTH AMENDMENT TO LOAN AND SECURITY AGREEMENT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Eighth Amendment to Forbearance Agreement and Ninth Amendment to Loan and Security Agreement (the “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 is entered into as of January 13, 2010, by and between SQUARE 1 BANK (the “ </w:t>
      </w:r>
      <w:r>
        <w:rPr>
          <w:rFonts w:ascii="Arial" w:cs="Arial" w:eastAsia="Arial" w:hAnsi="Arial"/>
          <w:sz w:val="18"/>
          <w:szCs w:val="18"/>
          <w:b w:val="1"/>
          <w:bCs w:val="1"/>
          <w:i w:val="1"/>
          <w:iCs w:val="1"/>
          <w:color w:val="auto"/>
        </w:rPr>
        <w:t>Bank</w:t>
      </w:r>
      <w:r>
        <w:rPr>
          <w:rFonts w:ascii="Arial" w:cs="Arial" w:eastAsia="Arial" w:hAnsi="Arial"/>
          <w:sz w:val="18"/>
          <w:szCs w:val="18"/>
          <w:color w:val="auto"/>
        </w:rPr>
        <w:t xml:space="preserve"> ”) and CLEARONE COMMUNICATIONS, INC., NETSTREAMS, INC. and NETSTREAMS, LLC (collectively, “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 </w:t>
      </w:r>
      <w:r>
        <w:rPr>
          <w:rFonts w:ascii="Arial" w:cs="Arial" w:eastAsia="Arial" w:hAnsi="Arial"/>
          <w:sz w:val="18"/>
          <w:szCs w:val="18"/>
          <w:i w:val="1"/>
          <w:iCs w:val="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Borrower and Bank are parties to that certain Loan and Security Agreement dated as of November 12, 2008 (as amended from time to time, with related documents, including that certain Joinder to Loan and Security Agreement dated as of November 3, 2009,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xml:space="preserve">”). Borrower and Bank are parties to that certain Forbearance Agreement and First Amendment to Loan and Security Agreement, dated as of March 31, 2009 (as amended from time to time, the “ </w:t>
      </w:r>
      <w:r>
        <w:rPr>
          <w:rFonts w:ascii="Arial" w:cs="Arial" w:eastAsia="Arial" w:hAnsi="Arial"/>
          <w:sz w:val="18"/>
          <w:szCs w:val="18"/>
          <w:b w:val="1"/>
          <w:bCs w:val="1"/>
          <w:i w:val="1"/>
          <w:iCs w:val="1"/>
          <w:color w:val="auto"/>
        </w:rPr>
        <w:t>Forbearance Agreement</w:t>
      </w:r>
      <w:r>
        <w:rPr>
          <w:rFonts w:ascii="Arial" w:cs="Arial" w:eastAsia="Arial" w:hAnsi="Arial"/>
          <w:sz w:val="18"/>
          <w:szCs w:val="18"/>
          <w:color w:val="auto"/>
        </w:rPr>
        <w:t xml:space="preserve"> ”). The parties desire to amend the Loan Agreement and the Forbearance Agreement in accordance with the terms of this Amendment.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left="460" w:right="20" w:hanging="247"/>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Bank hereby waives Borrower’s expected violation of the monthly reporting requirements, as set forth in Section 6.2(a) and Section 6.2 (b) of the Loan Agreement, for the reporting period ended December 31, 2009.</w:t>
      </w:r>
    </w:p>
    <w:p>
      <w:pPr>
        <w:spacing w:after="0" w:line="197" w:lineRule="exact"/>
        <w:rPr>
          <w:rFonts w:ascii="Arial" w:cs="Arial" w:eastAsia="Arial" w:hAnsi="Arial"/>
          <w:sz w:val="18"/>
          <w:szCs w:val="18"/>
          <w:color w:val="auto"/>
        </w:rPr>
      </w:pPr>
    </w:p>
    <w:p>
      <w:pPr>
        <w:ind w:left="460" w:hanging="24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Section 3 of the Forbearance Agreement is hereby amended and restated, in its entirety, as follows:</w:t>
      </w:r>
    </w:p>
    <w:p>
      <w:pPr>
        <w:spacing w:after="0" w:line="252" w:lineRule="exact"/>
        <w:rPr>
          <w:rFonts w:ascii="Arial" w:cs="Arial" w:eastAsia="Arial" w:hAnsi="Arial"/>
          <w:sz w:val="18"/>
          <w:szCs w:val="18"/>
          <w:color w:val="auto"/>
        </w:rPr>
      </w:pPr>
    </w:p>
    <w:p>
      <w:pPr>
        <w:jc w:val="both"/>
        <w:ind w:left="1420" w:right="20" w:hanging="710"/>
        <w:spacing w:after="0" w:line="253" w:lineRule="auto"/>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Forbearance . Borrower acknowledges the existence of the Existing Default under the Loan Agreement. Borrower further acknowledges and agrees that Bank is not in any way agreeing to waive such Existing Default as a result of this Agreement or the performance by the parties of their respective obligations hereunder or thereunder. Subject to the conditions contained herein and performance by Borrower of all of the terms of this Agreement and the Loan Agreement after the date hereof, Bank shall, until the earliest of (i) Feburary 15, 2010, or (ii) such date that there shall occur any further Event of Default (the “Forbearance Period”), forbear from exercising any remedies that it may have against Borrower as a result of the occurrence of the Existing Default. Such forbearance does not apply to any other Event of Default or other failure by Borrower to perform in accordance with the Loan Agreement or this Agreement. This forbearance shall not be deemed a continuing waiver or forbearance with respect to any Event of Default of a similar nature that may occur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-2540</wp:posOffset>
            </wp:positionV>
            <wp:extent cx="63544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44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1487170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5" w:name="page6"/>
    <w:bookmarkEnd w:id="5"/>
    <w:p>
      <w:pPr>
        <w:ind w:left="1087" w:right="2320" w:hanging="1087"/>
        <w:spacing w:after="0" w:line="516" w:lineRule="auto"/>
        <w:tabs>
          <w:tab w:leader="none" w:pos="25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following definition in Exhibit A to the Loan Agreement is hereby amended and restated, in its entirety, as follows: “ </w:t>
      </w:r>
      <w:r>
        <w:rPr>
          <w:rFonts w:ascii="Arial" w:cs="Arial" w:eastAsia="Arial" w:hAnsi="Arial"/>
          <w:sz w:val="18"/>
          <w:szCs w:val="18"/>
          <w:b w:val="1"/>
          <w:bCs w:val="1"/>
          <w:color w:val="auto"/>
        </w:rPr>
        <w:t>Term Loan Maturity Date</w:t>
      </w:r>
      <w:r>
        <w:rPr>
          <w:rFonts w:ascii="Arial" w:cs="Arial" w:eastAsia="Arial" w:hAnsi="Arial"/>
          <w:sz w:val="18"/>
          <w:szCs w:val="18"/>
          <w:color w:val="auto"/>
        </w:rPr>
        <w:t xml:space="preserve"> ” means February 15, 2010.</w:t>
      </w:r>
    </w:p>
    <w:p>
      <w:pPr>
        <w:spacing w:after="0" w:line="1" w:lineRule="exact"/>
        <w:rPr>
          <w:rFonts w:ascii="Arial" w:cs="Arial" w:eastAsia="Arial" w:hAnsi="Arial"/>
          <w:sz w:val="18"/>
          <w:szCs w:val="18"/>
          <w:color w:val="auto"/>
        </w:rPr>
      </w:pPr>
    </w:p>
    <w:p>
      <w:pPr>
        <w:jc w:val="both"/>
        <w:ind w:left="247" w:hanging="247"/>
        <w:spacing w:after="0" w:line="255" w:lineRule="auto"/>
        <w:tabs>
          <w:tab w:leader="none" w:pos="247"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Loan Agreement or the Forbearance Agreement. The Loan Agreement or the Forbearance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Loan Agreement or Forbearance Agreement, as in effect prior to the date hereof. Borrower ratifies and reaffirms the continuing effectiveness of all agreements entered into in connection with the Loan Agreement or Forbearance Agreement.</w:t>
      </w:r>
    </w:p>
    <w:p>
      <w:pPr>
        <w:spacing w:after="0" w:line="193" w:lineRule="exact"/>
        <w:rPr>
          <w:rFonts w:ascii="Arial" w:cs="Arial" w:eastAsia="Arial" w:hAnsi="Arial"/>
          <w:sz w:val="18"/>
          <w:szCs w:val="18"/>
          <w:color w:val="auto"/>
        </w:rPr>
      </w:pPr>
    </w:p>
    <w:p>
      <w:pPr>
        <w:ind w:left="247" w:hanging="247"/>
        <w:spacing w:after="0" w:line="277" w:lineRule="auto"/>
        <w:tabs>
          <w:tab w:leader="none" w:pos="247" w:val="left"/>
        </w:tabs>
        <w:numPr>
          <w:ilvl w:val="0"/>
          <w:numId w:val="2"/>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Loan Agreement or Forbearance Agreement are true and correct as of the date of this Amendment.</w:t>
      </w:r>
    </w:p>
    <w:p>
      <w:pPr>
        <w:spacing w:after="0" w:line="170" w:lineRule="exact"/>
        <w:rPr>
          <w:rFonts w:ascii="Arial" w:cs="Arial" w:eastAsia="Arial" w:hAnsi="Arial"/>
          <w:sz w:val="18"/>
          <w:szCs w:val="18"/>
          <w:color w:val="auto"/>
        </w:rPr>
      </w:pPr>
    </w:p>
    <w:p>
      <w:pPr>
        <w:ind w:left="247" w:hanging="247"/>
        <w:spacing w:after="0" w:line="277" w:lineRule="auto"/>
        <w:tabs>
          <w:tab w:leader="none" w:pos="24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70" w:lineRule="exact"/>
        <w:rPr>
          <w:rFonts w:ascii="Arial" w:cs="Arial" w:eastAsia="Arial" w:hAnsi="Arial"/>
          <w:sz w:val="18"/>
          <w:szCs w:val="18"/>
          <w:color w:val="auto"/>
        </w:rPr>
      </w:pPr>
    </w:p>
    <w:p>
      <w:pPr>
        <w:ind w:left="247" w:hanging="247"/>
        <w:spacing w:after="0"/>
        <w:tabs>
          <w:tab w:leader="none" w:pos="247"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36" w:lineRule="exact"/>
        <w:rPr>
          <w:rFonts w:ascii="Arial" w:cs="Arial" w:eastAsia="Arial" w:hAnsi="Arial"/>
          <w:sz w:val="17"/>
          <w:szCs w:val="17"/>
          <w:color w:val="auto"/>
        </w:rPr>
      </w:pPr>
    </w:p>
    <w:p>
      <w:pPr>
        <w:ind w:left="867" w:hanging="309"/>
        <w:spacing w:after="0"/>
        <w:tabs>
          <w:tab w:leader="none" w:pos="867"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Amendment, duly executed by Borrower;</w:t>
      </w:r>
    </w:p>
    <w:p>
      <w:pPr>
        <w:spacing w:after="0" w:line="225" w:lineRule="exact"/>
        <w:rPr>
          <w:rFonts w:ascii="Arial" w:cs="Arial" w:eastAsia="Arial" w:hAnsi="Arial"/>
          <w:sz w:val="18"/>
          <w:szCs w:val="18"/>
          <w:color w:val="auto"/>
        </w:rPr>
      </w:pPr>
    </w:p>
    <w:p>
      <w:pPr>
        <w:ind w:left="867" w:hanging="319"/>
        <w:spacing w:after="0" w:line="277" w:lineRule="auto"/>
        <w:tabs>
          <w:tab w:leader="none" w:pos="867"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payment of all Bank Expenses, including Bank’s expenses for the documentation of this Amendment and any related documents, which may be debited from any of Borrower's accounts; and</w:t>
      </w:r>
    </w:p>
    <w:p>
      <w:pPr>
        <w:spacing w:after="0" w:line="170" w:lineRule="exact"/>
        <w:rPr>
          <w:rFonts w:ascii="Arial" w:cs="Arial" w:eastAsia="Arial" w:hAnsi="Arial"/>
          <w:sz w:val="18"/>
          <w:szCs w:val="18"/>
          <w:color w:val="auto"/>
        </w:rPr>
      </w:pPr>
    </w:p>
    <w:p>
      <w:pPr>
        <w:ind w:left="867" w:hanging="309"/>
        <w:spacing w:after="0"/>
        <w:tabs>
          <w:tab w:leader="none" w:pos="867"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Bank may reasonably deem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3"/>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68"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887730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53" w:top="1219"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ectPr>
          <w:pgSz w:w="11900" w:h="16838" w:orient="portrait"/>
          <w:cols w:equalWidth="0" w:num="1">
            <w:col w:w="10219"/>
          </w:cols>
          <w:pgMar w:left="240" w:top="1219"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SQUARE 1 BANK</w:t>
      </w:r>
    </w:p>
    <w:p>
      <w:pPr>
        <w:spacing w:after="0" w:line="211" w:lineRule="exact"/>
        <w:rPr>
          <w:sz w:val="20"/>
          <w:szCs w:val="20"/>
          <w:color w:val="auto"/>
        </w:rPr>
      </w:pPr>
    </w:p>
    <w:p>
      <w:pPr>
        <w:sectPr>
          <w:pgSz w:w="11900" w:h="16838" w:orient="portrait"/>
          <w:cols w:equalWidth="0" w:num="2">
            <w:col w:w="4980" w:space="720"/>
            <w:col w:w="4519"/>
          </w:cols>
          <w:pgMar w:left="240" w:top="1219" w:right="1440"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President &amp; CEO</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/s/ TOMMY DEAVENPORT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SVP - Regional Manager</w:t>
      </w:r>
    </w:p>
    <w:p>
      <w:pPr>
        <w:spacing w:after="0" w:line="200" w:lineRule="exact"/>
        <w:rPr>
          <w:sz w:val="20"/>
          <w:szCs w:val="20"/>
          <w:color w:val="auto"/>
        </w:rPr>
      </w:pPr>
    </w:p>
    <w:p>
      <w:pPr>
        <w:sectPr>
          <w:pgSz w:w="11900" w:h="16838" w:orient="portrait"/>
          <w:cols w:equalWidth="0" w:num="2">
            <w:col w:w="4980" w:space="720"/>
            <w:col w:w="4519"/>
          </w:cols>
          <w:pgMar w:left="240" w:top="1219" w:right="1440"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NETSTREAMS,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Director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NETSTREAMS,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 /s/ 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Member Representative</w:t>
      </w:r>
    </w:p>
    <w:sectPr>
      <w:pgSz w:w="11900" w:h="16838" w:orient="portrait"/>
      <w:cols w:equalWidth="0" w:num="1">
        <w:col w:w="10219"/>
      </w:cols>
      <w:pgMar w:left="240" w:top="12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decimal"/>
      <w:start w:val="3"/>
    </w:lvl>
  </w:abstractNum>
  <w:abstractNum w:abstractNumId="1">
    <w:nsid w:val="66334873"/>
    <w:multiLevelType w:val="hybridMultilevel"/>
    <w:lvl w:ilvl="0">
      <w:lvlJc w:val="left"/>
      <w:lvlText w:val="%1)"/>
      <w:numFmt w:val="decimal"/>
      <w:start w:val="3"/>
    </w:lvl>
    <w:lvl w:ilvl="1">
      <w:lvlJc w:val="left"/>
      <w:lvlText w:val="(%2)"/>
      <w:numFmt w:val="lowerLetter"/>
      <w:start w:val="1"/>
    </w:lvl>
    <w:lvl w:ilvl="2">
      <w:lvlJc w:val="left"/>
      <w:lvlText w:val="\ldblquote"/>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2019-12-10T08:50:07Z</dcterms:created>
  <dcterms:modified xsi:type="dcterms:W3CDTF">2019-12-10T08:50:07Z</dcterms:modified>
</cp:coreProperties>
</file>