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November 14, 2019 (November 14,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5240" w:type="dxa"/>
            <w:vAlign w:val="bottom"/>
            <w:gridSpan w:val="3"/>
          </w:tcPr>
          <w:p>
            <w:pPr>
              <w:jc w:val="center"/>
              <w:ind w:right="1560"/>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0"/>
              </w:rPr>
              <w:t>001-33660</w:t>
            </w:r>
          </w:p>
        </w:tc>
        <w:tc>
          <w:tcPr>
            <w:tcW w:w="20" w:type="dxa"/>
            <w:vAlign w:val="bottom"/>
          </w:tcPr>
          <w:p>
            <w:pPr>
              <w:spacing w:after="0"/>
              <w:rPr>
                <w:sz w:val="20"/>
                <w:szCs w:val="20"/>
                <w:color w:val="auto"/>
              </w:rPr>
            </w:pPr>
          </w:p>
        </w:tc>
        <w:tc>
          <w:tcPr>
            <w:tcW w:w="3860" w:type="dxa"/>
            <w:vAlign w:val="bottom"/>
            <w:gridSpan w:val="2"/>
          </w:tcPr>
          <w:p>
            <w:pPr>
              <w:jc w:val="right"/>
              <w:ind w:right="1290"/>
              <w:spacing w:after="0"/>
              <w:rPr>
                <w:sz w:val="20"/>
                <w:szCs w:val="20"/>
                <w:color w:val="auto"/>
              </w:rPr>
            </w:pPr>
            <w:r>
              <w:rPr>
                <w:rFonts w:ascii="Arial" w:cs="Arial" w:eastAsia="Arial" w:hAnsi="Arial"/>
                <w:sz w:val="18"/>
                <w:szCs w:val="18"/>
                <w:b w:val="1"/>
                <w:bCs w:val="1"/>
                <w:color w:val="auto"/>
              </w:rPr>
              <w:t>87-0398877</w:t>
            </w:r>
          </w:p>
        </w:tc>
      </w:tr>
      <w:tr>
        <w:trPr>
          <w:trHeight w:val="195"/>
        </w:trPr>
        <w:tc>
          <w:tcPr>
            <w:tcW w:w="36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320" w:type="dxa"/>
            <w:vAlign w:val="bottom"/>
            <w:tcBorders>
              <w:top w:val="single" w:sz="8" w:color="auto"/>
            </w:tcBorders>
            <w:gridSpan w:val="2"/>
          </w:tcPr>
          <w:p>
            <w:pPr>
              <w:jc w:val="center"/>
              <w:ind w:right="1300"/>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240" w:type="dxa"/>
            <w:vAlign w:val="bottom"/>
            <w:gridSpan w:val="3"/>
          </w:tcPr>
          <w:p>
            <w:pPr>
              <w:jc w:val="center"/>
              <w:ind w:right="1520"/>
              <w:spacing w:after="0"/>
              <w:rPr>
                <w:sz w:val="20"/>
                <w:szCs w:val="20"/>
                <w:color w:val="auto"/>
              </w:rPr>
            </w:pPr>
            <w:r>
              <w:rPr>
                <w:rFonts w:ascii="Arial" w:cs="Arial" w:eastAsia="Arial" w:hAnsi="Arial"/>
                <w:sz w:val="18"/>
                <w:szCs w:val="18"/>
                <w:color w:val="auto"/>
                <w:w w:val="94"/>
              </w:rPr>
              <w:t>of Incorporation)</w:t>
            </w:r>
          </w:p>
        </w:tc>
        <w:tc>
          <w:tcPr>
            <w:tcW w:w="2320" w:type="dxa"/>
            <w:vAlign w:val="bottom"/>
            <w:gridSpan w:val="2"/>
          </w:tcPr>
          <w:p>
            <w:pPr>
              <w:jc w:val="center"/>
              <w:ind w:right="1300"/>
              <w:spacing w:after="0"/>
              <w:rPr>
                <w:sz w:val="20"/>
                <w:szCs w:val="20"/>
                <w:color w:val="auto"/>
              </w:rPr>
            </w:pPr>
            <w:r>
              <w:rPr>
                <w:rFonts w:ascii="Arial" w:cs="Arial" w:eastAsia="Arial" w:hAnsi="Arial"/>
                <w:sz w:val="18"/>
                <w:szCs w:val="18"/>
                <w:color w:val="auto"/>
                <w:w w:val="94"/>
              </w:rPr>
              <w:t>File Number)</w:t>
            </w: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75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860" w:type="dxa"/>
            <w:vAlign w:val="bottom"/>
            <w:gridSpan w:val="2"/>
          </w:tcPr>
          <w:p>
            <w:pPr>
              <w:jc w:val="right"/>
              <w:ind w:right="1510"/>
              <w:spacing w:after="0"/>
              <w:rPr>
                <w:sz w:val="20"/>
                <w:szCs w:val="20"/>
                <w:color w:val="auto"/>
              </w:rPr>
            </w:pPr>
            <w:r>
              <w:rPr>
                <w:rFonts w:ascii="Arial" w:cs="Arial" w:eastAsia="Arial" w:hAnsi="Arial"/>
                <w:sz w:val="18"/>
                <w:szCs w:val="18"/>
                <w:b w:val="1"/>
                <w:bCs w:val="1"/>
                <w:color w:val="auto"/>
              </w:rPr>
              <w:t>84116</w:t>
            </w:r>
          </w:p>
        </w:tc>
      </w:tr>
      <w:tr>
        <w:trPr>
          <w:trHeight w:val="224"/>
        </w:trPr>
        <w:tc>
          <w:tcPr>
            <w:tcW w:w="5240" w:type="dxa"/>
            <w:vAlign w:val="bottom"/>
            <w:tcBorders>
              <w:top w:val="single" w:sz="8" w:color="auto"/>
            </w:tcBorders>
            <w:gridSpan w:val="3"/>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23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+1 (801) 975-7200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80" w:hanging="15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80" w:hanging="15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80" w:hanging="15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80" w:hanging="15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00" w:lineRule="exact"/>
        <w:rPr>
          <w:sz w:val="24"/>
          <w:szCs w:val="24"/>
          <w:color w:val="auto"/>
        </w:rPr>
      </w:pPr>
    </w:p>
    <w:p>
      <w:pPr>
        <w:spacing w:after="0" w:line="223"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4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86"/>
              </w:rPr>
              <w:t>Title of each class</w:t>
            </w:r>
          </w:p>
        </w:tc>
        <w:tc>
          <w:tcPr>
            <w:tcW w:w="26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442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90"/>
              </w:rPr>
              <w:t>Common Stock, $0.001 par value</w:t>
            </w:r>
          </w:p>
        </w:tc>
        <w:tc>
          <w:tcPr>
            <w:tcW w:w="26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5"/>
              </w:rPr>
              <w:t>CLRO</w:t>
            </w:r>
          </w:p>
        </w:tc>
        <w:tc>
          <w:tcPr>
            <w:tcW w:w="4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The NASDAQ Capital Market</w:t>
            </w:r>
          </w:p>
        </w:tc>
      </w:tr>
    </w:tbl>
    <w:p>
      <w:pPr>
        <w:spacing w:after="0" w:line="202" w:lineRule="exact"/>
        <w:rPr>
          <w:sz w:val="24"/>
          <w:szCs w:val="24"/>
          <w:color w:val="auto"/>
        </w:rPr>
      </w:pPr>
    </w:p>
    <w:p>
      <w:pPr>
        <w:ind w:left="20"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left="20"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38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2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14, ClearOne, Inc. (the “Company”) issued a press release announcing its financial results for the three and nine months ended September 30, 2019.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300"/>
        <w:spacing w:after="0"/>
        <w:tabs>
          <w:tab w:leader="none" w:pos="16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7" w:lineRule="exact"/>
        <w:rPr>
          <w:sz w:val="20"/>
          <w:szCs w:val="20"/>
          <w:color w:val="auto"/>
        </w:rPr>
      </w:pPr>
    </w:p>
    <w:p>
      <w:pPr>
        <w:ind w:left="300"/>
        <w:spacing w:after="0"/>
        <w:tabs>
          <w:tab w:leader="none" w:pos="164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6"/>
            <w:szCs w:val="16"/>
            <w:u w:val="single" w:color="auto"/>
            <w:color w:val="0000EE"/>
          </w:rPr>
          <w:t>Press Release of ClearOne, Inc. dated November 14,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-130810</wp:posOffset>
            </wp:positionV>
            <wp:extent cx="5068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20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3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20" w:top="1013"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40" w:type="dxa"/>
            <w:vAlign w:val="bottom"/>
            <w:gridSpan w:val="2"/>
          </w:tcPr>
          <w:p>
            <w:pPr>
              <w:ind w:left="1620"/>
              <w:spacing w:after="0"/>
              <w:rPr>
                <w:sz w:val="20"/>
                <w:szCs w:val="20"/>
                <w:color w:val="auto"/>
              </w:rPr>
            </w:pPr>
            <w:r>
              <w:rPr>
                <w:rFonts w:ascii="Arial" w:cs="Arial" w:eastAsia="Arial" w:hAnsi="Arial"/>
                <w:sz w:val="18"/>
                <w:szCs w:val="18"/>
                <w:color w:val="auto"/>
              </w:rPr>
              <w:t>CLEARONE,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November 14, 2019</w:t>
            </w:r>
          </w:p>
        </w:tc>
        <w:tc>
          <w:tcPr>
            <w:tcW w:w="7940" w:type="dxa"/>
            <w:vAlign w:val="bottom"/>
            <w:gridSpan w:val="2"/>
          </w:tcPr>
          <w:p>
            <w:pPr>
              <w:ind w:left="1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00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30"/>
        </w:trPr>
        <w:tc>
          <w:tcPr>
            <w:tcW w:w="34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0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40"/>
          </w:cols>
          <w:pgMar w:left="220" w:top="1013" w:right="239" w:bottom="1440" w:gutter="0" w:footer="0" w:header="0"/>
        </w:sectPr>
      </w:pPr>
    </w:p>
    <w:bookmarkStart w:id="3" w:name="page4"/>
    <w:bookmarkEnd w:id="3"/>
    <w:p>
      <w:pPr>
        <w:ind w:left="1050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169545</wp:posOffset>
            </wp:positionV>
            <wp:extent cx="147510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51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ClearOne Reports Third Quarter 2019 Financial Results</w:t>
      </w:r>
    </w:p>
    <w:p>
      <w:pPr>
        <w:spacing w:after="0" w:line="229" w:lineRule="exact"/>
        <w:rPr>
          <w:sz w:val="20"/>
          <w:szCs w:val="20"/>
          <w:color w:val="auto"/>
        </w:rPr>
      </w:pPr>
    </w:p>
    <w:p>
      <w:pPr>
        <w:ind w:left="680" w:hanging="328"/>
        <w:spacing w:after="0"/>
        <w:tabs>
          <w:tab w:leader="none" w:pos="6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Q3 Microphone revenue up year-over-year by 3%</w:t>
      </w:r>
    </w:p>
    <w:p>
      <w:pPr>
        <w:spacing w:after="0" w:line="36" w:lineRule="exact"/>
        <w:rPr>
          <w:rFonts w:ascii="Arial" w:cs="Arial" w:eastAsia="Arial" w:hAnsi="Arial"/>
          <w:sz w:val="18"/>
          <w:szCs w:val="18"/>
          <w:b w:val="1"/>
          <w:bCs w:val="1"/>
          <w:i w:val="1"/>
          <w:iCs w:val="1"/>
          <w:color w:val="auto"/>
        </w:rPr>
      </w:pPr>
    </w:p>
    <w:p>
      <w:pPr>
        <w:ind w:left="680" w:hanging="328"/>
        <w:spacing w:after="0"/>
        <w:tabs>
          <w:tab w:leader="none" w:pos="6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Q3 Overall revenue down year-over-year by 10% — continued to be impacted by infringement of ClearOne’s strategic patents</w:t>
      </w:r>
    </w:p>
    <w:p>
      <w:pPr>
        <w:spacing w:after="0" w:line="36" w:lineRule="exact"/>
        <w:rPr>
          <w:rFonts w:ascii="Arial" w:cs="Arial" w:eastAsia="Arial" w:hAnsi="Arial"/>
          <w:sz w:val="18"/>
          <w:szCs w:val="18"/>
          <w:b w:val="1"/>
          <w:bCs w:val="1"/>
          <w:i w:val="1"/>
          <w:iCs w:val="1"/>
          <w:color w:val="auto"/>
        </w:rPr>
      </w:pPr>
    </w:p>
    <w:p>
      <w:pPr>
        <w:ind w:left="680" w:hanging="328"/>
        <w:spacing w:after="0"/>
        <w:tabs>
          <w:tab w:leader="none" w:pos="68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Non-GAAP Operating expenses declined by 14% year-over-year</w:t>
      </w:r>
    </w:p>
    <w:p>
      <w:pPr>
        <w:spacing w:after="0" w:line="252"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SALT LAKE CITY, UTAH – November 14, 2019 – ClearOne (NASDAQ: CLRO), a global provider of audio and visual communication solutions, reported financial results for the three and nine month periods ended September 30, 2019.</w:t>
      </w:r>
    </w:p>
    <w:p>
      <w:pPr>
        <w:spacing w:after="0" w:line="170"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have seen modest improvements in our microphone sales after the recent decision by a U.S. District Court granting our request for a preliminary injunction to prevent Shure from manufacturing, marketing, and selling its competing ceiling microphone array in an infringing configuration. Nevertheless, we believe it will take some time for us to recover our market share due to the extensive harm inflicted by the infringement,” said Zee Hakimoglu, CEO and Chair of ClearOne.</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will continue our focus on technological innovation, cost management and vigorous enforcement of our intellectual property rights.”</w:t>
      </w:r>
    </w:p>
    <w:p>
      <w:pPr>
        <w:spacing w:after="0" w:line="225"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The preliminary injunction relating to ClearOne’s U.S. Patent No. 9,813,806 (the “Graham Patent”) became effective on August 23, 2019. ClearOne sought injunctive relief as part of ongoing litigation to protect ClearOne’s intellectual property rights and rightful place in the market. As the Court noted in its order, “The public benefits when [the patent] system works, and suffers when patents are infringed, so it is in the public interest—in the long run—to protect valid patents.” The Court’s order also prevents Shure from encouraging others to use the Shure MXA910 beamforming microphone array in the “drop-ceiling mounting configuration” and “applies to Shure’s officers, agents, servants, employees, and attorneys, as well as anyone who is in active concert or participation with those listed persons.”</w:t>
      </w:r>
    </w:p>
    <w:p>
      <w:pPr>
        <w:spacing w:after="0" w:line="19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 preliminary injunction is an extraordinary remedy that is rarely granted. In granting ClearOne’s request, the Court acknowledged the strength of ClearOne’s position against Shure, declaring that “ClearOne has established that it is likely to succeed on the merits” of its infringement claims relating to the Graham Patent.</w:t>
      </w:r>
    </w:p>
    <w:p>
      <w:pPr>
        <w:spacing w:after="0" w:line="18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ClearOne remains confident in the merits of its case against Shure and that it will ultimately succeed on its claims, which assert infringement not only of the Graham Patent but of U.S. Patent No. 9,635,186 and U.S. Patent No. 9,264,553 as well.</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25" w:lineRule="exact"/>
        <w:rPr>
          <w:sz w:val="20"/>
          <w:szCs w:val="20"/>
          <w:color w:val="auto"/>
        </w:rPr>
      </w:pPr>
    </w:p>
    <w:p>
      <w:pPr>
        <w:jc w:val="both"/>
        <w:ind w:left="400" w:right="20" w:hanging="372"/>
        <w:spacing w:after="0" w:line="264"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Q3 2019 revenue was $6.0 million, compared to $6.7 million in Q3 2018 and $6.4 million in Q2 2019. The year-over-year and sequential decrease reflects an impact of the on-going harm of infringement of ClearOne’s patents on its audio conferencing products and microphones. The patent infringement also has negatively impacted directly the revenue from ClearOne’s other products.</w:t>
      </w:r>
    </w:p>
    <w:p>
      <w:pPr>
        <w:spacing w:after="0" w:line="181" w:lineRule="exact"/>
        <w:rPr>
          <w:rFonts w:ascii="Arial" w:cs="Arial" w:eastAsia="Arial" w:hAnsi="Arial"/>
          <w:sz w:val="18"/>
          <w:szCs w:val="18"/>
          <w:color w:val="auto"/>
        </w:rPr>
      </w:pPr>
    </w:p>
    <w:p>
      <w:pPr>
        <w:jc w:val="both"/>
        <w:ind w:left="400" w:hanging="372"/>
        <w:spacing w:after="0" w:line="264"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gross profit in Q3 2019 was $2.5 million compared to $3.0 million in Q3 2018 and $2.9 million in Q2 2019. GAAP gross profit margin was 42% in Q3 2019, compared to 45% in Q3 2018 and 46% in Q2 2019. Gross Profit margin decreased year over year mainly due to an increase in inventory obsolescence costs.</w:t>
      </w:r>
    </w:p>
    <w:p>
      <w:pPr>
        <w:spacing w:after="0" w:line="181" w:lineRule="exact"/>
        <w:rPr>
          <w:rFonts w:ascii="Arial" w:cs="Arial" w:eastAsia="Arial" w:hAnsi="Arial"/>
          <w:sz w:val="18"/>
          <w:szCs w:val="18"/>
          <w:color w:val="auto"/>
        </w:rPr>
      </w:pPr>
    </w:p>
    <w:p>
      <w:pPr>
        <w:jc w:val="both"/>
        <w:ind w:left="400" w:hanging="372"/>
        <w:spacing w:after="0" w:line="259"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in Q3 2019 were $4.6 million, compared to $5.3 million in Q3 2018 and $5.0 million in Q2 2019. Non-GAAP operating expenses in Q3 2019 were $4.2 million, compared to $4.9 million in Q3 2018 and $4.7 million in Q2 2019. The majority of the decrease in Q3 2019 operating expenses over Q3 2018 is attributable to decreases in employee-related costs including benefits and commissions and allocations of overhead expenses, partially offset by an increase in demonstration inventory costs.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76200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21" w:right="239" w:bottom="1440" w:gutter="0" w:footer="0" w:header="0"/>
        </w:sectPr>
      </w:pPr>
    </w:p>
    <w:bookmarkStart w:id="4" w:name="page5"/>
    <w:bookmarkEnd w:id="4"/>
    <w:p>
      <w:pPr>
        <w:jc w:val="both"/>
        <w:ind w:left="380" w:hanging="372"/>
        <w:spacing w:after="0" w:line="293"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GAAP net loss in Q3 2019 was $2.0 million, or $0.12 per share, compared to net loss of $10.1 million, or $1.22 per share, in Q3 2018 and net loss of $2.1 million, or $0.13 per share, in Q2 2019. Net loss in Q3 2019 was largely caused by operating losses on account of the reduction in revenue and associated gross profit. Net loss in Q3 2019 was lower than net loss in Q3 2018 largely due to reduced tax expense and reduced operating expenses offset by reduced gross profit. During 2018-Q3, the Company recorded discrete tax expense of $6.5 million, due primarily to the recording of a full valuation allowance on the Company's net deferred tax assets. Non-GAAP net loss was $1.6 million, or $0.09 per share, in Q3 2019, compared to non-GAAP net loss of $9.6 million, or $1.15 per share in Q3 2018 and non-GAAP net loss of $1.7 million, or $0.10 per share, in Q2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gridSpan w:val="4"/>
          </w:tcPr>
          <w:p>
            <w:pPr>
              <w:spacing w:after="0"/>
              <w:rPr>
                <w:sz w:val="20"/>
                <w:szCs w:val="20"/>
                <w:color w:val="auto"/>
              </w:rPr>
            </w:pPr>
            <w:r>
              <w:rPr>
                <w:rFonts w:ascii="Arial" w:cs="Arial" w:eastAsia="Arial" w:hAnsi="Arial"/>
                <w:sz w:val="18"/>
                <w:szCs w:val="18"/>
                <w:b w:val="1"/>
                <w:bCs w:val="1"/>
                <w:color w:val="auto"/>
              </w:rPr>
              <w:t>Financial Summary</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2360" w:type="dxa"/>
            <w:vAlign w:val="bottom"/>
            <w:gridSpan w:val="4"/>
          </w:tcPr>
          <w:p>
            <w:pPr>
              <w:spacing w:after="0"/>
              <w:rPr>
                <w:sz w:val="20"/>
                <w:szCs w:val="20"/>
                <w:color w:val="auto"/>
              </w:rPr>
            </w:pPr>
            <w:r>
              <w:rPr>
                <w:rFonts w:ascii="Arial" w:cs="Arial" w:eastAsia="Arial" w:hAnsi="Arial"/>
                <w:sz w:val="18"/>
                <w:szCs w:val="18"/>
                <w:b w:val="1"/>
                <w:bCs w:val="1"/>
                <w:color w:val="auto"/>
              </w:rPr>
              <w:t>($ in 000, except per share)</w:t>
            </w:r>
          </w:p>
        </w:tc>
        <w:tc>
          <w:tcPr>
            <w:tcW w:w="320" w:type="dxa"/>
            <w:vAlign w:val="bottom"/>
          </w:tcPr>
          <w:p>
            <w:pPr>
              <w:spacing w:after="0"/>
              <w:rPr>
                <w:sz w:val="24"/>
                <w:szCs w:val="24"/>
                <w:color w:val="auto"/>
              </w:rPr>
            </w:pPr>
          </w:p>
        </w:tc>
        <w:tc>
          <w:tcPr>
            <w:tcW w:w="3460" w:type="dxa"/>
            <w:vAlign w:val="bottom"/>
            <w:gridSpan w:val="4"/>
          </w:tcPr>
          <w:p>
            <w:pPr>
              <w:ind w:left="380"/>
              <w:spacing w:after="0"/>
              <w:rPr>
                <w:sz w:val="20"/>
                <w:szCs w:val="20"/>
                <w:color w:val="auto"/>
              </w:rPr>
            </w:pPr>
            <w:r>
              <w:rPr>
                <w:rFonts w:ascii="Arial" w:cs="Arial" w:eastAsia="Arial" w:hAnsi="Arial"/>
                <w:sz w:val="18"/>
                <w:szCs w:val="18"/>
                <w:b w:val="1"/>
                <w:bCs w:val="1"/>
                <w:color w:val="auto"/>
              </w:rPr>
              <w:t>Three months ended September 30,</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0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Nine months ended September 30,</w:t>
            </w: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ind w:left="220"/>
              <w:spacing w:after="0"/>
              <w:rPr>
                <w:sz w:val="20"/>
                <w:szCs w:val="20"/>
                <w:color w:val="auto"/>
              </w:rPr>
            </w:pPr>
            <w:r>
              <w:rPr>
                <w:rFonts w:ascii="Arial" w:cs="Arial" w:eastAsia="Arial" w:hAnsi="Arial"/>
                <w:sz w:val="18"/>
                <w:szCs w:val="18"/>
                <w:b w:val="1"/>
                <w:bCs w:val="1"/>
                <w:color w:val="auto"/>
                <w:w w:val="90"/>
              </w:rPr>
              <w:t>Change</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22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GAAP</w:t>
            </w:r>
          </w:p>
        </w:tc>
        <w:tc>
          <w:tcPr>
            <w:tcW w:w="1840" w:type="dxa"/>
            <w:vAlign w:val="bottom"/>
            <w:tcBorders>
              <w:bottom w:val="single" w:sz="8" w:color="CCEEFF"/>
            </w:tcBorders>
            <w:gridSpan w:val="2"/>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5,992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6,683</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18,717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20,943</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2,537</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2,980</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8,180</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10,329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(2,098)</w:t>
            </w:r>
          </w:p>
        </w:tc>
        <w:tc>
          <w:tcPr>
            <w:tcW w:w="32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(2,310)</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(6,593)</w:t>
            </w:r>
          </w:p>
        </w:tc>
        <w:tc>
          <w:tcPr>
            <w:tcW w:w="34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(7,724)</w:t>
            </w: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(10,142)</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(14,151)</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Diluted loss per share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(0.12)</w:t>
            </w:r>
          </w:p>
        </w:tc>
        <w:tc>
          <w:tcPr>
            <w:tcW w:w="32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(1.22)</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(0.39)</w:t>
            </w:r>
          </w:p>
        </w:tc>
        <w:tc>
          <w:tcPr>
            <w:tcW w:w="34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(1.70)</w:t>
            </w:r>
          </w:p>
        </w:tc>
        <w:tc>
          <w:tcPr>
            <w:tcW w:w="12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Non-GAAP</w:t>
            </w:r>
          </w:p>
        </w:tc>
        <w:tc>
          <w:tcPr>
            <w:tcW w:w="1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2,539</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2,983</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-15%</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8,186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10,341</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loss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(1,915)</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(6,430)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2340" w:type="dxa"/>
            <w:vAlign w:val="bottom"/>
            <w:gridSpan w:val="3"/>
          </w:tcPr>
          <w:p>
            <w:pPr>
              <w:spacing w:after="0"/>
              <w:rPr>
                <w:sz w:val="20"/>
                <w:szCs w:val="20"/>
                <w:color w:val="auto"/>
              </w:rPr>
            </w:pPr>
            <w:r>
              <w:rPr>
                <w:rFonts w:ascii="Arial" w:cs="Arial" w:eastAsia="Arial" w:hAnsi="Arial"/>
                <w:sz w:val="18"/>
                <w:szCs w:val="18"/>
                <w:color w:val="auto"/>
              </w:rPr>
              <w:t>Non-GAAP net loss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(1,573)</w:t>
            </w:r>
          </w:p>
        </w:tc>
        <w:tc>
          <w:tcPr>
            <w:tcW w:w="32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(9,554)</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(5,191)</w:t>
            </w:r>
          </w:p>
        </w:tc>
        <w:tc>
          <w:tcPr>
            <w:tcW w:w="34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(12,857)</w:t>
            </w: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2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Non-GAAP Adjusted EBITDA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(1,790)</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(5,975)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2"/>
        </w:trPr>
        <w:tc>
          <w:tcPr>
            <w:tcW w:w="20" w:type="dxa"/>
            <w:vAlign w:val="bottom"/>
          </w:tcPr>
          <w:p>
            <w:pPr>
              <w:spacing w:after="0"/>
              <w:rPr>
                <w:sz w:val="17"/>
                <w:szCs w:val="17"/>
                <w:color w:val="auto"/>
              </w:rPr>
            </w:pPr>
          </w:p>
        </w:tc>
        <w:tc>
          <w:tcPr>
            <w:tcW w:w="2340" w:type="dxa"/>
            <w:vAlign w:val="bottom"/>
            <w:gridSpan w:val="3"/>
          </w:tcPr>
          <w:p>
            <w:pPr>
              <w:spacing w:after="0" w:line="201" w:lineRule="exact"/>
              <w:rPr>
                <w:sz w:val="20"/>
                <w:szCs w:val="20"/>
                <w:color w:val="auto"/>
              </w:rPr>
            </w:pPr>
            <w:r>
              <w:rPr>
                <w:rFonts w:ascii="Arial" w:cs="Arial" w:eastAsia="Arial" w:hAnsi="Arial"/>
                <w:sz w:val="18"/>
                <w:szCs w:val="18"/>
                <w:color w:val="auto"/>
              </w:rPr>
              <w:t>Non-GAAP loss per share</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2360" w:type="dxa"/>
            <w:vAlign w:val="bottom"/>
            <w:gridSpan w:val="4"/>
          </w:tcPr>
          <w:p>
            <w:pPr>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(1.15)</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(0.31)</w:t>
            </w:r>
          </w:p>
        </w:tc>
        <w:tc>
          <w:tcPr>
            <w:tcW w:w="34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(1.55)</w:t>
            </w: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At September 30, 2019, cash, cash equivalents and investments were $5.9 million, as compared with $15.9 million at December 31, 2018. The Company continued to have no debt. In August 2019, Company deposited $4.5 million with the United States District Court for the Northern District of Illinois as a bond so that preliminary injunction granted against Shure Inc could go into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solutions for voice and visual communications. The performance and simplicity of its advanced comprehensive solutions offer unprecedented levels of functionality, reliability and scalability. Visit ClearOne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ind w:right="140"/>
        <w:spacing w:after="0" w:line="287"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10-Q, including the footnotes thereto, as well as the Company’s annual report on Form 10-K for the year ended December 31, 2018 (the “10-K”), the footnotes thereto and the limitations set forth therein. Investors may not rely on the press release without reference to the 10-Q, the 10-K and the Public Filings.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September 30,</w:t>
            </w:r>
          </w:p>
        </w:tc>
        <w:tc>
          <w:tcPr>
            <w:tcW w:w="16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1,640</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$709 and $631, respectively</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6,319</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27,296</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2,243</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Long-term inventories, net</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7,143</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1,099</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Operating lease - right of use assets, net</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2,547</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12,609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53,134</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20" w:type="dxa"/>
            <w:vAlign w:val="bottom"/>
            <w:tcBorders>
              <w:top w:val="single" w:sz="8" w:color="CCEEFF"/>
            </w:tcBorders>
          </w:tcPr>
          <w:p>
            <w:pPr>
              <w:jc w:val="center"/>
              <w:ind w:right="1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1,735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2,864</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2,129</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line="201" w:lineRule="exact"/>
              <w:rPr>
                <w:sz w:val="20"/>
                <w:szCs w:val="20"/>
                <w:color w:val="auto"/>
              </w:rPr>
            </w:pPr>
            <w:r>
              <w:rPr>
                <w:rFonts w:ascii="Arial" w:cs="Arial" w:eastAsia="Arial" w:hAnsi="Arial"/>
                <w:sz w:val="18"/>
                <w:szCs w:val="18"/>
                <w:color w:val="auto"/>
                <w:w w:val="90"/>
              </w:rPr>
              <w:t>Common stock, par value $0.001, 50,000,000 shares authorized, 16,646,323 and 16,630,597 shares issued and</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58,037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45,984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3,703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10,537</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10,614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line="210" w:lineRule="exact"/>
              <w:rPr>
                <w:sz w:val="20"/>
                <w:szCs w:val="20"/>
                <w:color w:val="auto"/>
              </w:rPr>
            </w:pPr>
            <w:r>
              <w:rPr>
                <w:rFonts w:ascii="Arial" w:cs="Arial" w:eastAsia="Arial" w:hAnsi="Arial"/>
                <w:sz w:val="14"/>
                <w:szCs w:val="14"/>
                <w:color w:val="auto"/>
              </w:rPr>
              <w:t>(1,976</w:t>
            </w:r>
            <w:r>
              <w:rPr>
                <w:rFonts w:ascii="Arial" w:cs="Arial" w:eastAsia="Arial" w:hAnsi="Arial"/>
                <w:sz w:val="24"/>
                <w:szCs w:val="24"/>
                <w:color w:val="auto"/>
                <w:vertAlign w:val="sub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210" w:lineRule="exact"/>
              <w:rPr>
                <w:sz w:val="20"/>
                <w:szCs w:val="20"/>
                <w:color w:val="auto"/>
              </w:rPr>
            </w:pPr>
            <w:r>
              <w:rPr>
                <w:rFonts w:ascii="Arial" w:cs="Arial" w:eastAsia="Arial" w:hAnsi="Arial"/>
                <w:sz w:val="14"/>
                <w:szCs w:val="14"/>
                <w:color w:val="auto"/>
              </w:rPr>
              <w:t>(10,142</w:t>
            </w:r>
            <w:r>
              <w:rPr>
                <w:rFonts w:ascii="Arial" w:cs="Arial" w:eastAsia="Arial" w:hAnsi="Arial"/>
                <w:sz w:val="24"/>
                <w:szCs w:val="24"/>
                <w:color w:val="auto"/>
                <w:vertAlign w:val="subscript"/>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00"/>
              <w:spacing w:after="0" w:line="210" w:lineRule="exact"/>
              <w:rPr>
                <w:sz w:val="20"/>
                <w:szCs w:val="20"/>
                <w:color w:val="auto"/>
              </w:rPr>
            </w:pPr>
            <w:r>
              <w:rPr>
                <w:rFonts w:ascii="Arial" w:cs="Arial" w:eastAsia="Arial" w:hAnsi="Arial"/>
                <w:sz w:val="14"/>
                <w:szCs w:val="14"/>
                <w:color w:val="auto"/>
              </w:rPr>
              <w:t>(6,423</w:t>
            </w:r>
            <w:r>
              <w:rPr>
                <w:rFonts w:ascii="Arial" w:cs="Arial" w:eastAsia="Arial" w:hAnsi="Arial"/>
                <w:sz w:val="24"/>
                <w:szCs w:val="24"/>
                <w:color w:val="auto"/>
                <w:vertAlign w:val="sub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line="210" w:lineRule="exact"/>
              <w:rPr>
                <w:sz w:val="20"/>
                <w:szCs w:val="20"/>
                <w:color w:val="auto"/>
              </w:rPr>
            </w:pPr>
            <w:r>
              <w:rPr>
                <w:rFonts w:ascii="Arial" w:cs="Arial" w:eastAsia="Arial" w:hAnsi="Arial"/>
                <w:sz w:val="14"/>
                <w:szCs w:val="14"/>
                <w:color w:val="auto"/>
              </w:rPr>
              <w:t>(14,151</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16,646,323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8,306,707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16,635,954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8,304,974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16,646,323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8,306,707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16,635,954</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8,304,974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Basic loss per share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line="210" w:lineRule="exact"/>
              <w:rPr>
                <w:sz w:val="20"/>
                <w:szCs w:val="20"/>
                <w:color w:val="auto"/>
              </w:rPr>
            </w:pPr>
            <w:r>
              <w:rPr>
                <w:rFonts w:ascii="Arial" w:cs="Arial" w:eastAsia="Arial" w:hAnsi="Arial"/>
                <w:sz w:val="14"/>
                <w:szCs w:val="14"/>
                <w:color w:val="auto"/>
              </w:rPr>
              <w:t>(2,104</w:t>
            </w:r>
            <w:r>
              <w:rPr>
                <w:rFonts w:ascii="Arial" w:cs="Arial" w:eastAsia="Arial" w:hAnsi="Arial"/>
                <w:sz w:val="24"/>
                <w:szCs w:val="24"/>
                <w:color w:val="auto"/>
                <w:vertAlign w:val="sub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210" w:lineRule="exact"/>
              <w:rPr>
                <w:sz w:val="20"/>
                <w:szCs w:val="20"/>
                <w:color w:val="auto"/>
              </w:rPr>
            </w:pPr>
            <w:r>
              <w:rPr>
                <w:rFonts w:ascii="Arial" w:cs="Arial" w:eastAsia="Arial" w:hAnsi="Arial"/>
                <w:sz w:val="14"/>
                <w:szCs w:val="14"/>
                <w:color w:val="auto"/>
              </w:rPr>
              <w:t>(10,177</w:t>
            </w:r>
            <w:r>
              <w:rPr>
                <w:rFonts w:ascii="Arial" w:cs="Arial" w:eastAsia="Arial" w:hAnsi="Arial"/>
                <w:sz w:val="24"/>
                <w:szCs w:val="24"/>
                <w:color w:val="auto"/>
                <w:vertAlign w:val="subscript"/>
              </w:rPr>
              <w:t>)</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10" w:lineRule="exact"/>
              <w:rPr>
                <w:sz w:val="20"/>
                <w:szCs w:val="20"/>
                <w:color w:val="auto"/>
              </w:rPr>
            </w:pPr>
            <w:r>
              <w:rPr>
                <w:rFonts w:ascii="Arial" w:cs="Arial" w:eastAsia="Arial" w:hAnsi="Arial"/>
                <w:sz w:val="14"/>
                <w:szCs w:val="14"/>
                <w:color w:val="auto"/>
              </w:rPr>
              <w:t>(6,414</w:t>
            </w:r>
            <w:r>
              <w:rPr>
                <w:rFonts w:ascii="Arial" w:cs="Arial" w:eastAsia="Arial" w:hAnsi="Arial"/>
                <w:sz w:val="24"/>
                <w:szCs w:val="24"/>
                <w:color w:val="auto"/>
                <w:vertAlign w:val="subscript"/>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(14,295</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17"/>
                <w:szCs w:val="17"/>
                <w:color w:val="auto"/>
              </w:rPr>
            </w:pPr>
          </w:p>
        </w:tc>
        <w:tc>
          <w:tcPr>
            <w:tcW w:w="198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98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GAAP gross profit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2,537</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8,180</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Non-GAAP gross profit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8,186</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8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GAAP operating loss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(2,098)</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(2,310)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(6,593)</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112</w:t>
            </w: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intangibles</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Legal expenses not related to regular operations</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Non-GAAP operating loss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(1,695)</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(1,915)</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8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GAAP net loss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(10,142)</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(6,423)</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112</w:t>
            </w: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intangibles</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Legal expenses not related to regular operations</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Tax effect of non-GAAP adjustments</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b w:val="1"/>
                <w:bCs w:val="1"/>
                <w:color w:val="auto"/>
              </w:rPr>
              <w:t>Non-GAAP net loss</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(1,573)</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(9,554)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(5,191)</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(12,857)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8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b w:val="1"/>
                <w:bCs w:val="1"/>
                <w:color w:val="auto"/>
              </w:rPr>
              <w:t>GAAP net loss</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(1,976)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(10,142)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(6,423)</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(14,151)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Number of shares used in computing GAAP loss per share (diluted)</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16,646,323</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8,306,707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16,635,954</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8,304,974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b w:val="1"/>
                <w:bCs w:val="1"/>
                <w:color w:val="auto"/>
              </w:rPr>
              <w:t>GAAP loss per share (diluted)</w:t>
            </w:r>
          </w:p>
        </w:tc>
        <w:tc>
          <w:tcPr>
            <w:tcW w:w="1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(0.12)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(1.22)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(0.39)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Non-GAAP net loss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(1,573)</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(9,554)</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Number of shares used in computing Non-GAAP loss per share (diluted)</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16,646,323</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8,306,707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16,635,954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8,304,974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Non-GAAP loss per share (diluted)</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GAAP net loss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(10,142)</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(6,423)</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112</w:t>
            </w: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Amortization of intangibles</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1,055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color w:val="auto"/>
              </w:rPr>
              <w:t>Legal expenses not related to regular operations</w:t>
            </w: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Pr>
          <w:p>
            <w:pPr>
              <w:spacing w:after="0"/>
              <w:rPr>
                <w:sz w:val="20"/>
                <w:szCs w:val="20"/>
                <w:color w:val="auto"/>
              </w:rPr>
            </w:pPr>
            <w:r>
              <w:rPr>
                <w:rFonts w:ascii="Arial" w:cs="Arial" w:eastAsia="Arial" w:hAnsi="Arial"/>
                <w:sz w:val="16"/>
                <w:szCs w:val="16"/>
                <w:color w:val="auto"/>
              </w:rPr>
              <w:t>Provision for (benefit from) income taxes</w:t>
            </w: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Non-GAAP Adjusted EBITDA</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(1,790)</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(4,751)</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Page 6 of 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2019-12-28T01:25:36Z</dcterms:created>
  <dcterms:modified xsi:type="dcterms:W3CDTF">2019-12-28T01:25:36Z</dcterms:modified>
</cp:coreProperties>
</file>