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500" w:right="2140" w:hanging="492"/>
        <w:spacing w:after="0" w:line="28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2018</w:t>
      </w:r>
    </w:p>
    <w:p>
      <w:pPr>
        <w:spacing w:after="0" w:line="155" w:lineRule="exact"/>
        <w:rPr>
          <w:sz w:val="24"/>
          <w:szCs w:val="24"/>
          <w:color w:val="auto"/>
        </w:rPr>
      </w:pPr>
    </w:p>
    <w:p>
      <w:pPr>
        <w:ind w:left="500" w:right="1760" w:hanging="492"/>
        <w:spacing w:after="0" w:line="286" w:lineRule="auto"/>
        <w:tabs>
          <w:tab w:leader="none" w:pos="1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r>
        <w:rPr>
          <w:rFonts w:ascii="Times New Roman" w:cs="Times New Roman" w:eastAsia="Times New Roman" w:hAnsi="Times New Roman"/>
          <w:sz w:val="18"/>
          <w:szCs w:val="18"/>
          <w:color w:val="auto"/>
        </w:rPr>
        <w:t xml:space="preserve"> For the transition period from _________ to _________</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001-33660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3480" w:type="dxa"/>
            <w:vAlign w:val="bottom"/>
            <w:gridSpan w:val="2"/>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87-0398877</w:t>
            </w:r>
          </w:p>
        </w:tc>
        <w:tc>
          <w:tcPr>
            <w:tcW w:w="1100" w:type="dxa"/>
            <w:vAlign w:val="bottom"/>
          </w:tcPr>
          <w:p>
            <w:pPr>
              <w:spacing w:after="0"/>
              <w:rPr>
                <w:sz w:val="20"/>
                <w:szCs w:val="20"/>
                <w:color w:val="auto"/>
              </w:rPr>
            </w:pPr>
          </w:p>
        </w:tc>
      </w:tr>
      <w:tr>
        <w:trPr>
          <w:trHeight w:val="191"/>
        </w:trPr>
        <w:tc>
          <w:tcPr>
            <w:tcW w:w="560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gridSpan w:val="2"/>
          </w:tcPr>
          <w:p>
            <w:pPr>
              <w:jc w:val="center"/>
              <w:ind w:right="112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8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32"/>
        </w:trPr>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472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84116</w:t>
            </w:r>
          </w:p>
        </w:tc>
        <w:tc>
          <w:tcPr>
            <w:tcW w:w="1100" w:type="dxa"/>
            <w:vAlign w:val="bottom"/>
          </w:tcPr>
          <w:p>
            <w:pPr>
              <w:spacing w:after="0"/>
              <w:rPr>
                <w:sz w:val="24"/>
                <w:szCs w:val="24"/>
                <w:color w:val="auto"/>
              </w:rPr>
            </w:pPr>
          </w:p>
        </w:tc>
      </w:tr>
      <w:tr>
        <w:trPr>
          <w:trHeight w:val="228"/>
        </w:trPr>
        <w:tc>
          <w:tcPr>
            <w:tcW w:w="5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6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72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801-975-7200</w:t>
            </w:r>
          </w:p>
        </w:tc>
        <w:tc>
          <w:tcPr>
            <w:tcW w:w="1100" w:type="dxa"/>
            <w:vAlign w:val="bottom"/>
          </w:tcPr>
          <w:p>
            <w:pPr>
              <w:spacing w:after="0"/>
              <w:rPr>
                <w:sz w:val="24"/>
                <w:szCs w:val="24"/>
                <w:color w:val="auto"/>
              </w:rPr>
            </w:pPr>
          </w:p>
        </w:tc>
      </w:tr>
      <w:tr>
        <w:trPr>
          <w:trHeight w:val="432"/>
        </w:trPr>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9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92"/>
        </w:trPr>
        <w:tc>
          <w:tcPr>
            <w:tcW w:w="2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on each exchange on which registered</w:t>
            </w:r>
          </w:p>
        </w:tc>
      </w:tr>
      <w:tr>
        <w:trPr>
          <w:trHeight w:val="20"/>
        </w:trPr>
        <w:tc>
          <w:tcPr>
            <w:tcW w:w="2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8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432"/>
        </w:trPr>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None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 Yes [X] No</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 Yes [X] No</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[X] Yes [ ] No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111" w:right="239" w:bottom="1440" w:gutter="0" w:footer="0" w:header="0"/>
        </w:sectPr>
      </w:pP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Larger Accelerated Filer [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Non-Accelerated Filer [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ind w:right="260" w:hanging="31"/>
        <w:spacing w:after="0" w:line="313" w:lineRule="auto"/>
        <w:rPr>
          <w:sz w:val="20"/>
          <w:szCs w:val="20"/>
          <w:color w:val="auto"/>
        </w:rPr>
      </w:pPr>
      <w:r>
        <w:rPr>
          <w:rFonts w:ascii="Times New Roman" w:cs="Times New Roman" w:eastAsia="Times New Roman" w:hAnsi="Times New Roman"/>
          <w:sz w:val="17"/>
          <w:szCs w:val="17"/>
          <w:color w:val="auto"/>
        </w:rPr>
        <w:t>Smaller Reporting Company [X] Emerging Growth Company [ ]</w:t>
      </w:r>
    </w:p>
    <w:p>
      <w:pPr>
        <w:spacing w:after="0" w:line="138" w:lineRule="exact"/>
        <w:rPr>
          <w:sz w:val="20"/>
          <w:szCs w:val="20"/>
          <w:color w:val="auto"/>
        </w:rPr>
      </w:pPr>
    </w:p>
    <w:p>
      <w:pPr>
        <w:sectPr>
          <w:pgSz w:w="11900" w:h="16838" w:orient="portrait"/>
          <w:cols w:equalWidth="0" w:num="4">
            <w:col w:w="2380" w:space="640"/>
            <w:col w:w="2000" w:space="720"/>
            <w:col w:w="2380" w:space="720"/>
            <w:col w:w="2580"/>
          </w:cols>
          <w:pgMar w:left="240" w:top="111" w:right="2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 ] Yes [X] No</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aggregate market value of the shares of voting common stock held by non-affiliates was approximately $16.8 million at June 30, 2018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Company’s most recently completed second fiscal quarter), based on the $3.85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April 29, 2019 was 16,630,597.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1 on Form 10-K/A (this "Form 10-K/A") to the Annual Report on Form 10-K of ClearOne, Inc., a Delaware corporation (referred to as "ClearOne", "we", "us", "our" or the "Company") for the fiscal year ended December 31, 2018, originally filed with the Securities and Exchange Commission ("SEC") on April 15, 2019 (the "Original 10-K") is being filed solely for the purpose of including the information required by Part III of Form 10-K. The Company no longer anticipates filing its definitive proxy statement within 120 days of its fiscal year ended December 31, 2018. Therefore, such information will not be incorporated by reference to the Company's definitive proxy statement for the 2019 Annual Meeting of Shareholders. Thus, Part III, Items 10-14, of the Company's Original 10-K are hereby amended and restated in their entirety.</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required by Rule 12b-15, in connection with this Form 10-K/A, the Company's Chief Executive Officer and Chief Financial Officer have executed new Rule 13a-14(a) certifications. Accordingly, Part IV, Item 15 has been amended to reflect the filing of such certifications herewith.</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as described above, this Form 10-K/A does not modify or update disclosure in, or exhibits to, the Original 10-K. Furthermore, this Form 10-K/A does not change any previously reported financial results, nor does it reflect events occurring after the date of the Original 10-K. Information not affected by this Form 10-K/A remains unchanged and reflects the disclosures made at the time the Original 10-K was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8"/>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40" w:type="dxa"/>
            <w:vAlign w:val="bottom"/>
          </w:tcPr>
          <w:p>
            <w:pPr>
              <w:spacing w:after="0"/>
              <w:rPr>
                <w:sz w:val="20"/>
                <w:szCs w:val="20"/>
                <w:color w:val="auto"/>
              </w:rPr>
            </w:pPr>
          </w:p>
        </w:tc>
      </w:tr>
      <w:tr>
        <w:trPr>
          <w:trHeight w:val="608"/>
        </w:trPr>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60" w:type="dxa"/>
            <w:vAlign w:val="bottom"/>
            <w:gridSpan w:val="7"/>
          </w:tcPr>
          <w:p>
            <w:pPr>
              <w:jc w:val="center"/>
              <w:ind w:right="3360"/>
              <w:spacing w:after="0"/>
              <w:rPr>
                <w:rFonts w:ascii="Times New Roman" w:cs="Times New Roman" w:eastAsia="Times New Roman" w:hAnsi="Times New Roman"/>
                <w:sz w:val="18"/>
                <w:szCs w:val="18"/>
                <w:b w:val="1"/>
                <w:bCs w:val="1"/>
                <w:color w:val="0000EE"/>
                <w:w w:val="96"/>
              </w:rPr>
            </w:pPr>
            <w:hyperlink w:anchor="page5">
              <w:r>
                <w:rPr>
                  <w:rFonts w:ascii="Times New Roman" w:cs="Times New Roman" w:eastAsia="Times New Roman" w:hAnsi="Times New Roman"/>
                  <w:sz w:val="18"/>
                  <w:szCs w:val="18"/>
                  <w:b w:val="1"/>
                  <w:bCs w:val="1"/>
                  <w:color w:val="0000EE"/>
                  <w:w w:val="96"/>
                </w:rPr>
                <w:t>PART III</w:t>
              </w:r>
            </w:hyperlink>
          </w:p>
        </w:tc>
        <w:tc>
          <w:tcPr>
            <w:tcW w:w="1640" w:type="dxa"/>
            <w:vAlign w:val="bottom"/>
          </w:tcPr>
          <w:p>
            <w:pPr>
              <w:spacing w:after="0"/>
              <w:rPr>
                <w:sz w:val="24"/>
                <w:szCs w:val="24"/>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440" w:type="dxa"/>
            <w:vAlign w:val="bottom"/>
            <w:gridSpan w:val="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Directors, Executive Officers and Corporate Governance</w:t>
              </w:r>
            </w:hyperlink>
          </w:p>
        </w:tc>
        <w:tc>
          <w:tcPr>
            <w:tcW w:w="740" w:type="dxa"/>
            <w:vAlign w:val="bottom"/>
            <w:tcBorders>
              <w:top w:val="single" w:sz="8" w:color="0000EE"/>
            </w:tcBorders>
            <w:gridSpan w:val="3"/>
          </w:tcPr>
          <w:p>
            <w:pPr>
              <w:spacing w:after="0"/>
              <w:rPr>
                <w:sz w:val="17"/>
                <w:szCs w:val="17"/>
                <w:color w:val="auto"/>
              </w:rPr>
            </w:pPr>
          </w:p>
        </w:tc>
        <w:tc>
          <w:tcPr>
            <w:tcW w:w="3680" w:type="dxa"/>
            <w:vAlign w:val="bottom"/>
            <w:gridSpan w:val="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3"/>
          </w:tcPr>
          <w:p>
            <w:pPr>
              <w:spacing w:after="0"/>
              <w:rPr>
                <w:sz w:val="17"/>
                <w:szCs w:val="17"/>
                <w:color w:val="auto"/>
              </w:rPr>
            </w:pPr>
          </w:p>
        </w:tc>
        <w:tc>
          <w:tcPr>
            <w:tcW w:w="4760" w:type="dxa"/>
            <w:vAlign w:val="bottom"/>
            <w:gridSpan w:val="7"/>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56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Certain Relationships and Related Transactions, and Director Independence</w:t>
              </w:r>
            </w:hyperlink>
          </w:p>
        </w:tc>
        <w:tc>
          <w:tcPr>
            <w:tcW w:w="3400" w:type="dxa"/>
            <w:vAlign w:val="bottom"/>
            <w:gridSpan w:val="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860" w:type="dxa"/>
            <w:vAlign w:val="bottom"/>
            <w:gridSpan w:val="11"/>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Principal Accounting Fees and Services</w:t>
              </w:r>
            </w:hyperlink>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920" w:type="dxa"/>
            <w:vAlign w:val="bottom"/>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tcPr>
          <w:p>
            <w:pPr>
              <w:jc w:val="center"/>
              <w:spacing w:after="0" w:line="196" w:lineRule="exact"/>
              <w:rPr>
                <w:rFonts w:ascii="Times New Roman" w:cs="Times New Roman" w:eastAsia="Times New Roman" w:hAnsi="Times New Roman"/>
                <w:sz w:val="18"/>
                <w:szCs w:val="18"/>
                <w:b w:val="1"/>
                <w:bCs w:val="1"/>
                <w:color w:val="0000EE"/>
                <w:w w:val="95"/>
              </w:rPr>
            </w:pPr>
            <w:hyperlink w:anchor="page13">
              <w:r>
                <w:rPr>
                  <w:rFonts w:ascii="Times New Roman" w:cs="Times New Roman" w:eastAsia="Times New Roman" w:hAnsi="Times New Roman"/>
                  <w:sz w:val="18"/>
                  <w:szCs w:val="18"/>
                  <w:b w:val="1"/>
                  <w:bCs w:val="1"/>
                  <w:color w:val="0000EE"/>
                  <w:w w:val="95"/>
                </w:rPr>
                <w:t>PART IV</w:t>
              </w:r>
            </w:hyperlink>
          </w:p>
        </w:tc>
        <w:tc>
          <w:tcPr>
            <w:tcW w:w="370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8860" w:type="dxa"/>
            <w:vAlign w:val="bottom"/>
            <w:gridSpan w:val="11"/>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Exhibits, Financial Statement Schedules</w:t>
              </w:r>
            </w:hyperlink>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595"/>
        </w:trPr>
        <w:tc>
          <w:tcPr>
            <w:tcW w:w="920" w:type="dxa"/>
            <w:vAlign w:val="bottom"/>
            <w:tcBorders>
              <w:bottom w:val="single" w:sz="8" w:color="auto"/>
            </w:tcBorders>
          </w:tcPr>
          <w:p>
            <w:pPr>
              <w:spacing w:after="0"/>
              <w:rPr>
                <w:sz w:val="24"/>
                <w:szCs w:val="24"/>
                <w:color w:val="auto"/>
              </w:rPr>
            </w:pPr>
          </w:p>
        </w:tc>
        <w:tc>
          <w:tcPr>
            <w:tcW w:w="182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directors and executive officers as of April 29,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or</w:t>
            </w:r>
          </w:p>
        </w:tc>
      </w:tr>
      <w:tr>
        <w:trPr>
          <w:trHeight w:val="238"/>
        </w:trPr>
        <w:tc>
          <w:tcPr>
            <w:tcW w:w="2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0" w:type="dxa"/>
            <w:vAlign w:val="bottom"/>
          </w:tcPr>
          <w:p>
            <w:pPr>
              <w:spacing w:after="0"/>
              <w:rPr>
                <w:sz w:val="20"/>
                <w:szCs w:val="20"/>
                <w:color w:val="auto"/>
              </w:rPr>
            </w:pPr>
          </w:p>
        </w:tc>
        <w:tc>
          <w:tcPr>
            <w:tcW w:w="56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r>
      <w:tr>
        <w:trPr>
          <w:trHeight w:val="25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Zeynep “Zee” Hakimoglu</w:t>
            </w:r>
          </w:p>
        </w:tc>
        <w:tc>
          <w:tcPr>
            <w:tcW w:w="118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65</w:t>
            </w:r>
          </w:p>
        </w:tc>
        <w:tc>
          <w:tcPr>
            <w:tcW w:w="240" w:type="dxa"/>
            <w:vAlign w:val="bottom"/>
            <w:shd w:val="clear" w:color="auto" w:fill="CCEEFF"/>
          </w:tcPr>
          <w:p>
            <w:pPr>
              <w:spacing w:after="0"/>
              <w:rPr>
                <w:sz w:val="21"/>
                <w:szCs w:val="21"/>
                <w:color w:val="auto"/>
              </w:rPr>
            </w:pPr>
          </w:p>
        </w:tc>
        <w:tc>
          <w:tcPr>
            <w:tcW w:w="56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Chairman, Chief Executive Officer, and President</w:t>
            </w:r>
            <w:r>
              <w:rPr>
                <w:rFonts w:ascii="Times New Roman" w:cs="Times New Roman" w:eastAsia="Times New Roman" w:hAnsi="Times New Roman"/>
                <w:sz w:val="29"/>
                <w:szCs w:val="29"/>
                <w:color w:val="auto"/>
                <w:vertAlign w:val="superscript"/>
              </w:rPr>
              <w:t>(4)</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See Note 4</w:t>
            </w: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Larry R. Hendricks</w:t>
            </w:r>
          </w:p>
        </w:tc>
        <w:tc>
          <w:tcPr>
            <w:tcW w:w="1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76</w:t>
            </w:r>
          </w:p>
        </w:tc>
        <w:tc>
          <w:tcPr>
            <w:tcW w:w="240" w:type="dxa"/>
            <w:vAlign w:val="bottom"/>
          </w:tcPr>
          <w:p>
            <w:pPr>
              <w:spacing w:after="0"/>
              <w:rPr>
                <w:sz w:val="22"/>
                <w:szCs w:val="22"/>
                <w:color w:val="auto"/>
              </w:rPr>
            </w:pPr>
          </w:p>
        </w:tc>
        <w:tc>
          <w:tcPr>
            <w:tcW w:w="560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Director</w:t>
            </w:r>
            <w:r>
              <w:rPr>
                <w:rFonts w:ascii="Times New Roman" w:cs="Times New Roman" w:eastAsia="Times New Roman" w:hAnsi="Times New Roman"/>
                <w:sz w:val="13"/>
                <w:szCs w:val="13"/>
                <w:color w:val="auto"/>
              </w:rPr>
              <w:t>(1)(2)(3)</w:t>
            </w:r>
          </w:p>
        </w:tc>
        <w:tc>
          <w:tcPr>
            <w:tcW w:w="19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5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118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shd w:val="clear" w:color="auto" w:fill="CCEEFF"/>
          </w:tcPr>
          <w:p>
            <w:pPr>
              <w:spacing w:after="0"/>
              <w:rPr>
                <w:sz w:val="22"/>
                <w:szCs w:val="22"/>
                <w:color w:val="auto"/>
              </w:rPr>
            </w:pPr>
          </w:p>
        </w:tc>
        <w:tc>
          <w:tcPr>
            <w:tcW w:w="5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Director</w:t>
            </w:r>
            <w:r>
              <w:rPr>
                <w:rFonts w:ascii="Times New Roman" w:cs="Times New Roman" w:eastAsia="Times New Roman" w:hAnsi="Times New Roman"/>
                <w:sz w:val="13"/>
                <w:szCs w:val="13"/>
                <w:color w:val="auto"/>
              </w:rPr>
              <w:t>(1)(2)(3)</w:t>
            </w:r>
          </w:p>
        </w:tc>
        <w:tc>
          <w:tcPr>
            <w:tcW w:w="19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1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68</w:t>
            </w:r>
          </w:p>
        </w:tc>
        <w:tc>
          <w:tcPr>
            <w:tcW w:w="240" w:type="dxa"/>
            <w:vAlign w:val="bottom"/>
          </w:tcPr>
          <w:p>
            <w:pPr>
              <w:spacing w:after="0"/>
              <w:rPr>
                <w:sz w:val="22"/>
                <w:szCs w:val="22"/>
                <w:color w:val="auto"/>
              </w:rPr>
            </w:pPr>
          </w:p>
        </w:tc>
        <w:tc>
          <w:tcPr>
            <w:tcW w:w="5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Director</w:t>
            </w:r>
            <w:r>
              <w:rPr>
                <w:rFonts w:ascii="Times New Roman" w:cs="Times New Roman" w:eastAsia="Times New Roman" w:hAnsi="Times New Roman"/>
                <w:sz w:val="29"/>
                <w:szCs w:val="29"/>
                <w:color w:val="auto"/>
                <w:vertAlign w:val="superscript"/>
              </w:rPr>
              <w:t>(1)</w:t>
            </w:r>
          </w:p>
        </w:tc>
        <w:tc>
          <w:tcPr>
            <w:tcW w:w="19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Narsi Narayanan</w:t>
            </w:r>
          </w:p>
        </w:tc>
        <w:tc>
          <w:tcPr>
            <w:tcW w:w="118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of Finance and Corporate Secretary</w:t>
            </w:r>
          </w:p>
        </w:tc>
        <w:tc>
          <w:tcPr>
            <w:tcW w:w="19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2009</w:t>
            </w:r>
          </w:p>
        </w:tc>
      </w:tr>
    </w:tbl>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Compliance Committee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Committee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since July 2004; Director since April 2006; Chairman of the Board since July 2007.</w:t>
      </w:r>
    </w:p>
    <w:p>
      <w:pPr>
        <w:spacing w:after="0" w:line="2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Zee Hakimoglu </w:t>
      </w:r>
      <w:r>
        <w:rPr>
          <w:rFonts w:ascii="Times New Roman" w:cs="Times New Roman" w:eastAsia="Times New Roman" w:hAnsi="Times New Roman"/>
          <w:sz w:val="18"/>
          <w:szCs w:val="18"/>
          <w:color w:val="auto"/>
        </w:rPr>
        <w:t>is our President, Chief Executive Officer and Chairman. She joined our company in December 2003 as Vice President of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 Management and 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Oplink Communications, a publicly traded developer of fiber optic subsystems and components, from December 2001 to December 2002; and, President of OZ Optics USA,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Larry R. Hendricks </w:t>
      </w:r>
      <w:r>
        <w:rPr>
          <w:rFonts w:ascii="Times New Roman" w:cs="Times New Roman" w:eastAsia="Times New Roman" w:hAnsi="Times New Roman"/>
          <w:sz w:val="18"/>
          <w:szCs w:val="18"/>
          <w:color w:val="auto"/>
        </w:rPr>
        <w:t>has served as a director of our company since June 2003. Mr. Hendricks is a Certified Public Accountant who retired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Eric. L Robinson </w:t>
      </w:r>
      <w:r>
        <w:rPr>
          <w:rFonts w:ascii="Times New Roman" w:cs="Times New Roman" w:eastAsia="Times New Roman" w:hAnsi="Times New Roman"/>
          <w:sz w:val="18"/>
          <w:szCs w:val="18"/>
          <w:color w:val="auto"/>
        </w:rPr>
        <w:t>has served as a director of our company since July 2015. Mr. Robinson spent fourteen years in private practice as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 including eleven years as a partner in the Salt Lake City, Utah law firm of Blackburn &amp; Stoll, LC. Mr. Robinson's law practice focused on securities, corporate and other business transactions. Mr. Robinson has been principally employed as General Counsel, Chief Financial Officer and director of MicroPower Global Limited, a development stage company in the semiconductor business since 2009.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28"/>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ind w:left="8"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Bruce Whaley </w:t>
      </w:r>
      <w:r>
        <w:rPr>
          <w:rFonts w:ascii="Times New Roman" w:cs="Times New Roman" w:eastAsia="Times New Roman" w:hAnsi="Times New Roman"/>
          <w:sz w:val="17"/>
          <w:szCs w:val="17"/>
          <w:color w:val="auto"/>
        </w:rPr>
        <w:t>was appointed a director of our company effective April 16, 2019. Mr. Whaley has extensive experience as a stock broker for nearly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five decades. Mr. Whaley is currently a broker trading at Wilson &amp; Davis, a regional brokerage firm based in Salt Lake City, Utah. He has been with Wilson</w:t>
      </w:r>
    </w:p>
    <w:p>
      <w:pPr>
        <w:spacing w:after="0" w:line="2" w:lineRule="exact"/>
        <w:rPr>
          <w:sz w:val="20"/>
          <w:szCs w:val="20"/>
          <w:color w:val="auto"/>
        </w:rPr>
      </w:pPr>
    </w:p>
    <w:p>
      <w:pPr>
        <w:ind w:left="8" w:right="20" w:hanging="8"/>
        <w:spacing w:after="0" w:line="255" w:lineRule="auto"/>
        <w:tabs>
          <w:tab w:leader="none" w:pos="1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Davis since 1988. Mr Whaley also holds a real estate license and works as a real estate agent for Coldwell Banker. Mr. Whaley attended University of Utah between 1968 and 1971 and studied business administration. In light of Mr.Whaley's experience in finance and capital markets, the Board concluded it was appropriate that Mr. Whaley be appointed and continue to serve as a director.</w:t>
      </w:r>
    </w:p>
    <w:p>
      <w:pPr>
        <w:spacing w:after="0" w:line="182" w:lineRule="exact"/>
        <w:rPr>
          <w:sz w:val="20"/>
          <w:szCs w:val="20"/>
          <w:color w:val="auto"/>
        </w:rPr>
      </w:pPr>
    </w:p>
    <w:p>
      <w:pPr>
        <w:ind w:left="8"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Narsi Narayanan </w:t>
      </w:r>
      <w:r>
        <w:rPr>
          <w:rFonts w:ascii="Times New Roman" w:cs="Times New Roman" w:eastAsia="Times New Roman" w:hAnsi="Times New Roman"/>
          <w:sz w:val="18"/>
          <w:szCs w:val="18"/>
          <w:color w:val="auto"/>
        </w:rPr>
        <w:t>(now serving as Senior Vice President of Finance) has served as our Vice President of Finance since July 2009 and has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two 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left="8" w:right="100" w:firstLine="648"/>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2018, we believe that each person who, at any time during such fiscal year was a director, officer, or beneficial owner of more than 10% of our common stock complied with all Section 16(a) filing requirements during such period.</w:t>
      </w:r>
    </w:p>
    <w:p>
      <w:pPr>
        <w:spacing w:after="0" w:line="1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left="8" w:right="180" w:firstLine="713"/>
        <w:spacing w:after="0" w:line="282" w:lineRule="auto"/>
        <w:rPr>
          <w:sz w:val="20"/>
          <w:szCs w:val="20"/>
          <w:color w:val="auto"/>
        </w:rPr>
      </w:pPr>
      <w:r>
        <w:rPr>
          <w:rFonts w:ascii="Times New Roman" w:cs="Times New Roman" w:eastAsia="Times New Roman" w:hAnsi="Times New Roman"/>
          <w:sz w:val="18"/>
          <w:szCs w:val="18"/>
          <w:color w:val="auto"/>
        </w:rPr>
        <w:t>The Board of Directors adopted a code of ethics that applies to our Board of Directors, executive officers, and employees. The Company's Code of Ethics is posted on our website at www.clearone.com.</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Nomination Procedures</w:t>
      </w:r>
    </w:p>
    <w:p>
      <w:pPr>
        <w:spacing w:after="0" w:line="229"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8"/>
          <w:szCs w:val="18"/>
          <w:color w:val="auto"/>
        </w:rPr>
        <w:t>No changes have been made to the procedures by which our shareholders may recommend nominees to our Board of Directors.</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Audit and Compliance Committee</w:t>
      </w:r>
    </w:p>
    <w:p>
      <w:pPr>
        <w:spacing w:after="0" w:line="229" w:lineRule="exact"/>
        <w:rPr>
          <w:sz w:val="20"/>
          <w:szCs w:val="20"/>
          <w:color w:val="auto"/>
        </w:rPr>
      </w:pPr>
    </w:p>
    <w:p>
      <w:pPr>
        <w:jc w:val="both"/>
        <w:ind w:left="8" w:firstLine="713"/>
        <w:spacing w:after="0" w:line="266" w:lineRule="auto"/>
        <w:rPr>
          <w:sz w:val="20"/>
          <w:szCs w:val="20"/>
          <w:color w:val="auto"/>
        </w:rPr>
      </w:pPr>
      <w:r>
        <w:rPr>
          <w:rFonts w:ascii="Times New Roman" w:cs="Times New Roman" w:eastAsia="Times New Roman" w:hAnsi="Times New Roman"/>
          <w:sz w:val="18"/>
          <w:szCs w:val="18"/>
          <w:color w:val="auto"/>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spacing w:after="0" w:line="176"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8"/>
          </w:cols>
          <w:pgMar w:left="212" w:top="111" w:right="37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earned by each named executive officer for the years ended December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2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0" w:type="dxa"/>
            <w:vAlign w:val="bottom"/>
          </w:tcPr>
          <w:p>
            <w:pPr>
              <w:spacing w:after="0"/>
              <w:rPr>
                <w:sz w:val="23"/>
                <w:szCs w:val="23"/>
                <w:color w:val="auto"/>
              </w:rPr>
            </w:pPr>
          </w:p>
        </w:tc>
        <w:tc>
          <w:tcPr>
            <w:tcW w:w="1040" w:type="dxa"/>
            <w:vAlign w:val="bottom"/>
            <w:gridSpan w:val="3"/>
          </w:tcPr>
          <w:p>
            <w:pPr>
              <w:jc w:val="right"/>
              <w:ind w:right="200"/>
              <w:spacing w:after="0" w:line="275" w:lineRule="exact"/>
              <w:rPr>
                <w:sz w:val="20"/>
                <w:szCs w:val="20"/>
                <w:color w:val="auto"/>
              </w:rPr>
            </w:pPr>
            <w:r>
              <w:rPr>
                <w:rFonts w:ascii="Times New Roman" w:cs="Times New Roman" w:eastAsia="Times New Roman" w:hAnsi="Times New Roman"/>
                <w:sz w:val="18"/>
                <w:szCs w:val="18"/>
                <w:b w:val="1"/>
                <w:bCs w:val="1"/>
                <w:color w:val="auto"/>
                <w:w w:val="98"/>
              </w:rPr>
              <w:t>Awards</w:t>
            </w:r>
            <w:r>
              <w:rPr>
                <w:rFonts w:ascii="Times New Roman" w:cs="Times New Roman" w:eastAsia="Times New Roman" w:hAnsi="Times New Roman"/>
                <w:sz w:val="30"/>
                <w:szCs w:val="30"/>
                <w:b w:val="1"/>
                <w:bCs w:val="1"/>
                <w:color w:val="auto"/>
                <w:w w:val="98"/>
                <w:vertAlign w:val="superscript"/>
              </w:rPr>
              <w:t>(1)</w:t>
            </w:r>
          </w:p>
        </w:tc>
        <w:tc>
          <w:tcPr>
            <w:tcW w:w="1480" w:type="dxa"/>
            <w:vAlign w:val="bottom"/>
            <w:gridSpan w:val="4"/>
          </w:tcPr>
          <w:p>
            <w:pPr>
              <w:ind w:left="80"/>
              <w:spacing w:after="0" w:line="275"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30"/>
                <w:szCs w:val="30"/>
                <w:b w:val="1"/>
                <w:bCs w:val="1"/>
                <w:color w:val="auto"/>
                <w:vertAlign w:val="superscript"/>
              </w:rPr>
              <w:t>(2)</w:t>
            </w:r>
          </w:p>
        </w:tc>
        <w:tc>
          <w:tcPr>
            <w:tcW w:w="1600" w:type="dxa"/>
            <w:vAlign w:val="bottom"/>
            <w:gridSpan w:val="4"/>
          </w:tcPr>
          <w:p>
            <w:pPr>
              <w:ind w:left="100"/>
              <w:spacing w:after="0" w:line="275"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30"/>
                <w:szCs w:val="30"/>
                <w:b w:val="1"/>
                <w:bCs w:val="1"/>
                <w:color w:val="auto"/>
                <w:vertAlign w:val="superscript"/>
              </w:rPr>
              <w:t>(3)</w:t>
            </w:r>
          </w:p>
        </w:tc>
        <w:tc>
          <w:tcPr>
            <w:tcW w:w="18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Zeynep Hakimoglu - </w:t>
            </w:r>
            <w:r>
              <w:rPr>
                <w:rFonts w:ascii="Times New Roman" w:cs="Times New Roman" w:eastAsia="Times New Roman" w:hAnsi="Times New Roman"/>
                <w:sz w:val="18"/>
                <w:szCs w:val="18"/>
                <w:color w:val="auto"/>
              </w:rPr>
              <w:t>Chief Executive Officer and President</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355,000</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353,077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524,895</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Narsi Narayanan - </w:t>
            </w:r>
            <w:r>
              <w:rPr>
                <w:rFonts w:ascii="Times New Roman" w:cs="Times New Roman" w:eastAsia="Times New Roman" w:hAnsi="Times New Roman"/>
                <w:sz w:val="18"/>
                <w:szCs w:val="18"/>
                <w:color w:val="auto"/>
              </w:rPr>
              <w:t>Senior Vice President of Finance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196,500</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278,913</w:t>
            </w:r>
          </w:p>
        </w:tc>
      </w:tr>
      <w:tr>
        <w:trPr>
          <w:trHeight w:val="201"/>
        </w:trPr>
        <w:tc>
          <w:tcPr>
            <w:tcW w:w="20" w:type="dxa"/>
            <w:vAlign w:val="bottom"/>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 xml:space="preserve">Michael Braithwaite - </w:t>
            </w:r>
            <w:r>
              <w:rPr>
                <w:rFonts w:ascii="Times New Roman" w:cs="Times New Roman" w:eastAsia="Times New Roman" w:hAnsi="Times New Roman"/>
                <w:sz w:val="18"/>
                <w:szCs w:val="18"/>
                <w:color w:val="auto"/>
              </w:rPr>
              <w:t>Senior Vice President - Network Streaming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20" w:type="dxa"/>
            <w:vAlign w:val="bottom"/>
          </w:tcPr>
          <w:p>
            <w:pPr>
              <w:spacing w:after="0"/>
              <w:rPr>
                <w:sz w:val="23"/>
                <w:szCs w:val="23"/>
                <w:color w:val="auto"/>
              </w:rPr>
            </w:pPr>
          </w:p>
        </w:tc>
        <w:tc>
          <w:tcPr>
            <w:tcW w:w="506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 xml:space="preserve">Business </w:t>
            </w:r>
            <w:r>
              <w:rPr>
                <w:rFonts w:ascii="Times New Roman" w:cs="Times New Roman" w:eastAsia="Times New Roman" w:hAnsi="Times New Roman"/>
                <w:sz w:val="30"/>
                <w:szCs w:val="30"/>
                <w:color w:val="auto"/>
                <w:vertAlign w:val="superscript"/>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65,619</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202,992</w:t>
            </w:r>
          </w:p>
        </w:tc>
      </w:tr>
    </w:tbl>
    <w:p>
      <w:pPr>
        <w:spacing w:after="0" w:line="198" w:lineRule="exact"/>
        <w:rPr>
          <w:sz w:val="20"/>
          <w:szCs w:val="20"/>
          <w:color w:val="auto"/>
        </w:rPr>
      </w:pPr>
    </w:p>
    <w:p>
      <w:pPr>
        <w:ind w:left="240" w:right="400" w:hanging="232"/>
        <w:spacing w:after="0" w:line="258"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The assumptions made in the valuation of our stock option awards and the material terms of the stock option awards are disclosed in Note 9 - Share Based Payments in our Notes to Consolidated Financial Statements included in Part IV of the Form 10-K for the year ended December 31, 2017. No stock options were granted in 2018.</w:t>
      </w:r>
    </w:p>
    <w:p>
      <w:pPr>
        <w:spacing w:after="0" w:line="183" w:lineRule="exact"/>
        <w:rPr>
          <w:rFonts w:ascii="Times New Roman" w:cs="Times New Roman" w:eastAsia="Times New Roman" w:hAnsi="Times New Roman"/>
          <w:sz w:val="18"/>
          <w:szCs w:val="18"/>
          <w:color w:val="auto"/>
        </w:rPr>
      </w:pPr>
    </w:p>
    <w:p>
      <w:pPr>
        <w:ind w:left="240" w:right="80" w:hanging="232"/>
        <w:spacing w:after="0" w:line="253"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for Ms. Hakimoglu and Mr. Narayanan is based upon the achievement of pre-determined quarterly goals, namely, financial goals comprising of revenue, gross margin, operating income and meeting reporting deadlines, and non-quantitative performance goals. Mr. Braithwaite’s compensation plan is based upon attainment of revenue of a certain product group.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which is then determined by the Compensation Committee. Compensation under the non-equity incentive plan for Ms. Hakimoglu and Mr. Narayanan is calculated by assigning 70% weight to financial goals and 30% to non-quantitative goals. Neither Ms. Hakimoglu nor Mr. Narayanan met their goals for the year ended December 31, 2018, and consequently did not receive any incentive bonuses or discretionary bonuses for 2018. Ms. Hakimoglu’s compensation for the year ended December 31, 2017 included a $22,324 bonus for achieving certain of her financial goals, a $10,294 bonus for achieving certain of her non-quantitative goals, and $6,500 paid as discretionary bonus. Mr. Narayanan’s compensation for the year ended December 31, 2017 included a $12,887 bonus for achieving certain of his financial goals, and a $3,657 bonus for achieving certain of his non-quantitative goals.</w:t>
      </w:r>
    </w:p>
    <w:p>
      <w:pPr>
        <w:spacing w:after="0" w:line="190" w:lineRule="exact"/>
        <w:rPr>
          <w:rFonts w:ascii="Times New Roman" w:cs="Times New Roman" w:eastAsia="Times New Roman" w:hAnsi="Times New Roman"/>
          <w:sz w:val="18"/>
          <w:szCs w:val="18"/>
          <w:color w:val="auto"/>
        </w:rPr>
      </w:pPr>
    </w:p>
    <w:p>
      <w:pPr>
        <w:jc w:val="both"/>
        <w:ind w:left="240" w:right="140" w:hanging="232"/>
        <w:spacing w:after="0" w:line="261"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2018, the Company terminated Michael Braithwaite’s employment. In connection with Mr. Braithwaite’s separation from the Company, on January 9, 2018 Mr. Braithwaite entered into a Confidential Separation Agreement and General Release with the Company (the “Separation Agreement”). Under the terms of the Separation Agreement, Mr. Braithwaite was paid cash severance of $52,356 for a customary general release of claims.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ind w:left="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2018.</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72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720" w:type="dxa"/>
            <w:vAlign w:val="bottom"/>
            <w:vMerge w:val="continue"/>
          </w:tcPr>
          <w:p>
            <w:pPr>
              <w:spacing w:after="0"/>
              <w:rPr>
                <w:sz w:val="7"/>
                <w:szCs w:val="7"/>
                <w:color w:val="auto"/>
              </w:rPr>
            </w:pPr>
          </w:p>
        </w:tc>
        <w:tc>
          <w:tcPr>
            <w:tcW w:w="14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2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720" w:type="dxa"/>
            <w:vAlign w:val="bottom"/>
            <w:vMerge w:val="continue"/>
          </w:tcPr>
          <w:p>
            <w:pPr>
              <w:spacing w:after="0"/>
              <w:rPr>
                <w:sz w:val="7"/>
                <w:szCs w:val="7"/>
                <w:color w:val="auto"/>
              </w:rPr>
            </w:pPr>
          </w:p>
        </w:tc>
        <w:tc>
          <w:tcPr>
            <w:tcW w:w="14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720" w:type="dxa"/>
            <w:vAlign w:val="bottom"/>
            <w:vMerge w:val="continue"/>
          </w:tcPr>
          <w:p>
            <w:pPr>
              <w:spacing w:after="0"/>
              <w:rPr>
                <w:sz w:val="7"/>
                <w:szCs w:val="7"/>
                <w:color w:val="auto"/>
              </w:rPr>
            </w:pPr>
          </w:p>
        </w:tc>
        <w:tc>
          <w:tcPr>
            <w:tcW w:w="14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72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Unexercisable</w:t>
            </w:r>
            <w:r>
              <w:rPr>
                <w:rFonts w:ascii="Times New Roman" w:cs="Times New Roman" w:eastAsia="Times New Roman" w:hAnsi="Times New Roman"/>
                <w:sz w:val="30"/>
                <w:szCs w:val="30"/>
                <w:b w:val="1"/>
                <w:bCs w:val="1"/>
                <w:color w:val="auto"/>
                <w:w w:val="95"/>
                <w:vertAlign w:val="superscript"/>
              </w:rPr>
              <w:t>(1)</w:t>
            </w:r>
          </w:p>
        </w:tc>
        <w:tc>
          <w:tcPr>
            <w:tcW w:w="1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Zeynep Hakimoglu</w:t>
            </w: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3.004</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05-26-2010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05-26-2020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5.480</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08-05-2011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08-05-2021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25,000</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3.920</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05-11-2012</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05-11-2022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25,000</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8.220</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08-22-2013</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08-22-2023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40,000</w:t>
            </w: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8.340</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09-12-2014</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09-12-2024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45,833</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4,167</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11.960</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03-11-2016</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03-11-2026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6,666</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3,334</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11.000</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12-14-2016</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12-14-2026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20,000</w:t>
            </w: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9.900</w:t>
            </w: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06-01-2017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06-01-2027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Narsi Narayanan</w:t>
            </w: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20,000</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2.780</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08-27-2009</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08-27-2019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3.004</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05-26-2010</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05-26-2020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5.480</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08-05-2011</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08-05-2021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20,000</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3.920</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05-11-2012</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05-11-2022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15,000</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8.220</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08-22-2013</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08-22-2023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20,000</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8.340</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09-12-2014</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09-12-2024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22,916</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2,084</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11.960</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03-11-2016</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03-11-2026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1,666</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834</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11.000</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12-14-2016</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12-14-2026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9.900</w:t>
            </w:r>
          </w:p>
        </w:tc>
        <w:tc>
          <w:tcPr>
            <w:tcW w:w="1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06-01-2017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06-01-2027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right="120" w:hanging="232"/>
        <w:spacing w:after="0" w:line="282"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spacing w:after="0" w:line="37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grants of plan-based awards to named executive officers in 2018.</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exercises of stock options by named executive officers during 2018. There were no equity awards that vested for the named executive officers during 2018.</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20" w:top="111" w:right="319" w:bottom="1440" w:gutter="0" w:footer="0" w:header="0"/>
        </w:sectPr>
      </w:pPr>
    </w:p>
    <w:bookmarkStart w:id="8" w:name="page9"/>
    <w:bookmarkEnd w:id="8"/>
    <w:p>
      <w:pPr>
        <w:ind w:left="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compensation paid by us to non-employee directors for the year ended December 31, 2018. Ms.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Hakimoglu did not receive additional compensation for her service as a director.</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7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center"/>
              <w:ind w:right="260"/>
              <w:spacing w:after="0" w:line="269" w:lineRule="exact"/>
              <w:rPr>
                <w:sz w:val="20"/>
                <w:szCs w:val="20"/>
                <w:color w:val="auto"/>
              </w:rPr>
            </w:pPr>
            <w:r>
              <w:rPr>
                <w:rFonts w:ascii="Times New Roman" w:cs="Times New Roman" w:eastAsia="Times New Roman" w:hAnsi="Times New Roman"/>
                <w:sz w:val="18"/>
                <w:szCs w:val="18"/>
                <w:b w:val="1"/>
                <w:bCs w:val="1"/>
                <w:color w:val="auto"/>
                <w:w w:val="92"/>
              </w:rPr>
              <w:t>Cash</w:t>
            </w:r>
            <w:r>
              <w:rPr>
                <w:rFonts w:ascii="Times New Roman" w:cs="Times New Roman" w:eastAsia="Times New Roman" w:hAnsi="Times New Roman"/>
                <w:sz w:val="30"/>
                <w:szCs w:val="30"/>
                <w:b w:val="1"/>
                <w:bCs w:val="1"/>
                <w:color w:val="auto"/>
                <w:w w:val="92"/>
                <w:vertAlign w:val="superscript"/>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3"/>
          </w:tcPr>
          <w:p>
            <w:pPr>
              <w:jc w:val="center"/>
              <w:ind w:right="520"/>
              <w:spacing w:after="0" w:line="269" w:lineRule="exact"/>
              <w:rPr>
                <w:sz w:val="20"/>
                <w:szCs w:val="20"/>
                <w:color w:val="auto"/>
              </w:rPr>
            </w:pPr>
            <w:r>
              <w:rPr>
                <w:rFonts w:ascii="Times New Roman" w:cs="Times New Roman" w:eastAsia="Times New Roman" w:hAnsi="Times New Roman"/>
                <w:sz w:val="18"/>
                <w:szCs w:val="18"/>
                <w:b w:val="1"/>
                <w:bCs w:val="1"/>
                <w:color w:val="auto"/>
                <w:w w:val="93"/>
              </w:rPr>
              <w:t>Awards</w:t>
            </w:r>
            <w:r>
              <w:rPr>
                <w:rFonts w:ascii="Times New Roman" w:cs="Times New Roman" w:eastAsia="Times New Roman" w:hAnsi="Times New Roman"/>
                <w:sz w:val="30"/>
                <w:szCs w:val="30"/>
                <w:b w:val="1"/>
                <w:bCs w:val="1"/>
                <w:color w:val="auto"/>
                <w:w w:val="93"/>
                <w:vertAlign w:val="superscript"/>
              </w:rPr>
              <w:t>(2)</w:t>
            </w:r>
          </w:p>
        </w:tc>
        <w:tc>
          <w:tcPr>
            <w:tcW w:w="17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2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Brad R. Baldwin </w:t>
            </w:r>
            <w:r>
              <w:rPr>
                <w:rFonts w:ascii="Times New Roman" w:cs="Times New Roman" w:eastAsia="Times New Roman" w:hAnsi="Times New Roman"/>
                <w:sz w:val="28"/>
                <w:szCs w:val="28"/>
                <w:color w:val="auto"/>
                <w:vertAlign w:val="superscript"/>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right="60" w:hanging="232"/>
        <w:spacing w:after="0" w:line="266"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annual director’s fee for the reporting year was $30,000. In addition, independent directors were paid $100 per month for each board committee served on, and an additional $300 per month if the director was the chair of the Audit and Compliance Committee or Compensation Committee. The fee is not dependent on the number of meetings attended by any directors.</w:t>
      </w:r>
    </w:p>
    <w:p>
      <w:pPr>
        <w:spacing w:after="0" w:line="176" w:lineRule="exact"/>
        <w:rPr>
          <w:rFonts w:ascii="Times New Roman" w:cs="Times New Roman" w:eastAsia="Times New Roman" w:hAnsi="Times New Roman"/>
          <w:sz w:val="18"/>
          <w:szCs w:val="18"/>
          <w:color w:val="auto"/>
        </w:rPr>
      </w:pPr>
    </w:p>
    <w:p>
      <w:pPr>
        <w:ind w:left="260" w:hanging="232"/>
        <w:spacing w:after="0" w:line="266"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2018, non-employee directors received an annual grant of a stock option to purchase 10,000 shares of common stock as part of their compensation. The Board terminated the annual grant of stock options to non-employee directors in 2018, and consequently no stock options were awarded to non-employee directors in 2018.</w:t>
      </w:r>
    </w:p>
    <w:p>
      <w:pPr>
        <w:spacing w:after="0" w:line="176" w:lineRule="exact"/>
        <w:rPr>
          <w:rFonts w:ascii="Times New Roman" w:cs="Times New Roman" w:eastAsia="Times New Roman" w:hAnsi="Times New Roman"/>
          <w:sz w:val="18"/>
          <w:szCs w:val="18"/>
          <w:color w:val="auto"/>
        </w:rPr>
      </w:pPr>
    </w:p>
    <w:p>
      <w:pPr>
        <w:ind w:left="260" w:hanging="23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Baldwin’s tenure as a director of the Company ended on October 25, 2018.</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Company's non-employee directors have received an annual grant of stock options to purchase 10,000 shares of the Company's common stock, of which one-third of the shares vest on the first anniversary of the grant date, and the remaining vest in equal monthly increments over the subsequent 24-month period. However, the Board decided to terminate the annual stock option award to non-employee directors in 2018, and consequently, no such grants were made in 2018. All directors are reimbursed by the Company for their out-of-pocket travel and related expenses, if any, incurred in attending all Board of Directors and committee meetings.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1" w:right="239" w:bottom="1440" w:gutter="0" w:footer="0" w:header="0"/>
        </w:sectPr>
      </w:pPr>
    </w:p>
    <w:bookmarkStart w:id="9" w:name="page10"/>
    <w:bookmarkEnd w:id="9"/>
    <w:p>
      <w:pPr>
        <w:ind w:left="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ind w:left="20" w:right="7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April 26, 2019,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Shares Beneficially</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could</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Currently</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 acquired</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Currently</w:t>
            </w:r>
          </w:p>
        </w:tc>
        <w:tc>
          <w:tcPr>
            <w:tcW w:w="16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within</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Name of Beneficial Owner</w:t>
            </w:r>
            <w:r>
              <w:rPr>
                <w:rFonts w:ascii="Times New Roman" w:cs="Times New Roman" w:eastAsia="Times New Roman" w:hAnsi="Times New Roman"/>
                <w:sz w:val="30"/>
                <w:szCs w:val="30"/>
                <w:b w:val="1"/>
                <w:bCs w:val="1"/>
                <w:color w:val="auto"/>
                <w:w w:val="99"/>
                <w:vertAlign w:val="superscript"/>
              </w:rPr>
              <w:t>(1)</w:t>
            </w:r>
          </w:p>
        </w:tc>
        <w:tc>
          <w:tcPr>
            <w:tcW w:w="80" w:type="dxa"/>
            <w:vAlign w:val="bottom"/>
            <w:vMerge w:val="restart"/>
          </w:tcPr>
          <w:p>
            <w:pPr>
              <w:spacing w:after="0"/>
              <w:rPr>
                <w:sz w:val="24"/>
                <w:szCs w:val="24"/>
                <w:color w:val="auto"/>
              </w:rPr>
            </w:pPr>
          </w:p>
        </w:tc>
        <w:tc>
          <w:tcPr>
            <w:tcW w:w="1160" w:type="dxa"/>
            <w:vAlign w:val="bottom"/>
          </w:tcPr>
          <w:p>
            <w:pPr>
              <w:jc w:val="center"/>
              <w:spacing w:after="0" w:line="297" w:lineRule="exact"/>
              <w:rPr>
                <w:sz w:val="20"/>
                <w:szCs w:val="20"/>
                <w:color w:val="auto"/>
              </w:rPr>
            </w:pPr>
            <w:r>
              <w:rPr>
                <w:rFonts w:ascii="Times New Roman" w:cs="Times New Roman" w:eastAsia="Times New Roman" w:hAnsi="Times New Roman"/>
                <w:sz w:val="18"/>
                <w:szCs w:val="18"/>
                <w:b w:val="1"/>
                <w:bCs w:val="1"/>
                <w:color w:val="auto"/>
                <w:w w:val="91"/>
              </w:rPr>
              <w:t xml:space="preserve">Owned </w:t>
            </w:r>
            <w:r>
              <w:rPr>
                <w:rFonts w:ascii="Times New Roman" w:cs="Times New Roman" w:eastAsia="Times New Roman" w:hAnsi="Times New Roman"/>
                <w:sz w:val="30"/>
                <w:szCs w:val="30"/>
                <w:b w:val="1"/>
                <w:bCs w:val="1"/>
                <w:color w:val="auto"/>
                <w:w w:val="91"/>
                <w:vertAlign w:val="superscript"/>
              </w:rPr>
              <w:t>(2)</w:t>
            </w:r>
          </w:p>
        </w:tc>
        <w:tc>
          <w:tcPr>
            <w:tcW w:w="160" w:type="dxa"/>
            <w:vAlign w:val="bottom"/>
          </w:tcPr>
          <w:p>
            <w:pPr>
              <w:spacing w:after="0"/>
              <w:rPr>
                <w:sz w:val="24"/>
                <w:szCs w:val="24"/>
                <w:color w:val="auto"/>
              </w:rPr>
            </w:pPr>
          </w:p>
        </w:tc>
        <w:tc>
          <w:tcPr>
            <w:tcW w:w="1420" w:type="dxa"/>
            <w:vAlign w:val="bottom"/>
            <w:gridSpan w:val="2"/>
          </w:tcPr>
          <w:p>
            <w:pPr>
              <w:jc w:val="center"/>
              <w:ind w:right="220"/>
              <w:spacing w:after="0" w:line="297" w:lineRule="exact"/>
              <w:rPr>
                <w:sz w:val="20"/>
                <w:szCs w:val="20"/>
                <w:color w:val="auto"/>
              </w:rPr>
            </w:pPr>
            <w:r>
              <w:rPr>
                <w:rFonts w:ascii="Times New Roman" w:cs="Times New Roman" w:eastAsia="Times New Roman" w:hAnsi="Times New Roman"/>
                <w:sz w:val="18"/>
                <w:szCs w:val="18"/>
                <w:b w:val="1"/>
                <w:bCs w:val="1"/>
                <w:color w:val="auto"/>
                <w:w w:val="92"/>
              </w:rPr>
              <w:t xml:space="preserve">Percent </w:t>
            </w:r>
            <w:r>
              <w:rPr>
                <w:rFonts w:ascii="Times New Roman" w:cs="Times New Roman" w:eastAsia="Times New Roman" w:hAnsi="Times New Roman"/>
                <w:sz w:val="30"/>
                <w:szCs w:val="30"/>
                <w:b w:val="1"/>
                <w:bCs w:val="1"/>
                <w:color w:val="auto"/>
                <w:w w:val="92"/>
                <w:vertAlign w:val="superscript"/>
              </w:rPr>
              <w:t>(2)</w:t>
            </w:r>
          </w:p>
        </w:tc>
        <w:tc>
          <w:tcPr>
            <w:tcW w:w="1340" w:type="dxa"/>
            <w:vAlign w:val="bottom"/>
            <w:gridSpan w:val="2"/>
          </w:tcPr>
          <w:p>
            <w:pPr>
              <w:jc w:val="center"/>
              <w:ind w:right="140"/>
              <w:spacing w:after="0" w:line="297" w:lineRule="exact"/>
              <w:rPr>
                <w:sz w:val="20"/>
                <w:szCs w:val="20"/>
                <w:color w:val="auto"/>
              </w:rPr>
            </w:pPr>
            <w:r>
              <w:rPr>
                <w:rFonts w:ascii="Times New Roman" w:cs="Times New Roman" w:eastAsia="Times New Roman" w:hAnsi="Times New Roman"/>
                <w:sz w:val="18"/>
                <w:szCs w:val="18"/>
                <w:b w:val="1"/>
                <w:bCs w:val="1"/>
                <w:color w:val="auto"/>
                <w:w w:val="93"/>
              </w:rPr>
              <w:t xml:space="preserve">60 days </w:t>
            </w:r>
            <w:r>
              <w:rPr>
                <w:rFonts w:ascii="Times New Roman" w:cs="Times New Roman" w:eastAsia="Times New Roman" w:hAnsi="Times New Roman"/>
                <w:sz w:val="30"/>
                <w:szCs w:val="30"/>
                <w:b w:val="1"/>
                <w:bCs w:val="1"/>
                <w:color w:val="auto"/>
                <w:w w:val="93"/>
                <w:vertAlign w:val="superscript"/>
              </w:rPr>
              <w:t>(2)</w:t>
            </w:r>
          </w:p>
        </w:tc>
        <w:tc>
          <w:tcPr>
            <w:tcW w:w="1340" w:type="dxa"/>
            <w:vAlign w:val="bottom"/>
            <w:gridSpan w:val="2"/>
          </w:tcPr>
          <w:p>
            <w:pPr>
              <w:ind w:left="280"/>
              <w:spacing w:after="0" w:line="297"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30"/>
                <w:szCs w:val="30"/>
                <w:b w:val="1"/>
                <w:bCs w:val="1"/>
                <w:color w:val="auto"/>
                <w:vertAlign w:val="superscript"/>
              </w:rPr>
              <w:t>(2)</w:t>
            </w:r>
          </w:p>
        </w:tc>
        <w:tc>
          <w:tcPr>
            <w:tcW w:w="1340" w:type="dxa"/>
            <w:vAlign w:val="bottom"/>
            <w:gridSpan w:val="2"/>
          </w:tcPr>
          <w:p>
            <w:pPr>
              <w:jc w:val="center"/>
              <w:ind w:right="160"/>
              <w:spacing w:after="0" w:line="297" w:lineRule="exact"/>
              <w:rPr>
                <w:sz w:val="20"/>
                <w:szCs w:val="20"/>
                <w:color w:val="auto"/>
              </w:rPr>
            </w:pPr>
            <w:r>
              <w:rPr>
                <w:rFonts w:ascii="Times New Roman" w:cs="Times New Roman" w:eastAsia="Times New Roman" w:hAnsi="Times New Roman"/>
                <w:sz w:val="18"/>
                <w:szCs w:val="18"/>
                <w:b w:val="1"/>
                <w:bCs w:val="1"/>
                <w:color w:val="auto"/>
                <w:w w:val="94"/>
              </w:rPr>
              <w:t xml:space="preserve">Percent </w:t>
            </w:r>
            <w:r>
              <w:rPr>
                <w:rFonts w:ascii="Times New Roman" w:cs="Times New Roman" w:eastAsia="Times New Roman" w:hAnsi="Times New Roman"/>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Borders>
              <w:bottom w:val="single" w:sz="8" w:color="auto"/>
            </w:tcBorders>
            <w:gridSpan w:val="4"/>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Directors and Executive</w:t>
            </w:r>
          </w:p>
        </w:tc>
        <w:tc>
          <w:tcPr>
            <w:tcW w:w="520" w:type="dxa"/>
            <w:vAlign w:val="bottom"/>
            <w:tcBorders>
              <w:bottom w:val="single" w:sz="8" w:color="CCEEFF"/>
            </w:tcBorders>
            <w:gridSpan w:val="2"/>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Officers: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Zeynep Hakimoglu</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781,042</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195,000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976,042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61,110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69,658</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24,443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24,508</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Narsi Narayanan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135,416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145,344</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(Directors and Officers)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799,583</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415,969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1,215,552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tcBorders>
              <w:bottom w:val="single" w:sz="8" w:color="auto"/>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7"/>
              </w:rPr>
              <w:t>5% Shareholders:</w:t>
            </w:r>
          </w:p>
        </w:tc>
        <w:tc>
          <w:tcPr>
            <w:tcW w:w="980" w:type="dxa"/>
            <w:vAlign w:val="bottom"/>
            <w:tcBorders>
              <w:bottom w:val="single" w:sz="8" w:color="CCEEFF"/>
            </w:tcBorders>
            <w:gridSpan w:val="3"/>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60" w:type="dxa"/>
            <w:vAlign w:val="bottom"/>
            <w:gridSpan w:val="5"/>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Edward D. Bagley </w:t>
            </w:r>
            <w:r>
              <w:rPr>
                <w:rFonts w:ascii="Times New Roman" w:cs="Times New Roman" w:eastAsia="Times New Roman" w:hAnsi="Times New Roman"/>
                <w:sz w:val="29"/>
                <w:szCs w:val="29"/>
                <w:color w:val="auto"/>
                <w:vertAlign w:val="superscript"/>
              </w:rPr>
              <w:t>(3)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7,381,897</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44.39%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24,443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7,406,340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60" w:type="dxa"/>
            <w:vAlign w:val="bottom"/>
            <w:gridSpan w:val="5"/>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 Bryan Bagley </w:t>
            </w:r>
            <w:r>
              <w:rPr>
                <w:rFonts w:ascii="Times New Roman" w:cs="Times New Roman" w:eastAsia="Times New Roman" w:hAnsi="Times New Roman"/>
                <w:sz w:val="29"/>
                <w:szCs w:val="29"/>
                <w:color w:val="auto"/>
                <w:vertAlign w:val="superscript"/>
              </w:rPr>
              <w:t>(4)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1,690,588</w:t>
            </w:r>
          </w:p>
        </w:tc>
        <w:tc>
          <w:tcPr>
            <w:tcW w:w="1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1,690.588</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right="220" w:hanging="232"/>
        <w:spacing w:after="0" w:line="266"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the Utah Control Shares Acquisition Statute,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76" w:lineRule="exact"/>
        <w:rPr>
          <w:rFonts w:ascii="Times New Roman" w:cs="Times New Roman" w:eastAsia="Times New Roman" w:hAnsi="Times New Roman"/>
          <w:sz w:val="18"/>
          <w:szCs w:val="18"/>
          <w:color w:val="auto"/>
        </w:rPr>
      </w:pPr>
    </w:p>
    <w:p>
      <w:pPr>
        <w:ind w:left="260" w:right="80" w:hanging="232"/>
        <w:spacing w:after="0" w:line="256"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16,630,597 shares of common stock outstanding on April 26, 2019. The numbers shown in Column (D) and percentages shown in Column (E) include the shares of common stock actually owned as of April 26, 2019 and the shares of common stock that the identified person or group had the right to acquire within 60 days of such date. In calculating the percentage of ownership, all shares of common stock that each identified person or group had the right to acquire within 60 days of April 26, 2019 upon the exercise of the stock options shown in Column (C) are deemed to be outstanding for the purpose of computing the percentage of the shares of common stock owned by the persons or groups listed above.</w:t>
      </w:r>
    </w:p>
    <w:p>
      <w:pPr>
        <w:spacing w:after="0" w:line="187" w:lineRule="exact"/>
        <w:rPr>
          <w:rFonts w:ascii="Times New Roman" w:cs="Times New Roman" w:eastAsia="Times New Roman" w:hAnsi="Times New Roman"/>
          <w:sz w:val="18"/>
          <w:szCs w:val="18"/>
          <w:color w:val="auto"/>
        </w:rPr>
      </w:pPr>
    </w:p>
    <w:p>
      <w:pPr>
        <w:ind w:left="260" w:hanging="232"/>
        <w:spacing w:after="0" w:line="254"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Edward D. Bagley may be deemed to own an additional 2,252,634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7,406,340 shares (including the shares that may be acquired pursuant to the exercise of stock options) and shared voting and dispositive power over the 355,257 shares held by Mr. Edward D. Bagley’s spouse. This information is based upon the Schedule 13D/A and Form 4, as filed by Mr. Bagley with the SEC in December 2018. E. Bryan Bagley, who resigned as Director effective November 6, 2012, is the son of Edward D. Bagley, and each of them has previously disclaimed beneficial ownership of common stock beneficially owned by the other. The share amounts indicated for Mr. Edward D. Bagley do not include any shares held by E. Bryan Bagley.</w:t>
      </w:r>
    </w:p>
    <w:p>
      <w:pPr>
        <w:spacing w:after="0" w:line="189" w:lineRule="exact"/>
        <w:rPr>
          <w:rFonts w:ascii="Times New Roman" w:cs="Times New Roman" w:eastAsia="Times New Roman" w:hAnsi="Times New Roman"/>
          <w:sz w:val="18"/>
          <w:szCs w:val="18"/>
          <w:color w:val="auto"/>
        </w:rPr>
      </w:pPr>
    </w:p>
    <w:p>
      <w:pPr>
        <w:ind w:left="260" w:right="40" w:hanging="232"/>
        <w:spacing w:after="0" w:line="266"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the Form 4 filed with the SEC as of December 6, 2018.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1" w:right="239" w:bottom="1440" w:gutter="0" w:footer="0" w:header="0"/>
        </w:sectPr>
      </w:pPr>
    </w:p>
    <w:bookmarkStart w:id="10" w:name="page11"/>
    <w:bookmarkEnd w:id="10"/>
    <w:p>
      <w:pPr>
        <w:ind w:left="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Please refer to the section titled "Securities Authorized for Issuance under Equity Compensation Plans" contained in Item 5 in the Original Form 10-K for details regarding our compensation plans under which our equity securities are authorized for issuance.</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in our website at http://investors.clearone.com/governance.cfm.</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Related Party Transactions: Consulting Agreement with Edward D. Bagley</w:t>
      </w:r>
    </w:p>
    <w:p>
      <w:pPr>
        <w:spacing w:after="0" w:line="229"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On June 3, 2015, the Company entered into a Consulting Agreement with Edward D. Bagley, former Chairman of the Board and greater than 10% shareholder (“Consulting Agreement”) which became effective on July 29, 2015 for a term of three years. Pursuant to the terms of the Consulting Agreement Mr. Bagley was paid a fee of $5,000 per month and was eligible to participate in our equity incentive programs and will be granted stock options commensurate with grants of stock options made to our directors. During 2016, he was paid $60,000 as consulting fees and was awarded 10,000 stock options at an exercise price of $11.26. He also received ClearOne stock awarded under a dividend equivalents plan offered to all ClearOne stock optionees including directors and officers. Under this plan, dividend equivalents were calculated at $0.10, $0.035, $0.035, $0.035 and $0.05, for each stock option outstanding in the quarters of 2014-Q4, 2015-Q1, 2015-Q2, 2015-Q3, and 2015-Q4, respectively and equivalent value of ClearOne stock awarded. The value of ClearOne stock received by Mr. Bagley in 2016 was $779. During 2017, he was paid $60,000 as consulting fees and was awarded 10,000 stock options at an exercise price of $9.90. During 2018, he was paid $60,000 as consulting fees but was not awarded any stock options. The Consulting Agreement was renewed in 2018 for a further period of three years.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and a Nominating Committee, each consisting entirely of independent directors.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2" w:right="2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During 2018 and 2017, we retained our principal accountants, Tanner LLC, to provide services in the following categories and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r>
      <w:tr>
        <w:trPr>
          <w:trHeight w:val="250"/>
        </w:trPr>
        <w:tc>
          <w:tcPr>
            <w:tcW w:w="632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320,719</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327,432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40,795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371,408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372,532</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right="10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professional services rendered for the audit and reviews of our financial statements filed with the SEC on Forms 10-K and 10-Q.</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tax filing, preparation, and tax advisory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2018,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The following exhibits are filed as part of this Amendment No. 1 to Annual Report on Form 10-K/A.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Pr>
          <w:p>
            <w:pPr>
              <w:spacing w:after="0"/>
              <w:rPr>
                <w:sz w:val="20"/>
                <w:szCs w:val="20"/>
                <w:color w:val="auto"/>
              </w:rPr>
            </w:pP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6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auto"/>
            </w:tcBorders>
          </w:tcPr>
          <w:p>
            <w:pPr>
              <w:spacing w:after="0" w:line="170" w:lineRule="exact"/>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Section 302</w:t>
              </w:r>
            </w:hyperlink>
          </w:p>
        </w:tc>
        <w:tc>
          <w:tcPr>
            <w:tcW w:w="8540" w:type="dxa"/>
            <w:vAlign w:val="bottom"/>
            <w:tcBorders>
              <w:top w:val="single" w:sz="8" w:color="auto"/>
            </w:tcBorders>
            <w:gridSpan w:val="3"/>
          </w:tcPr>
          <w:p>
            <w:pPr>
              <w:ind w:left="20"/>
              <w:spacing w:after="0" w:line="170"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Certification of Chief Executive Officer</w:t>
              </w:r>
            </w:hyperlink>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spacing w:after="0"/>
              <w:rPr>
                <w:sz w:val="17"/>
                <w:szCs w:val="17"/>
                <w:color w:val="auto"/>
              </w:rPr>
            </w:pPr>
          </w:p>
        </w:tc>
        <w:tc>
          <w:tcPr>
            <w:tcW w:w="8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Section 302</w:t>
              </w:r>
            </w:hyperlink>
          </w:p>
        </w:tc>
        <w:tc>
          <w:tcPr>
            <w:tcW w:w="2900" w:type="dxa"/>
            <w:vAlign w:val="bottom"/>
            <w:tcBorders>
              <w:top w:val="single" w:sz="8" w:color="0000EE"/>
            </w:tcBorders>
            <w:gridSpan w:val="2"/>
          </w:tcPr>
          <w:p>
            <w:pPr>
              <w:ind w:left="20"/>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Certification of Chief Financial Officer</w:t>
              </w:r>
            </w:hyperlink>
          </w:p>
        </w:tc>
        <w:tc>
          <w:tcPr>
            <w:tcW w:w="564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453"/>
        </w:trPr>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5640" w:type="dxa"/>
            <w:vAlign w:val="bottom"/>
          </w:tcPr>
          <w:p>
            <w:pPr>
              <w:spacing w:after="0"/>
              <w:rPr>
                <w:sz w:val="24"/>
                <w:szCs w:val="24"/>
                <w:color w:val="auto"/>
              </w:rPr>
            </w:pPr>
          </w:p>
        </w:tc>
      </w:tr>
      <w:tr>
        <w:trPr>
          <w:trHeight w:val="115"/>
        </w:trPr>
        <w:tc>
          <w:tcPr>
            <w:tcW w:w="1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Amendment No. 1 to Annual Report on Form 10-K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Zeynep Hakimoglu</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2019</w:t>
      </w:r>
    </w:p>
    <w:p>
      <w:pPr>
        <w:sectPr>
          <w:pgSz w:w="11900" w:h="16838" w:orient="portrait"/>
          <w:cols w:equalWidth="0" w:num="1">
            <w:col w:w="11240"/>
          </w:cols>
          <w:pgMar w:left="240" w:top="112" w:right="4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Zeynep Hakimoglu, certify that:</w:t>
      </w:r>
    </w:p>
    <w:p>
      <w:pPr>
        <w:spacing w:after="0" w:line="225" w:lineRule="exact"/>
        <w:rPr>
          <w:sz w:val="20"/>
          <w:szCs w:val="20"/>
          <w:color w:val="auto"/>
        </w:rPr>
      </w:pPr>
    </w:p>
    <w:p>
      <w:pPr>
        <w:ind w:left="880" w:hanging="224"/>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of ClearOne, Inc. on Form 10-K/A;</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8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80" w:right="20" w:firstLine="962"/>
        <w:spacing w:after="0" w:line="257" w:lineRule="auto"/>
        <w:tabs>
          <w:tab w:leader="none" w:pos="138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80" w:right="40" w:firstLine="962"/>
        <w:spacing w:after="0" w:line="250" w:lineRule="auto"/>
        <w:tabs>
          <w:tab w:leader="none" w:pos="139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80" w:right="340" w:firstLine="962"/>
        <w:spacing w:after="0" w:line="250" w:lineRule="auto"/>
        <w:tabs>
          <w:tab w:leader="none" w:pos="138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80" w:right="260" w:firstLine="962"/>
        <w:spacing w:after="0" w:line="255" w:lineRule="auto"/>
        <w:tabs>
          <w:tab w:leader="none" w:pos="139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6" w:lineRule="exact"/>
        <w:rPr>
          <w:rFonts w:ascii="Times New Roman" w:cs="Times New Roman" w:eastAsia="Times New Roman" w:hAnsi="Times New Roman"/>
          <w:sz w:val="18"/>
          <w:szCs w:val="18"/>
          <w:color w:val="auto"/>
        </w:rPr>
      </w:pPr>
    </w:p>
    <w:p>
      <w:pPr>
        <w:ind w:right="220" w:firstLine="656"/>
        <w:spacing w:after="0" w:line="261" w:lineRule="auto"/>
        <w:tabs>
          <w:tab w:leader="none" w:pos="8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720" w:firstLine="980"/>
        <w:spacing w:after="0" w:line="250" w:lineRule="auto"/>
        <w:tabs>
          <w:tab w:leader="none" w:pos="120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400" w:firstLine="980"/>
        <w:spacing w:after="0" w:line="261" w:lineRule="auto"/>
        <w:tabs>
          <w:tab w:leader="none" w:pos="12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Zeynep Hakimoglu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Zeynep Hakimoglu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3">
            <w:col w:w="5000" w:space="720"/>
            <w:col w:w="260" w:space="100"/>
            <w:col w:w="5340"/>
          </w:cols>
          <w:pgMar w:left="240" w:top="333" w:right="2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Narsi Narayanan, certify that:</w:t>
      </w:r>
    </w:p>
    <w:p>
      <w:pPr>
        <w:spacing w:after="0" w:line="225" w:lineRule="exact"/>
        <w:rPr>
          <w:sz w:val="20"/>
          <w:szCs w:val="20"/>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of ClearOne, Inc. on Form 10-K/A;</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60" w:firstLine="656"/>
        <w:spacing w:after="0" w:line="257" w:lineRule="auto"/>
        <w:tabs>
          <w:tab w:leader="none" w:pos="8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right="180" w:firstLine="980"/>
        <w:spacing w:after="0" w:line="250" w:lineRule="auto"/>
        <w:tabs>
          <w:tab w:leader="none" w:pos="12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right="20" w:firstLine="980"/>
        <w:spacing w:after="0" w:line="250" w:lineRule="auto"/>
        <w:tabs>
          <w:tab w:leader="none" w:pos="121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right="500" w:firstLine="980"/>
        <w:spacing w:after="0" w:line="250" w:lineRule="auto"/>
        <w:tabs>
          <w:tab w:leader="none" w:pos="12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420" w:firstLine="980"/>
        <w:spacing w:after="0" w:line="255" w:lineRule="auto"/>
        <w:tabs>
          <w:tab w:leader="none" w:pos="121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6" w:lineRule="exact"/>
        <w:rPr>
          <w:rFonts w:ascii="Times New Roman" w:cs="Times New Roman" w:eastAsia="Times New Roman" w:hAnsi="Times New Roman"/>
          <w:sz w:val="18"/>
          <w:szCs w:val="18"/>
          <w:color w:val="auto"/>
        </w:rPr>
      </w:pPr>
    </w:p>
    <w:p>
      <w:pPr>
        <w:ind w:right="220" w:firstLine="656"/>
        <w:spacing w:after="0" w:line="261" w:lineRule="auto"/>
        <w:tabs>
          <w:tab w:leader="none" w:pos="8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720" w:firstLine="980"/>
        <w:spacing w:after="0" w:line="250" w:lineRule="auto"/>
        <w:tabs>
          <w:tab w:leader="none" w:pos="12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400" w:firstLine="980"/>
        <w:spacing w:after="0" w:line="261" w:lineRule="auto"/>
        <w:tabs>
          <w:tab w:leader="none" w:pos="121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Narsi Narayanan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Narsi Narayanan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of Finance</w:t>
      </w:r>
    </w:p>
    <w:sectPr>
      <w:pgSz w:w="11900" w:h="16838" w:orient="portrait"/>
      <w:cols w:equalWidth="0" w:num="3">
        <w:col w:w="5000" w:space="720"/>
        <w:col w:w="260" w:space="100"/>
        <w:col w:w="5340"/>
      </w:cols>
      <w:pgMar w:left="240" w:top="3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amp;"/>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2019-12-28T13:30:29Z</dcterms:created>
  <dcterms:modified xsi:type="dcterms:W3CDTF">2019-12-28T13:30:29Z</dcterms:modified>
</cp:coreProperties>
</file>