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May 1, 2013</w:t>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36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jc w:val="center"/>
              <w:ind w:left="630"/>
              <w:spacing w:after="0"/>
              <w:rPr>
                <w:sz w:val="20"/>
                <w:szCs w:val="20"/>
                <w:color w:val="auto"/>
              </w:rPr>
            </w:pPr>
            <w:r>
              <w:rPr>
                <w:rFonts w:ascii="Arial" w:cs="Arial" w:eastAsia="Arial" w:hAnsi="Arial"/>
                <w:sz w:val="18"/>
                <w:szCs w:val="18"/>
                <w:b w:val="1"/>
                <w:bCs w:val="1"/>
                <w:color w:val="auto"/>
                <w:w w:val="94"/>
              </w:rPr>
              <w:t>Utah</w:t>
            </w:r>
          </w:p>
        </w:tc>
        <w:tc>
          <w:tcPr>
            <w:tcW w:w="5180" w:type="dxa"/>
            <w:vAlign w:val="bottom"/>
            <w:gridSpan w:val="5"/>
          </w:tcPr>
          <w:p>
            <w:pPr>
              <w:jc w:val="right"/>
              <w:ind w:right="1540"/>
              <w:spacing w:after="0"/>
              <w:rPr>
                <w:sz w:val="20"/>
                <w:szCs w:val="20"/>
                <w:color w:val="auto"/>
              </w:rPr>
            </w:pPr>
            <w:r>
              <w:rPr>
                <w:rFonts w:ascii="Arial" w:cs="Arial" w:eastAsia="Arial" w:hAnsi="Arial"/>
                <w:sz w:val="18"/>
                <w:szCs w:val="18"/>
                <w:b w:val="1"/>
                <w:bCs w:val="1"/>
                <w:color w:val="auto"/>
              </w:rPr>
              <w:t>001-33660</w:t>
            </w:r>
          </w:p>
        </w:tc>
        <w:tc>
          <w:tcPr>
            <w:tcW w:w="340" w:type="dxa"/>
            <w:vAlign w:val="bottom"/>
          </w:tcPr>
          <w:p>
            <w:pPr>
              <w:spacing w:after="0"/>
              <w:rPr>
                <w:sz w:val="20"/>
                <w:szCs w:val="20"/>
                <w:color w:val="auto"/>
              </w:rPr>
            </w:pPr>
          </w:p>
        </w:tc>
        <w:tc>
          <w:tcPr>
            <w:tcW w:w="3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87-0398877</w:t>
            </w:r>
          </w:p>
        </w:tc>
      </w:tr>
      <w:tr>
        <w:trPr>
          <w:trHeight w:val="27"/>
        </w:trPr>
        <w:tc>
          <w:tcPr>
            <w:tcW w:w="2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2"/>
        </w:trPr>
        <w:tc>
          <w:tcPr>
            <w:tcW w:w="2820" w:type="dxa"/>
            <w:vAlign w:val="bottom"/>
          </w:tcPr>
          <w:p>
            <w:pPr>
              <w:jc w:val="center"/>
              <w:ind w:left="650"/>
              <w:spacing w:after="0"/>
              <w:rPr>
                <w:sz w:val="20"/>
                <w:szCs w:val="20"/>
                <w:color w:val="auto"/>
              </w:rPr>
            </w:pPr>
            <w:r>
              <w:rPr>
                <w:rFonts w:ascii="Arial" w:cs="Arial" w:eastAsia="Arial" w:hAnsi="Arial"/>
                <w:sz w:val="18"/>
                <w:szCs w:val="18"/>
                <w:color w:val="auto"/>
                <w:w w:val="91"/>
              </w:rPr>
              <w:t>(State or other jurisdiction</w:t>
            </w: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60" w:type="dxa"/>
            <w:vAlign w:val="bottom"/>
          </w:tcPr>
          <w:p>
            <w:pPr>
              <w:jc w:val="center"/>
              <w:ind w:right="830"/>
              <w:spacing w:after="0"/>
              <w:rPr>
                <w:sz w:val="20"/>
                <w:szCs w:val="20"/>
                <w:color w:val="auto"/>
              </w:rPr>
            </w:pPr>
            <w:r>
              <w:rPr>
                <w:rFonts w:ascii="Arial" w:cs="Arial" w:eastAsia="Arial" w:hAnsi="Arial"/>
                <w:sz w:val="18"/>
                <w:szCs w:val="18"/>
                <w:color w:val="auto"/>
                <w:w w:val="93"/>
              </w:rPr>
              <w:t>(I.R.S. Employer</w:t>
            </w:r>
          </w:p>
        </w:tc>
      </w:tr>
      <w:tr>
        <w:trPr>
          <w:trHeight w:val="230"/>
        </w:trPr>
        <w:tc>
          <w:tcPr>
            <w:tcW w:w="2820" w:type="dxa"/>
            <w:vAlign w:val="bottom"/>
          </w:tcPr>
          <w:p>
            <w:pPr>
              <w:jc w:val="center"/>
              <w:ind w:left="630"/>
              <w:spacing w:after="0"/>
              <w:rPr>
                <w:sz w:val="20"/>
                <w:szCs w:val="20"/>
                <w:color w:val="auto"/>
              </w:rPr>
            </w:pPr>
            <w:r>
              <w:rPr>
                <w:rFonts w:ascii="Arial" w:cs="Arial" w:eastAsia="Arial" w:hAnsi="Arial"/>
                <w:sz w:val="18"/>
                <w:szCs w:val="18"/>
                <w:color w:val="auto"/>
                <w:w w:val="93"/>
              </w:rPr>
              <w:t>of incorporation)</w:t>
            </w: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20" w:type="dxa"/>
            <w:vAlign w:val="bottom"/>
            <w:gridSpan w:val="4"/>
          </w:tcPr>
          <w:p>
            <w:pPr>
              <w:jc w:val="center"/>
              <w:ind w:right="320"/>
              <w:spacing w:after="0"/>
              <w:rPr>
                <w:sz w:val="20"/>
                <w:szCs w:val="20"/>
                <w:color w:val="auto"/>
              </w:rPr>
            </w:pPr>
            <w:r>
              <w:rPr>
                <w:rFonts w:ascii="Arial" w:cs="Arial" w:eastAsia="Arial" w:hAnsi="Arial"/>
                <w:sz w:val="18"/>
                <w:szCs w:val="18"/>
                <w:color w:val="auto"/>
                <w:w w:val="92"/>
              </w:rPr>
              <w:t>(Commission File Number)</w:t>
            </w:r>
          </w:p>
        </w:tc>
        <w:tc>
          <w:tcPr>
            <w:tcW w:w="360" w:type="dxa"/>
            <w:vAlign w:val="bottom"/>
          </w:tcPr>
          <w:p>
            <w:pPr>
              <w:spacing w:after="0"/>
              <w:rPr>
                <w:sz w:val="20"/>
                <w:szCs w:val="20"/>
                <w:color w:val="auto"/>
              </w:rPr>
            </w:pPr>
          </w:p>
        </w:tc>
        <w:tc>
          <w:tcPr>
            <w:tcW w:w="2720" w:type="dxa"/>
            <w:vAlign w:val="bottom"/>
            <w:gridSpan w:val="2"/>
          </w:tcPr>
          <w:p>
            <w:pPr>
              <w:jc w:val="center"/>
              <w:ind w:right="250"/>
              <w:spacing w:after="0"/>
              <w:rPr>
                <w:sz w:val="20"/>
                <w:szCs w:val="20"/>
                <w:color w:val="auto"/>
              </w:rPr>
            </w:pPr>
            <w:r>
              <w:rPr>
                <w:rFonts w:ascii="Arial" w:cs="Arial" w:eastAsia="Arial" w:hAnsi="Arial"/>
                <w:sz w:val="18"/>
                <w:szCs w:val="18"/>
                <w:color w:val="auto"/>
                <w:w w:val="95"/>
              </w:rPr>
              <w:t>Identification No.)</w:t>
            </w:r>
          </w:p>
        </w:tc>
      </w:tr>
      <w:tr>
        <w:trPr>
          <w:trHeight w:val="603"/>
        </w:trPr>
        <w:tc>
          <w:tcPr>
            <w:tcW w:w="2820" w:type="dxa"/>
            <w:vAlign w:val="bottom"/>
          </w:tcPr>
          <w:p>
            <w:pPr>
              <w:spacing w:after="0"/>
              <w:rPr>
                <w:sz w:val="24"/>
                <w:szCs w:val="24"/>
                <w:color w:val="auto"/>
              </w:rPr>
            </w:pPr>
          </w:p>
        </w:tc>
        <w:tc>
          <w:tcPr>
            <w:tcW w:w="5520" w:type="dxa"/>
            <w:vAlign w:val="bottom"/>
            <w:gridSpan w:val="6"/>
          </w:tcPr>
          <w:p>
            <w:pPr>
              <w:jc w:val="center"/>
              <w:ind w:right="2460"/>
              <w:spacing w:after="0"/>
              <w:rPr>
                <w:sz w:val="20"/>
                <w:szCs w:val="20"/>
                <w:color w:val="auto"/>
              </w:rPr>
            </w:pPr>
            <w:r>
              <w:rPr>
                <w:rFonts w:ascii="Arial" w:cs="Arial" w:eastAsia="Arial" w:hAnsi="Arial"/>
                <w:sz w:val="18"/>
                <w:szCs w:val="18"/>
                <w:b w:val="1"/>
                <w:bCs w:val="1"/>
                <w:color w:val="auto"/>
                <w:w w:val="90"/>
              </w:rPr>
              <w:t>5225 Wiley Post Way, Suite 500</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4"/>
        </w:trPr>
        <w:tc>
          <w:tcPr>
            <w:tcW w:w="2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0" w:type="dxa"/>
            <w:vAlign w:val="bottom"/>
            <w:gridSpan w:val="5"/>
          </w:tcPr>
          <w:p>
            <w:pPr>
              <w:jc w:val="center"/>
              <w:ind w:right="3180"/>
              <w:spacing w:after="0"/>
              <w:rPr>
                <w:sz w:val="20"/>
                <w:szCs w:val="20"/>
                <w:color w:val="auto"/>
              </w:rPr>
            </w:pPr>
            <w:r>
              <w:rPr>
                <w:rFonts w:ascii="Arial" w:cs="Arial" w:eastAsia="Arial" w:hAnsi="Arial"/>
                <w:sz w:val="18"/>
                <w:szCs w:val="18"/>
                <w:b w:val="1"/>
                <w:bCs w:val="1"/>
                <w:color w:val="auto"/>
                <w:w w:val="93"/>
              </w:rPr>
              <w:t>Salt Lake City, Utah</w:t>
            </w:r>
          </w:p>
        </w:tc>
        <w:tc>
          <w:tcPr>
            <w:tcW w:w="30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84116</w:t>
            </w:r>
          </w:p>
        </w:tc>
      </w:tr>
      <w:tr>
        <w:trPr>
          <w:trHeight w:val="27"/>
        </w:trPr>
        <w:tc>
          <w:tcPr>
            <w:tcW w:w="28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spacing w:after="0"/>
              <w:rPr>
                <w:sz w:val="20"/>
                <w:szCs w:val="20"/>
                <w:color w:val="auto"/>
              </w:rPr>
            </w:pPr>
          </w:p>
        </w:tc>
        <w:tc>
          <w:tcPr>
            <w:tcW w:w="5520" w:type="dxa"/>
            <w:vAlign w:val="bottom"/>
            <w:gridSpan w:val="6"/>
          </w:tcPr>
          <w:p>
            <w:pPr>
              <w:jc w:val="center"/>
              <w:ind w:right="2460"/>
              <w:spacing w:after="0"/>
              <w:rPr>
                <w:sz w:val="20"/>
                <w:szCs w:val="20"/>
                <w:color w:val="auto"/>
              </w:rPr>
            </w:pPr>
            <w:r>
              <w:rPr>
                <w:rFonts w:ascii="Arial" w:cs="Arial" w:eastAsia="Arial" w:hAnsi="Arial"/>
                <w:sz w:val="18"/>
                <w:szCs w:val="18"/>
                <w:color w:val="auto"/>
                <w:w w:val="92"/>
              </w:rPr>
              <w:t>(Address of principal executive offices)</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635"/>
        </w:trPr>
        <w:tc>
          <w:tcPr>
            <w:tcW w:w="2820" w:type="dxa"/>
            <w:vAlign w:val="bottom"/>
          </w:tcPr>
          <w:p>
            <w:pPr>
              <w:spacing w:after="0"/>
              <w:rPr>
                <w:sz w:val="24"/>
                <w:szCs w:val="24"/>
                <w:color w:val="auto"/>
              </w:rPr>
            </w:pPr>
          </w:p>
        </w:tc>
        <w:tc>
          <w:tcPr>
            <w:tcW w:w="3480" w:type="dxa"/>
            <w:vAlign w:val="bottom"/>
            <w:gridSpan w:val="4"/>
          </w:tcPr>
          <w:p>
            <w:pPr>
              <w:jc w:val="center"/>
              <w:ind w:left="2230"/>
              <w:spacing w:after="0"/>
              <w:rPr>
                <w:sz w:val="20"/>
                <w:szCs w:val="20"/>
                <w:color w:val="auto"/>
              </w:rPr>
            </w:pPr>
            <w:r>
              <w:rPr>
                <w:rFonts w:ascii="Arial" w:cs="Arial" w:eastAsia="Arial" w:hAnsi="Arial"/>
                <w:sz w:val="18"/>
                <w:szCs w:val="18"/>
                <w:b w:val="1"/>
                <w:bCs w:val="1"/>
                <w:color w:val="auto"/>
                <w:w w:val="90"/>
              </w:rPr>
              <w:t>(801) 975-7200</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
        </w:trPr>
        <w:tc>
          <w:tcPr>
            <w:tcW w:w="2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Borders>
              <w:right w:val="single" w:sz="8" w:color="auto"/>
            </w:tcBorders>
            <w:gridSpan w:val="2"/>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37"/>
        </w:trPr>
        <w:tc>
          <w:tcPr>
            <w:tcW w:w="2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0" w:type="dxa"/>
            <w:vAlign w:val="bottom"/>
            <w:gridSpan w:val="5"/>
          </w:tcPr>
          <w:p>
            <w:pPr>
              <w:jc w:val="center"/>
              <w:ind w:right="460"/>
              <w:spacing w:after="0"/>
              <w:rPr>
                <w:sz w:val="20"/>
                <w:szCs w:val="20"/>
                <w:color w:val="auto"/>
              </w:rPr>
            </w:pPr>
            <w:r>
              <w:rPr>
                <w:rFonts w:ascii="Arial" w:cs="Arial" w:eastAsia="Arial" w:hAnsi="Arial"/>
                <w:sz w:val="18"/>
                <w:szCs w:val="18"/>
                <w:color w:val="auto"/>
                <w:w w:val="90"/>
              </w:rPr>
              <w:t>(Registrant's Telephone Number, Including Area Code)</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92"/>
        </w:trPr>
        <w:tc>
          <w:tcPr>
            <w:tcW w:w="2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 applicable</w:t>
            </w:r>
          </w:p>
        </w:tc>
        <w:tc>
          <w:tcPr>
            <w:tcW w:w="20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7"/>
        </w:trPr>
        <w:tc>
          <w:tcPr>
            <w:tcW w:w="2820" w:type="dxa"/>
            <w:vAlign w:val="bottom"/>
          </w:tcPr>
          <w:p>
            <w:pPr>
              <w:spacing w:after="0"/>
              <w:rPr>
                <w:sz w:val="20"/>
                <w:szCs w:val="20"/>
                <w:color w:val="auto"/>
              </w:rPr>
            </w:pPr>
          </w:p>
        </w:tc>
        <w:tc>
          <w:tcPr>
            <w:tcW w:w="5520" w:type="dxa"/>
            <w:vAlign w:val="bottom"/>
            <w:gridSpan w:val="6"/>
          </w:tcPr>
          <w:p>
            <w:pPr>
              <w:jc w:val="center"/>
              <w:ind w:left="1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105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May 1, 2013, ClearOne, Inc. issued a press release announcing its financial results for the three months ended March 31, 2013.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6"/>
                <w:szCs w:val="16"/>
                <w:color w:val="auto"/>
              </w:rPr>
            </w:pPr>
          </w:p>
        </w:tc>
        <w:tc>
          <w:tcPr>
            <w:tcW w:w="9460" w:type="dxa"/>
            <w:vAlign w:val="bottom"/>
            <w:tcBorders>
              <w:bottom w:val="single" w:sz="8" w:color="auto"/>
            </w:tcBorders>
          </w:tcPr>
          <w:p>
            <w:pPr>
              <w:ind w:left="438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820" w:type="dxa"/>
            <w:vAlign w:val="bottom"/>
            <w:gridSpan w:val="2"/>
          </w:tcPr>
          <w:p>
            <w:pPr>
              <w:ind w:left="40"/>
              <w:spacing w:after="0"/>
              <w:rPr>
                <w:sz w:val="20"/>
                <w:szCs w:val="20"/>
                <w:color w:val="auto"/>
              </w:rPr>
            </w:pPr>
            <w:r>
              <w:rPr>
                <w:rFonts w:ascii="Arial" w:cs="Arial" w:eastAsia="Arial" w:hAnsi="Arial"/>
                <w:sz w:val="18"/>
                <w:szCs w:val="18"/>
                <w:color w:val="auto"/>
              </w:rPr>
              <w:t>Exhibit 99.1</w:t>
            </w:r>
          </w:p>
        </w:tc>
        <w:tc>
          <w:tcPr>
            <w:tcW w:w="9460" w:type="dxa"/>
            <w:vAlign w:val="bottom"/>
          </w:tcPr>
          <w:p>
            <w:pPr>
              <w:ind w:left="20"/>
              <w:spacing w:after="0"/>
              <w:rPr>
                <w:sz w:val="20"/>
                <w:szCs w:val="20"/>
                <w:color w:val="auto"/>
              </w:rPr>
            </w:pPr>
            <w:r>
              <w:rPr>
                <w:rFonts w:ascii="Arial" w:cs="Arial" w:eastAsia="Arial" w:hAnsi="Arial"/>
                <w:sz w:val="18"/>
                <w:szCs w:val="18"/>
                <w:color w:val="auto"/>
              </w:rPr>
              <w:t>Press Release dated May 1, 2013 titled “ClearOne Reports 2013 First Quarter Financial Results”.</w:t>
            </w:r>
          </w:p>
        </w:tc>
      </w:tr>
      <w:tr>
        <w:trPr>
          <w:trHeight w:val="459"/>
        </w:trPr>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60" w:type="dxa"/>
            <w:vAlign w:val="bottom"/>
          </w:tcPr>
          <w:p>
            <w:pPr>
              <w:ind w:left="332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May 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645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80"/>
          </w:cols>
          <w:pgMar w:left="240" w:top="580"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Brent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801-303-3577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brent.johnson@clearone.com</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Reports 2013 First Quarter Financial Results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Company Reports Strongest Ever First-Quarter Revenues that Demonstrate Traction from Newly Acquired Businesses</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SALT LAKE CITY, UTAH </w:t>
      </w:r>
      <w:r>
        <w:rPr>
          <w:rFonts w:ascii="Arial" w:cs="Arial" w:eastAsia="Arial" w:hAnsi="Arial"/>
          <w:sz w:val="17"/>
          <w:szCs w:val="17"/>
          <w:color w:val="auto"/>
        </w:rPr>
        <w:t>-</w:t>
      </w:r>
      <w:r>
        <w:rPr>
          <w:rFonts w:ascii="Arial" w:cs="Arial" w:eastAsia="Arial" w:hAnsi="Arial"/>
          <w:sz w:val="17"/>
          <w:szCs w:val="17"/>
          <w:b w:val="1"/>
          <w:bCs w:val="1"/>
          <w:color w:val="auto"/>
        </w:rPr>
        <w:t xml:space="preserve"> May 1, 2013 </w:t>
      </w:r>
      <w:r>
        <w:rPr>
          <w:rFonts w:ascii="Arial" w:cs="Arial" w:eastAsia="Arial" w:hAnsi="Arial"/>
          <w:sz w:val="17"/>
          <w:szCs w:val="17"/>
          <w:color w:val="auto"/>
        </w:rPr>
        <w:t>- ClearOne (NASDAQ: CLRO) today reported its financial results for the first quarter ended March 31, 2013.</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For the 2013 first quarter, revenue for the first time in the first quarter surpassed $11 million, totaling $11.3 million compared with $10.2 million for the first quarter of 2012, an increase of 11%. Gross profit was $7.0 million, or 62% of revenue, compared with $6.1 million, or 60% of revenue, for the first quarter of 2012. Non-GAAP operating income increased by 48% to $1.4 million compared with $953 thousand during the first quarter of 2012. Non-GAAP net income grew 54% to $966 thousand, or $0.10 per diluted share, from $626 thousand, or $0.07 per diluted share. Non-GAAP Adjusted EBITDA increased 34% to $1.6 million, or $0.17 per diluted share compared with $1.2 million, or $0.13 per diluted share in the first quarter of 2012.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between GAAP and Non-GAAP measures is available in the tables attached to this release.</w:t>
      </w:r>
    </w:p>
    <w:p>
      <w:pPr>
        <w:spacing w:after="0" w:line="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At March 31, 2013, the company had cash and cash equivalents of $42.6 million, down from $55.5 million on December 31, 2012. The cash position at the end of the quarter reflects the final net amount retained from the December 2012 $45 million favorable settlement relating to auction-rate securities, after paying $13.8 million of associated income taxes and $6.75 million in attorneys' fees.</w:t>
      </w:r>
    </w:p>
    <w:p>
      <w:pPr>
        <w:spacing w:after="0" w:line="4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pleased that the results, which include record revenues for the seasonally slower first quarter, reflect meaningful contributions from our recent strategic acquisitions of video technology. Newly introduced professional audio products also significantly contributed to this record revenue," said Zee Hakimoglu, President, Chief Executive Officer and Chairman of ClearOne. "Share of video products in our revenue mix has grown significantly, reflecting its increasing importance to our future growth. We continue to evaluate various measures to increase shareholder value, including internal investments in technology, operations, sales and marketing, modest strategic acquisitions, and other alternatives to benefit the company and all shareholders."</w:t>
      </w:r>
    </w:p>
    <w:p>
      <w:pPr>
        <w:spacing w:after="0" w:line="2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first quarter results do not consider the expected receipt of approximately $500,000 in attorneys' fees previously paid to indemnify the company's former CFO, as the Utah Supreme Court's favorable ruling was received in April 2013, after the conclusion of the company's first quarter.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29" w:lineRule="exact"/>
        <w:rPr>
          <w:sz w:val="20"/>
          <w:szCs w:val="20"/>
          <w:color w:val="auto"/>
        </w:rPr>
      </w:pPr>
    </w:p>
    <w:p>
      <w:pPr>
        <w:ind w:left="660" w:right="38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February 2013. The company introduced its new line of software-based video conferencing solutions to its established Professional AV channel distributors, which is expected to generate additional revenue in the remainder of 2013.</w:t>
      </w:r>
    </w:p>
    <w:p>
      <w:pPr>
        <w:spacing w:after="0" w:line="62" w:lineRule="exact"/>
        <w:rPr>
          <w:rFonts w:ascii="Arial" w:cs="Arial" w:eastAsia="Arial" w:hAnsi="Arial"/>
          <w:sz w:val="18"/>
          <w:szCs w:val="18"/>
          <w:color w:val="auto"/>
        </w:rPr>
      </w:pPr>
    </w:p>
    <w:p>
      <w:pPr>
        <w:ind w:left="660" w:right="460" w:hanging="328"/>
        <w:spacing w:after="0" w:line="273"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February 2013. The company announced the promotion of David Traeger to Vice President, Professional Audio Visual Sales throughout North America and Latin America. Traeger will be responsible for developing and growing sales of ClearOne's full line of products, including the COLLABORATE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suite of software-based video conferencing solutions, in the Professional AV channel.</w:t>
      </w:r>
    </w:p>
    <w:p>
      <w:pPr>
        <w:spacing w:after="0" w:line="2" w:lineRule="exact"/>
        <w:rPr>
          <w:rFonts w:ascii="Arial" w:cs="Arial" w:eastAsia="Arial" w:hAnsi="Arial"/>
          <w:sz w:val="17"/>
          <w:szCs w:val="17"/>
          <w:color w:val="auto"/>
        </w:rPr>
      </w:pPr>
    </w:p>
    <w:p>
      <w:pPr>
        <w:ind w:left="660" w:right="240" w:hanging="328"/>
        <w:spacing w:after="0" w:line="279"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March 2013. The company announced the shipment of its Beamforming Microphone Array to complement its professionally installed audio conferencing product lines. The Beamforming Microphone Array is the industry's first professional-grade microphone array with patent-pending audio beamforming with adaptive steering and next generation AEC technology. This unique product differentiates ClearOne in the market and is expected to drive higher adoption of ClearOne's CONVERGE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line of professional audio products.</w:t>
      </w:r>
    </w:p>
    <w:p>
      <w:pPr>
        <w:sectPr>
          <w:pgSz w:w="11900" w:h="16838" w:orient="portrait"/>
          <w:cols w:equalWidth="0" w:num="1">
            <w:col w:w="11380"/>
          </w:cols>
          <w:pgMar w:left="240" w:top="1364" w:right="279" w:bottom="1440" w:gutter="0" w:footer="0" w:header="0"/>
        </w:sectPr>
      </w:pPr>
    </w:p>
    <w:bookmarkStart w:id="3" w:name="page4"/>
    <w:bookmarkEnd w:id="3"/>
    <w:p>
      <w:pPr>
        <w:ind w:left="660" w:right="100" w:hanging="328"/>
        <w:spacing w:after="0" w:line="23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March 2013. The company announced the shipment of its new WS800 Digital Wireless Microphone System to complement its professionally installed audio conferencing product lines. The microphone system uses radio-frequency digital wireless signal transmission technology with highly secure encryption and is optimized to work with CONVERGE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 and INTERACT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 products. The introduction of this wireless microphone system provides partners with a more complete ClearOne branded solution set and further extends ClearOne's reach in the large Pro AV microphone market.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ClearOne provides non-GAAP financial information in the form of Non-GAAP net income, Adjusted EBITDA and corresponding earnings per share to investors to supplement GAAP financial information. ClearOne believes that excluding certain items from GAAP results allows ClearOne's management to better understand ClearOne's consolidated financial performance from period to period as management does not believe that the excluded items are reflective of underlying operating performance. Non-GAAP net income, Adjusted EBITDA and corresponding earnings per share excludes certain costs and expenses, the details of which are provided in the tables below containing the reconciliation between GAAP and Non-GAAP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net income to GAAP net income is included with this news release.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2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ClearOne is a global company that designs, develops and sells conferencing, collaboration, streaming and digital signage solutions for audio and visual communications. The performance and simplicity of its advanced comprehensive solutions offer unprecedented levels of functionality, scalability and reliability. More information about the company can be found at www.clearone.com.</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acquisitions or investments the company may make to fuel growth, the purchase of common stock under the company's stock repurchase program and any statements of the plans and objectives of management for future operations,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http://investors.clearone.com</w:t>
      </w:r>
    </w:p>
    <w:p>
      <w:pPr>
        <w:sectPr>
          <w:pgSz w:w="11900" w:h="16838" w:orient="portrait"/>
          <w:cols w:equalWidth="0" w:num="1">
            <w:col w:w="11420"/>
          </w:cols>
          <w:pgMar w:left="240" w:top="584"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par value)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As of</w:t>
            </w:r>
          </w:p>
        </w:tc>
        <w:tc>
          <w:tcPr>
            <w:tcW w:w="240" w:type="dxa"/>
            <w:vAlign w:val="bottom"/>
          </w:tcPr>
          <w:p>
            <w:pPr>
              <w:spacing w:after="0"/>
              <w:rPr>
                <w:sz w:val="17"/>
                <w:szCs w:val="17"/>
                <w:color w:val="auto"/>
              </w:rPr>
            </w:pPr>
          </w:p>
        </w:tc>
        <w:tc>
          <w:tcPr>
            <w:tcW w:w="1360" w:type="dxa"/>
            <w:vAlign w:val="bottom"/>
          </w:tcPr>
          <w:p>
            <w:pPr>
              <w:jc w:val="right"/>
              <w:ind w:right="531"/>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10"/>
        </w:trPr>
        <w:tc>
          <w:tcPr>
            <w:tcW w:w="8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Mar. 31, 2013</w:t>
            </w:r>
          </w:p>
        </w:tc>
        <w:tc>
          <w:tcPr>
            <w:tcW w:w="240" w:type="dxa"/>
            <w:vAlign w:val="bottom"/>
          </w:tcPr>
          <w:p>
            <w:pPr>
              <w:spacing w:after="0"/>
              <w:rPr>
                <w:sz w:val="18"/>
                <w:szCs w:val="18"/>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9"/>
              </w:rPr>
              <w:t>Dec. 31, 2012</w:t>
            </w:r>
          </w:p>
        </w:tc>
        <w:tc>
          <w:tcPr>
            <w:tcW w:w="0" w:type="dxa"/>
            <w:vAlign w:val="bottom"/>
          </w:tcPr>
          <w:p>
            <w:pPr>
              <w:spacing w:after="0"/>
              <w:rPr>
                <w:sz w:val="1"/>
                <w:szCs w:val="1"/>
                <w:color w:val="auto"/>
              </w:rPr>
            </w:pPr>
          </w:p>
        </w:tc>
      </w:tr>
      <w:tr>
        <w:trPr>
          <w:trHeight w:val="33"/>
        </w:trPr>
        <w:tc>
          <w:tcPr>
            <w:tcW w:w="8080" w:type="dxa"/>
            <w:vAlign w:val="bottom"/>
            <w:vMerge w:val="restart"/>
          </w:tcPr>
          <w:p>
            <w:pPr>
              <w:ind w:left="368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42,580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55,509</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Receivables, net of allowance for doubtful accounts of $60 and $60, respectively</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7,927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8,388</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11,604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10,873</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8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67,052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79,287</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Intangibles, net</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3,472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79,499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91,939</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208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8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10,109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22,820</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12,539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25,271</w:t>
            </w:r>
          </w:p>
        </w:tc>
        <w:tc>
          <w:tcPr>
            <w:tcW w:w="0" w:type="dxa"/>
            <w:vAlign w:val="bottom"/>
          </w:tcPr>
          <w:p>
            <w:pPr>
              <w:spacing w:after="0"/>
              <w:rPr>
                <w:sz w:val="1"/>
                <w:szCs w:val="1"/>
                <w:color w:val="auto"/>
              </w:rPr>
            </w:pPr>
          </w:p>
        </w:tc>
      </w:tr>
      <w:tr>
        <w:trPr>
          <w:trHeight w:val="27"/>
        </w:trPr>
        <w:tc>
          <w:tcPr>
            <w:tcW w:w="808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80" w:type="dxa"/>
            <w:vAlign w:val="bottom"/>
          </w:tcPr>
          <w:p>
            <w:pPr>
              <w:spacing w:after="0"/>
              <w:rPr>
                <w:sz w:val="20"/>
                <w:szCs w:val="20"/>
                <w:color w:val="auto"/>
              </w:rPr>
            </w:pPr>
            <w:r>
              <w:rPr>
                <w:rFonts w:ascii="Arial" w:cs="Arial" w:eastAsia="Arial" w:hAnsi="Arial"/>
                <w:sz w:val="18"/>
                <w:szCs w:val="18"/>
                <w:color w:val="auto"/>
                <w:w w:val="92"/>
              </w:rPr>
              <w:t>Common stock, par value $0.001, 50,000,000 shares authorized, 9,105,029 and 9,163,462 shares issued and</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39,991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40,430</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26,960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26,229</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80" w:type="dxa"/>
            <w:vAlign w:val="bottom"/>
          </w:tcPr>
          <w:p>
            <w:pPr>
              <w:ind w:left="18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66,960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66,668</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80" w:type="dxa"/>
            <w:vAlign w:val="bottom"/>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79,499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91,939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796"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(Dollars in thousands, except per share value)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6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Three months ended Mar. 31,</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7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40" w:type="dxa"/>
            <w:vAlign w:val="bottom"/>
          </w:tcPr>
          <w:p>
            <w:pPr>
              <w:spacing w:after="0"/>
              <w:rPr>
                <w:sz w:val="20"/>
                <w:szCs w:val="20"/>
                <w:color w:val="auto"/>
              </w:rPr>
            </w:pPr>
            <w:r>
              <w:rPr>
                <w:rFonts w:ascii="Arial" w:cs="Arial" w:eastAsia="Arial" w:hAnsi="Arial"/>
                <w:sz w:val="18"/>
                <w:szCs w:val="18"/>
                <w:color w:val="auto"/>
              </w:rPr>
              <w:t>Revenue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11,293</w:t>
            </w:r>
          </w:p>
        </w:tc>
        <w:tc>
          <w:tcPr>
            <w:tcW w:w="100" w:type="dxa"/>
            <w:vAlign w:val="bottom"/>
          </w:tcPr>
          <w:p>
            <w:pPr>
              <w:spacing w:after="0"/>
              <w:rPr>
                <w:sz w:val="20"/>
                <w:szCs w:val="20"/>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10,154</w:t>
            </w:r>
          </w:p>
        </w:tc>
        <w:tc>
          <w:tcPr>
            <w:tcW w:w="0" w:type="dxa"/>
            <w:vAlign w:val="bottom"/>
          </w:tcPr>
          <w:p>
            <w:pPr>
              <w:spacing w:after="0"/>
              <w:rPr>
                <w:sz w:val="1"/>
                <w:szCs w:val="1"/>
                <w:color w:val="auto"/>
              </w:rPr>
            </w:pPr>
          </w:p>
        </w:tc>
      </w:tr>
      <w:tr>
        <w:trPr>
          <w:trHeight w:val="270"/>
        </w:trPr>
        <w:tc>
          <w:tcPr>
            <w:tcW w:w="8040" w:type="dxa"/>
            <w:vAlign w:val="bottom"/>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4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6,999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6,108</w:t>
            </w:r>
          </w:p>
        </w:tc>
        <w:tc>
          <w:tcPr>
            <w:tcW w:w="0" w:type="dxa"/>
            <w:vAlign w:val="bottom"/>
          </w:tcPr>
          <w:p>
            <w:pPr>
              <w:spacing w:after="0"/>
              <w:rPr>
                <w:sz w:val="1"/>
                <w:szCs w:val="1"/>
                <w:color w:val="auto"/>
              </w:rPr>
            </w:pPr>
          </w:p>
        </w:tc>
      </w:tr>
      <w:tr>
        <w:trPr>
          <w:trHeight w:val="27"/>
        </w:trPr>
        <w:tc>
          <w:tcPr>
            <w:tcW w:w="80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80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40" w:type="dxa"/>
            <w:vAlign w:val="bottom"/>
          </w:tcPr>
          <w:p>
            <w:pPr>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70"/>
        </w:trPr>
        <w:tc>
          <w:tcPr>
            <w:tcW w:w="804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38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70"/>
        </w:trPr>
        <w:tc>
          <w:tcPr>
            <w:tcW w:w="8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70"/>
        </w:trPr>
        <w:tc>
          <w:tcPr>
            <w:tcW w:w="8040" w:type="dxa"/>
            <w:vAlign w:val="bottom"/>
          </w:tcPr>
          <w:p>
            <w:pPr>
              <w:spacing w:after="0"/>
              <w:rPr>
                <w:sz w:val="20"/>
                <w:szCs w:val="20"/>
                <w:color w:val="auto"/>
              </w:rPr>
            </w:pPr>
            <w:r>
              <w:rPr>
                <w:rFonts w:ascii="Arial" w:cs="Arial" w:eastAsia="Arial" w:hAnsi="Arial"/>
                <w:sz w:val="18"/>
                <w:szCs w:val="18"/>
                <w:color w:val="auto"/>
              </w:rPr>
              <w:t>Proceeds from litigation, net</w:t>
            </w:r>
          </w:p>
        </w:tc>
        <w:tc>
          <w:tcPr>
            <w:tcW w:w="3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4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5,930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5,372</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8040" w:type="dxa"/>
            <w:vAlign w:val="bottom"/>
          </w:tcPr>
          <w:p>
            <w:pPr>
              <w:spacing w:after="0"/>
              <w:rPr>
                <w:sz w:val="20"/>
                <w:szCs w:val="20"/>
                <w:color w:val="auto"/>
              </w:rPr>
            </w:pPr>
            <w:r>
              <w:rPr>
                <w:rFonts w:ascii="Arial" w:cs="Arial" w:eastAsia="Arial" w:hAnsi="Arial"/>
                <w:sz w:val="18"/>
                <w:szCs w:val="18"/>
                <w:color w:val="auto"/>
              </w:rPr>
              <w:t>Operating income</w:t>
            </w:r>
          </w:p>
        </w:tc>
        <w:tc>
          <w:tcPr>
            <w:tcW w:w="380" w:type="dxa"/>
            <w:vAlign w:val="bottom"/>
          </w:tcPr>
          <w:p>
            <w:pPr>
              <w:spacing w:after="0"/>
              <w:rPr>
                <w:sz w:val="24"/>
                <w:szCs w:val="24"/>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0"/>
        </w:trPr>
        <w:tc>
          <w:tcPr>
            <w:tcW w:w="80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4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0"/>
        </w:trPr>
        <w:tc>
          <w:tcPr>
            <w:tcW w:w="8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0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4"/>
                <w:szCs w:val="24"/>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0"/>
        </w:trPr>
        <w:tc>
          <w:tcPr>
            <w:tcW w:w="80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3"/>
                <w:szCs w:val="23"/>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540"/>
        </w:trPr>
        <w:tc>
          <w:tcPr>
            <w:tcW w:w="80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380" w:type="dxa"/>
            <w:vAlign w:val="bottom"/>
          </w:tcPr>
          <w:p>
            <w:pPr>
              <w:spacing w:after="0"/>
              <w:rPr>
                <w:sz w:val="24"/>
                <w:szCs w:val="24"/>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9,152,859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9,098,152</w:t>
            </w:r>
          </w:p>
        </w:tc>
        <w:tc>
          <w:tcPr>
            <w:tcW w:w="0" w:type="dxa"/>
            <w:vAlign w:val="bottom"/>
          </w:tcPr>
          <w:p>
            <w:pPr>
              <w:spacing w:after="0"/>
              <w:rPr>
                <w:sz w:val="1"/>
                <w:szCs w:val="1"/>
                <w:color w:val="auto"/>
              </w:rPr>
            </w:pPr>
          </w:p>
        </w:tc>
      </w:tr>
      <w:tr>
        <w:trPr>
          <w:trHeight w:val="270"/>
        </w:trPr>
        <w:tc>
          <w:tcPr>
            <w:tcW w:w="804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38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9,394,181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9,246,310</w:t>
            </w:r>
          </w:p>
        </w:tc>
        <w:tc>
          <w:tcPr>
            <w:tcW w:w="0" w:type="dxa"/>
            <w:vAlign w:val="bottom"/>
          </w:tcPr>
          <w:p>
            <w:pPr>
              <w:spacing w:after="0"/>
              <w:rPr>
                <w:sz w:val="1"/>
                <w:szCs w:val="1"/>
                <w:color w:val="auto"/>
              </w:rPr>
            </w:pPr>
          </w:p>
        </w:tc>
      </w:tr>
    </w:tbl>
    <w:p>
      <w:pPr>
        <w:sectPr>
          <w:pgSz w:w="11900" w:h="16838" w:orient="portrait"/>
          <w:cols w:equalWidth="0" w:num="1">
            <w:col w:w="11380"/>
          </w:cols>
          <w:pgMar w:left="280" w:top="580"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TO NON-GAAP NET INCOME</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 except per share value)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7"/>
          </w:tcPr>
          <w:p>
            <w:pPr>
              <w:jc w:val="right"/>
              <w:ind w:right="679"/>
              <w:spacing w:after="0"/>
              <w:rPr>
                <w:sz w:val="20"/>
                <w:szCs w:val="20"/>
                <w:color w:val="auto"/>
              </w:rPr>
            </w:pPr>
            <w:r>
              <w:rPr>
                <w:rFonts w:ascii="Arial" w:cs="Arial" w:eastAsia="Arial" w:hAnsi="Arial"/>
                <w:sz w:val="14"/>
                <w:szCs w:val="14"/>
                <w:b w:val="1"/>
                <w:bCs w:val="1"/>
                <w:color w:val="auto"/>
              </w:rPr>
              <w:t>Three months ended Mar. 31, 2013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7"/>
          </w:tcPr>
          <w:p>
            <w:pPr>
              <w:jc w:val="right"/>
              <w:ind w:right="639"/>
              <w:spacing w:after="0"/>
              <w:rPr>
                <w:sz w:val="20"/>
                <w:szCs w:val="20"/>
                <w:color w:val="auto"/>
              </w:rPr>
            </w:pPr>
            <w:r>
              <w:rPr>
                <w:rFonts w:ascii="Arial" w:cs="Arial" w:eastAsia="Arial" w:hAnsi="Arial"/>
                <w:sz w:val="14"/>
                <w:szCs w:val="14"/>
                <w:b w:val="1"/>
                <w:bCs w:val="1"/>
                <w:color w:val="auto"/>
              </w:rPr>
              <w:t>Three months ended Mar. 31, 2012</w:t>
            </w: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Non-GAAP</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23"/>
        </w:trPr>
        <w:tc>
          <w:tcPr>
            <w:tcW w:w="398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11,293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11,293</w:t>
            </w:r>
          </w:p>
        </w:tc>
        <w:tc>
          <w:tcPr>
            <w:tcW w:w="12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10,154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10,154</w:t>
            </w:r>
          </w:p>
        </w:tc>
        <w:tc>
          <w:tcPr>
            <w:tcW w:w="0" w:type="dxa"/>
            <w:vAlign w:val="bottom"/>
          </w:tcPr>
          <w:p>
            <w:pPr>
              <w:spacing w:after="0"/>
              <w:rPr>
                <w:sz w:val="1"/>
                <w:szCs w:val="1"/>
                <w:color w:val="auto"/>
              </w:rPr>
            </w:pPr>
          </w:p>
        </w:tc>
      </w:tr>
      <w:tr>
        <w:trPr>
          <w:trHeight w:val="270"/>
        </w:trPr>
        <w:tc>
          <w:tcPr>
            <w:tcW w:w="3980" w:type="dxa"/>
            <w:vAlign w:val="bottom"/>
            <w:gridSpan w:val="2"/>
          </w:tcPr>
          <w:p>
            <w:pPr>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4,294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4,045</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8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6,999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7,001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6,108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6,109</w:t>
            </w:r>
          </w:p>
        </w:tc>
        <w:tc>
          <w:tcPr>
            <w:tcW w:w="0" w:type="dxa"/>
            <w:vAlign w:val="bottom"/>
          </w:tcPr>
          <w:p>
            <w:pPr>
              <w:spacing w:after="0"/>
              <w:rPr>
                <w:sz w:val="1"/>
                <w:szCs w:val="1"/>
                <w:color w:val="auto"/>
              </w:rPr>
            </w:pPr>
          </w:p>
        </w:tc>
      </w:tr>
      <w:tr>
        <w:trPr>
          <w:trHeight w:val="33"/>
        </w:trPr>
        <w:tc>
          <w:tcPr>
            <w:tcW w:w="3980" w:type="dxa"/>
            <w:vAlign w:val="bottom"/>
            <w:gridSpan w:val="2"/>
            <w:vMerge w:val="restart"/>
          </w:tcPr>
          <w:p>
            <w:pPr>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3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80" w:type="dxa"/>
            <w:vAlign w:val="bottom"/>
            <w:gridSpan w:val="2"/>
          </w:tcPr>
          <w:p>
            <w:pPr>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2,252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2,121</w:t>
            </w:r>
          </w:p>
        </w:tc>
        <w:tc>
          <w:tcPr>
            <w:tcW w:w="0" w:type="dxa"/>
            <w:vAlign w:val="bottom"/>
          </w:tcPr>
          <w:p>
            <w:pPr>
              <w:spacing w:after="0"/>
              <w:rPr>
                <w:sz w:val="1"/>
                <w:szCs w:val="1"/>
                <w:color w:val="auto"/>
              </w:rPr>
            </w:pPr>
          </w:p>
        </w:tc>
      </w:tr>
      <w:tr>
        <w:trPr>
          <w:trHeight w:val="270"/>
        </w:trPr>
        <w:tc>
          <w:tcPr>
            <w:tcW w:w="3980" w:type="dxa"/>
            <w:vAlign w:val="bottom"/>
            <w:gridSpan w:val="2"/>
          </w:tcPr>
          <w:p>
            <w:pPr>
              <w:spacing w:after="0"/>
              <w:rPr>
                <w:sz w:val="20"/>
                <w:szCs w:val="20"/>
                <w:color w:val="auto"/>
              </w:rPr>
            </w:pPr>
            <w:r>
              <w:rPr>
                <w:rFonts w:ascii="Arial" w:cs="Arial" w:eastAsia="Arial" w:hAnsi="Arial"/>
                <w:sz w:val="16"/>
                <w:szCs w:val="16"/>
                <w:color w:val="auto"/>
              </w:rPr>
              <w:t>Research and product development</w:t>
            </w:r>
          </w:p>
        </w:tc>
        <w:tc>
          <w:tcPr>
            <w:tcW w:w="2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270"/>
        </w:trPr>
        <w:tc>
          <w:tcPr>
            <w:tcW w:w="3980" w:type="dxa"/>
            <w:vAlign w:val="bottom"/>
            <w:gridSpan w:val="2"/>
          </w:tcPr>
          <w:p>
            <w:pPr>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70"/>
        </w:trPr>
        <w:tc>
          <w:tcPr>
            <w:tcW w:w="3980" w:type="dxa"/>
            <w:vAlign w:val="bottom"/>
            <w:gridSpan w:val="2"/>
          </w:tcPr>
          <w:p>
            <w:pPr>
              <w:spacing w:after="0"/>
              <w:rPr>
                <w:sz w:val="20"/>
                <w:szCs w:val="20"/>
                <w:color w:val="auto"/>
              </w:rPr>
            </w:pPr>
            <w:r>
              <w:rPr>
                <w:rFonts w:ascii="Arial" w:cs="Arial" w:eastAsia="Arial" w:hAnsi="Arial"/>
                <w:sz w:val="16"/>
                <w:szCs w:val="16"/>
                <w:color w:val="auto"/>
              </w:rPr>
              <w:t>Proceeds from litigation</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8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24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5,930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5,372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5,156</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398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24"/>
                <w:szCs w:val="24"/>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1,408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70"/>
        </w:trPr>
        <w:tc>
          <w:tcPr>
            <w:tcW w:w="3980" w:type="dxa"/>
            <w:vAlign w:val="bottom"/>
            <w:gridSpan w:val="2"/>
          </w:tcPr>
          <w:p>
            <w:pPr>
              <w:spacing w:after="0"/>
              <w:rPr>
                <w:sz w:val="20"/>
                <w:szCs w:val="20"/>
                <w:color w:val="auto"/>
              </w:rPr>
            </w:pPr>
            <w:r>
              <w:rPr>
                <w:rFonts w:ascii="Arial" w:cs="Arial" w:eastAsia="Arial" w:hAnsi="Arial"/>
                <w:sz w:val="16"/>
                <w:szCs w:val="16"/>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8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1,055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270"/>
        </w:trPr>
        <w:tc>
          <w:tcPr>
            <w:tcW w:w="398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980" w:type="dxa"/>
            <w:vAlign w:val="bottom"/>
            <w:gridSpan w:val="2"/>
          </w:tcPr>
          <w:p>
            <w:pPr>
              <w:spacing w:after="0"/>
              <w:rPr>
                <w:sz w:val="20"/>
                <w:szCs w:val="20"/>
                <w:color w:val="auto"/>
              </w:rPr>
            </w:pPr>
            <w:r>
              <w:rPr>
                <w:rFonts w:ascii="Arial" w:cs="Arial" w:eastAsia="Arial" w:hAnsi="Arial"/>
                <w:sz w:val="16"/>
                <w:szCs w:val="16"/>
                <w:color w:val="auto"/>
              </w:rPr>
              <w:t>Basic earnings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70"/>
        </w:trPr>
        <w:tc>
          <w:tcPr>
            <w:tcW w:w="3980" w:type="dxa"/>
            <w:vAlign w:val="bottom"/>
            <w:gridSpan w:val="2"/>
          </w:tcPr>
          <w:p>
            <w:pPr>
              <w:spacing w:after="0"/>
              <w:rPr>
                <w:sz w:val="20"/>
                <w:szCs w:val="20"/>
                <w:color w:val="auto"/>
              </w:rPr>
            </w:pPr>
            <w:r>
              <w:rPr>
                <w:rFonts w:ascii="Arial" w:cs="Arial" w:eastAsia="Arial" w:hAnsi="Arial"/>
                <w:sz w:val="16"/>
                <w:szCs w:val="16"/>
                <w:color w:val="auto"/>
              </w:rPr>
              <w:t>Diluted earnings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594"/>
        </w:trPr>
        <w:tc>
          <w:tcPr>
            <w:tcW w:w="398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240" w:type="dxa"/>
            <w:vAlign w:val="bottom"/>
          </w:tcPr>
          <w:p>
            <w:pPr>
              <w:spacing w:after="0"/>
              <w:rPr>
                <w:sz w:val="24"/>
                <w:szCs w:val="24"/>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9,152,859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9,152,859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9,098,152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9,098,152</w:t>
            </w:r>
          </w:p>
        </w:tc>
        <w:tc>
          <w:tcPr>
            <w:tcW w:w="0" w:type="dxa"/>
            <w:vAlign w:val="bottom"/>
          </w:tcPr>
          <w:p>
            <w:pPr>
              <w:spacing w:after="0"/>
              <w:rPr>
                <w:sz w:val="1"/>
                <w:szCs w:val="1"/>
                <w:color w:val="auto"/>
              </w:rPr>
            </w:pPr>
          </w:p>
        </w:tc>
      </w:tr>
      <w:tr>
        <w:trPr>
          <w:trHeight w:val="270"/>
        </w:trPr>
        <w:tc>
          <w:tcPr>
            <w:tcW w:w="398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2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9,394,181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9,394,181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9,246,310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9,246,310</w:t>
            </w:r>
          </w:p>
        </w:tc>
        <w:tc>
          <w:tcPr>
            <w:tcW w:w="0" w:type="dxa"/>
            <w:vAlign w:val="bottom"/>
          </w:tcPr>
          <w:p>
            <w:pPr>
              <w:spacing w:after="0"/>
              <w:rPr>
                <w:sz w:val="1"/>
                <w:szCs w:val="1"/>
                <w:color w:val="auto"/>
              </w:rPr>
            </w:pPr>
          </w:p>
        </w:tc>
      </w:tr>
      <w:tr>
        <w:trPr>
          <w:trHeight w:val="587"/>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The adjustments consist of the following: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Share-based compensation</w:t>
            </w:r>
          </w:p>
        </w:tc>
        <w:tc>
          <w:tcPr>
            <w:tcW w:w="1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980" w:type="dxa"/>
            <w:vAlign w:val="bottom"/>
            <w:gridSpan w:val="2"/>
          </w:tcPr>
          <w:p>
            <w:pPr>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980" w:type="dxa"/>
            <w:vAlign w:val="bottom"/>
            <w:gridSpan w:val="2"/>
          </w:tcPr>
          <w:p>
            <w:pPr>
              <w:spacing w:after="0"/>
              <w:rPr>
                <w:sz w:val="20"/>
                <w:szCs w:val="20"/>
                <w:color w:val="auto"/>
              </w:rPr>
            </w:pPr>
            <w:r>
              <w:rPr>
                <w:rFonts w:ascii="Arial" w:cs="Arial" w:eastAsia="Arial" w:hAnsi="Arial"/>
                <w:sz w:val="16"/>
                <w:szCs w:val="16"/>
                <w:color w:val="auto"/>
                <w:w w:val="98"/>
              </w:rPr>
              <w:t>Legal expenses for litigation relating to indemnification of</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980" w:type="dxa"/>
            <w:vAlign w:val="bottom"/>
            <w:gridSpan w:val="2"/>
          </w:tcPr>
          <w:p>
            <w:pPr>
              <w:spacing w:after="0"/>
              <w:rPr>
                <w:sz w:val="20"/>
                <w:szCs w:val="20"/>
                <w:color w:val="auto"/>
              </w:rPr>
            </w:pPr>
            <w:r>
              <w:rPr>
                <w:rFonts w:ascii="Arial" w:cs="Arial" w:eastAsia="Arial" w:hAnsi="Arial"/>
                <w:sz w:val="16"/>
                <w:szCs w:val="16"/>
                <w:color w:val="auto"/>
              </w:rPr>
              <w:t>former officers, theft of our intellectual property claims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gridSpan w:val="2"/>
          </w:tcPr>
          <w:p>
            <w:pPr>
              <w:spacing w:after="0"/>
              <w:rPr>
                <w:sz w:val="20"/>
                <w:szCs w:val="20"/>
                <w:color w:val="auto"/>
              </w:rPr>
            </w:pPr>
            <w:r>
              <w:rPr>
                <w:rFonts w:ascii="Arial" w:cs="Arial" w:eastAsia="Arial" w:hAnsi="Arial"/>
                <w:sz w:val="16"/>
                <w:szCs w:val="16"/>
                <w:color w:val="auto"/>
              </w:rPr>
              <w:t>and our claim for damages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98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980" w:type="dxa"/>
            <w:vAlign w:val="bottom"/>
            <w:gridSpan w:val="2"/>
          </w:tcPr>
          <w:p>
            <w:pPr>
              <w:spacing w:after="0"/>
              <w:rPr>
                <w:sz w:val="20"/>
                <w:szCs w:val="20"/>
                <w:color w:val="auto"/>
              </w:rPr>
            </w:pPr>
            <w:r>
              <w:rPr>
                <w:rFonts w:ascii="Arial" w:cs="Arial" w:eastAsia="Arial" w:hAnsi="Arial"/>
                <w:sz w:val="16"/>
                <w:szCs w:val="16"/>
                <w:color w:val="auto"/>
                <w:w w:val="95"/>
              </w:rPr>
              <w:t>Proceeds from litigation, net of legal expenses and special</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980" w:type="dxa"/>
            <w:vAlign w:val="bottom"/>
            <w:gridSpan w:val="2"/>
          </w:tcPr>
          <w:p>
            <w:pPr>
              <w:spacing w:after="0"/>
              <w:rPr>
                <w:sz w:val="20"/>
                <w:szCs w:val="20"/>
                <w:color w:val="auto"/>
              </w:rPr>
            </w:pPr>
            <w:r>
              <w:rPr>
                <w:rFonts w:ascii="Arial" w:cs="Arial" w:eastAsia="Arial" w:hAnsi="Arial"/>
                <w:sz w:val="16"/>
                <w:szCs w:val="16"/>
                <w:color w:val="auto"/>
              </w:rPr>
              <w:t>bonus to key litigation participants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80" w:type="dxa"/>
            <w:vAlign w:val="bottom"/>
            <w:gridSpan w:val="2"/>
          </w:tcPr>
          <w:p>
            <w:pPr>
              <w:spacing w:after="0"/>
              <w:rPr>
                <w:sz w:val="20"/>
                <w:szCs w:val="20"/>
                <w:color w:val="auto"/>
              </w:rPr>
            </w:pPr>
            <w:r>
              <w:rPr>
                <w:rFonts w:ascii="Arial" w:cs="Arial" w:eastAsia="Arial" w:hAnsi="Arial"/>
                <w:sz w:val="16"/>
                <w:szCs w:val="16"/>
                <w:color w:val="auto"/>
              </w:rPr>
              <w:t>Total of adjustments before taxes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80" w:type="dxa"/>
            <w:vAlign w:val="bottom"/>
            <w:gridSpan w:val="2"/>
          </w:tcPr>
          <w:p>
            <w:pPr>
              <w:spacing w:after="0"/>
              <w:rPr>
                <w:sz w:val="20"/>
                <w:szCs w:val="20"/>
                <w:color w:val="auto"/>
              </w:rPr>
            </w:pPr>
            <w:r>
              <w:rPr>
                <w:rFonts w:ascii="Arial" w:cs="Arial" w:eastAsia="Arial" w:hAnsi="Arial"/>
                <w:sz w:val="16"/>
                <w:szCs w:val="16"/>
                <w:color w:val="auto"/>
              </w:rPr>
              <w:t>Income taxes affected by the above adjustments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gridSpan w:val="2"/>
          </w:tcPr>
          <w:p>
            <w:pPr>
              <w:spacing w:after="0"/>
              <w:rPr>
                <w:sz w:val="20"/>
                <w:szCs w:val="20"/>
                <w:color w:val="auto"/>
              </w:rPr>
            </w:pPr>
            <w:r>
              <w:rPr>
                <w:rFonts w:ascii="Arial" w:cs="Arial" w:eastAsia="Arial" w:hAnsi="Arial"/>
                <w:sz w:val="16"/>
                <w:szCs w:val="16"/>
                <w:color w:val="auto"/>
              </w:rPr>
              <w:t>Total adjustments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877"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CLEARONE, INC.</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 OF GAAP TO NON-GAAP ADJUSTED EBITDA</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 except per share value)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 Mar. 31,</w:t>
            </w:r>
          </w:p>
        </w:tc>
      </w:tr>
      <w:tr>
        <w:trPr>
          <w:trHeight w:val="264"/>
        </w:trPr>
        <w:tc>
          <w:tcPr>
            <w:tcW w:w="82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r>
      <w:tr>
        <w:trPr>
          <w:trHeight w:val="223"/>
        </w:trPr>
        <w:tc>
          <w:tcPr>
            <w:tcW w:w="8320" w:type="dxa"/>
            <w:vAlign w:val="bottom"/>
            <w:gridSpan w:val="2"/>
          </w:tcPr>
          <w:p>
            <w:pPr>
              <w:spacing w:after="0"/>
              <w:rPr>
                <w:sz w:val="20"/>
                <w:szCs w:val="20"/>
                <w:color w:val="auto"/>
              </w:rPr>
            </w:pPr>
            <w:r>
              <w:rPr>
                <w:rFonts w:ascii="Arial" w:cs="Arial" w:eastAsia="Arial" w:hAnsi="Arial"/>
                <w:sz w:val="16"/>
                <w:szCs w:val="16"/>
                <w:color w:val="auto"/>
              </w:rPr>
              <w:t>GAAP 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478</w:t>
            </w:r>
          </w:p>
        </w:tc>
      </w:tr>
      <w:tr>
        <w:trPr>
          <w:trHeight w:val="263"/>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8"/>
        </w:trPr>
        <w:tc>
          <w:tcPr>
            <w:tcW w:w="832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274</w:t>
            </w:r>
          </w:p>
        </w:tc>
      </w:tr>
      <w:tr>
        <w:trPr>
          <w:trHeight w:val="270"/>
        </w:trPr>
        <w:tc>
          <w:tcPr>
            <w:tcW w:w="83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312</w:t>
            </w:r>
          </w:p>
        </w:tc>
      </w:tr>
      <w:tr>
        <w:trPr>
          <w:trHeight w:val="33"/>
        </w:trPr>
        <w:tc>
          <w:tcPr>
            <w:tcW w:w="8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Non-GAAP EBITDA</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1,064</w:t>
            </w:r>
          </w:p>
        </w:tc>
      </w:tr>
      <w:tr>
        <w:trPr>
          <w:trHeight w:val="249"/>
        </w:trPr>
        <w:tc>
          <w:tcPr>
            <w:tcW w:w="8320" w:type="dxa"/>
            <w:vAlign w:val="bottom"/>
            <w:gridSpan w:val="2"/>
          </w:tcPr>
          <w:p>
            <w:pPr>
              <w:spacing w:after="0"/>
              <w:rPr>
                <w:sz w:val="20"/>
                <w:szCs w:val="20"/>
                <w:color w:val="auto"/>
              </w:rPr>
            </w:pPr>
            <w:r>
              <w:rPr>
                <w:rFonts w:ascii="Arial" w:cs="Arial" w:eastAsia="Arial" w:hAnsi="Arial"/>
                <w:sz w:val="16"/>
                <w:szCs w:val="16"/>
                <w:color w:val="auto"/>
              </w:rPr>
              <w:t>Proceeds from litigation, net of legal expenses and special bonus to officers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70"/>
        </w:trPr>
        <w:tc>
          <w:tcPr>
            <w:tcW w:w="832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51</w:t>
            </w:r>
          </w:p>
        </w:tc>
      </w:tr>
      <w:tr>
        <w:trPr>
          <w:trHeight w:val="253"/>
        </w:trPr>
        <w:tc>
          <w:tcPr>
            <w:tcW w:w="8320" w:type="dxa"/>
            <w:vAlign w:val="bottom"/>
            <w:gridSpan w:val="2"/>
          </w:tcPr>
          <w:p>
            <w:pPr>
              <w:spacing w:after="0"/>
              <w:rPr>
                <w:sz w:val="20"/>
                <w:szCs w:val="20"/>
                <w:color w:val="auto"/>
              </w:rPr>
            </w:pPr>
            <w:r>
              <w:rPr>
                <w:rFonts w:ascii="Arial" w:cs="Arial" w:eastAsia="Arial" w:hAnsi="Arial"/>
                <w:sz w:val="16"/>
                <w:szCs w:val="16"/>
                <w:color w:val="auto"/>
                <w:w w:val="98"/>
              </w:rPr>
              <w:t>Legal expenses for litigation relating to indemnification of former officers, theft of our intellectual property claims and our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6"/>
        </w:trPr>
        <w:tc>
          <w:tcPr>
            <w:tcW w:w="8320" w:type="dxa"/>
            <w:vAlign w:val="bottom"/>
            <w:gridSpan w:val="2"/>
          </w:tcPr>
          <w:p>
            <w:pPr>
              <w:spacing w:after="0"/>
              <w:rPr>
                <w:sz w:val="20"/>
                <w:szCs w:val="20"/>
                <w:color w:val="auto"/>
              </w:rPr>
            </w:pPr>
            <w:r>
              <w:rPr>
                <w:rFonts w:ascii="Arial" w:cs="Arial" w:eastAsia="Arial" w:hAnsi="Arial"/>
                <w:sz w:val="16"/>
                <w:szCs w:val="16"/>
                <w:color w:val="auto"/>
              </w:rPr>
              <w:t>claim for damages</w:t>
            </w:r>
          </w:p>
        </w:tc>
        <w:tc>
          <w:tcPr>
            <w:tcW w:w="36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127</w:t>
            </w:r>
          </w:p>
        </w:tc>
      </w:tr>
      <w:tr>
        <w:trPr>
          <w:trHeight w:val="270"/>
        </w:trPr>
        <w:tc>
          <w:tcPr>
            <w:tcW w:w="832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187</w:t>
            </w:r>
          </w:p>
        </w:tc>
      </w:tr>
      <w:tr>
        <w:trPr>
          <w:trHeight w:val="33"/>
        </w:trPr>
        <w:tc>
          <w:tcPr>
            <w:tcW w:w="8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gridSpan w:val="2"/>
          </w:tcPr>
          <w:p>
            <w:pPr>
              <w:spacing w:after="0"/>
              <w:rPr>
                <w:sz w:val="20"/>
                <w:szCs w:val="20"/>
                <w:color w:val="auto"/>
              </w:rPr>
            </w:pPr>
            <w:r>
              <w:rPr>
                <w:rFonts w:ascii="Arial" w:cs="Arial" w:eastAsia="Arial" w:hAnsi="Arial"/>
                <w:sz w:val="14"/>
                <w:szCs w:val="14"/>
                <w:b w:val="1"/>
                <w:bCs w:val="1"/>
                <w:color w:val="auto"/>
              </w:rPr>
              <w:t>Non-GAAP Adjusted EBITDA</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1,179</w:t>
            </w:r>
          </w:p>
        </w:tc>
      </w:tr>
      <w:tr>
        <w:trPr>
          <w:trHeight w:val="561"/>
        </w:trPr>
        <w:tc>
          <w:tcPr>
            <w:tcW w:w="832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360" w:type="dxa"/>
            <w:vAlign w:val="bottom"/>
          </w:tcPr>
          <w:p>
            <w:pPr>
              <w:spacing w:after="0"/>
              <w:rPr>
                <w:sz w:val="24"/>
                <w:szCs w:val="24"/>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9,152,859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9,098,152</w:t>
            </w:r>
          </w:p>
        </w:tc>
      </w:tr>
      <w:tr>
        <w:trPr>
          <w:trHeight w:val="270"/>
        </w:trPr>
        <w:tc>
          <w:tcPr>
            <w:tcW w:w="832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9,394,181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9,246,310</w:t>
            </w:r>
          </w:p>
        </w:tc>
      </w:tr>
      <w:tr>
        <w:trPr>
          <w:trHeight w:val="594"/>
        </w:trPr>
        <w:tc>
          <w:tcPr>
            <w:tcW w:w="8320" w:type="dxa"/>
            <w:vAlign w:val="bottom"/>
            <w:gridSpan w:val="2"/>
          </w:tcPr>
          <w:p>
            <w:pPr>
              <w:spacing w:after="0"/>
              <w:rPr>
                <w:sz w:val="20"/>
                <w:szCs w:val="20"/>
                <w:color w:val="auto"/>
              </w:rPr>
            </w:pPr>
            <w:r>
              <w:rPr>
                <w:rFonts w:ascii="Arial" w:cs="Arial" w:eastAsia="Arial" w:hAnsi="Arial"/>
                <w:sz w:val="16"/>
                <w:szCs w:val="16"/>
                <w:color w:val="auto"/>
              </w:rPr>
              <w:t>Basic Adjusted EBITDA per common share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0.13</w:t>
            </w:r>
          </w:p>
        </w:tc>
      </w:tr>
      <w:tr>
        <w:trPr>
          <w:trHeight w:val="270"/>
        </w:trPr>
        <w:tc>
          <w:tcPr>
            <w:tcW w:w="8320" w:type="dxa"/>
            <w:vAlign w:val="bottom"/>
            <w:gridSpan w:val="2"/>
          </w:tcPr>
          <w:p>
            <w:pPr>
              <w:spacing w:after="0"/>
              <w:rPr>
                <w:sz w:val="20"/>
                <w:szCs w:val="20"/>
                <w:color w:val="auto"/>
              </w:rPr>
            </w:pPr>
            <w:r>
              <w:rPr>
                <w:rFonts w:ascii="Arial" w:cs="Arial" w:eastAsia="Arial" w:hAnsi="Arial"/>
                <w:sz w:val="16"/>
                <w:szCs w:val="16"/>
                <w:color w:val="auto"/>
              </w:rPr>
              <w:t>Diluted Adjusted EBITDA per common share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0.13</w:t>
            </w:r>
          </w:p>
        </w:tc>
      </w:tr>
    </w:tbl>
    <w:p>
      <w:pPr>
        <w:spacing w:after="0" w:line="1" w:lineRule="exact"/>
        <w:rPr>
          <w:sz w:val="20"/>
          <w:szCs w:val="20"/>
          <w:color w:val="auto"/>
        </w:rPr>
      </w:pPr>
    </w:p>
    <w:sectPr>
      <w:pgSz w:w="11900" w:h="16838" w:orient="portrait"/>
      <w:cols w:equalWidth="0" w:num="1">
        <w:col w:w="11380"/>
      </w:cols>
      <w:pgMar w:left="28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2019-12-06T03:16:18Z</dcterms:created>
  <dcterms:modified xsi:type="dcterms:W3CDTF">2019-12-06T03:16:18Z</dcterms:modified>
</cp:coreProperties>
</file>