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r>
        <w:rPr>
          <w:rFonts w:ascii="Arial" w:cs="Arial" w:eastAsia="Arial" w:hAnsi="Arial"/>
          <w:sz w:val="18"/>
          <w:szCs w:val="18"/>
          <w:b w:val="1"/>
          <w:bCs w:val="1"/>
          <w:u w:val="single" w:color="auto"/>
          <w:color w:val="auto"/>
        </w:rPr>
        <w:t>January 1, 2008</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2880" w:type="dxa"/>
        <w:tblCellMar>
          <w:top w:w="0" w:type="dxa"/>
          <w:left w:w="0" w:type="dxa"/>
          <w:bottom w:w="0" w:type="dxa"/>
          <w:right w:w="0" w:type="dxa"/>
        </w:tblCellMar>
      </w:tblPr>
      <w:tr>
        <w:trPr>
          <w:trHeight w:val="241"/>
        </w:trPr>
        <w:tc>
          <w:tcPr>
            <w:tcW w:w="28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000-17219</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2840" w:type="dxa"/>
            <w:vAlign w:val="bottom"/>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80" w:type="dxa"/>
            <w:vAlign w:val="bottom"/>
            <w:gridSpan w:val="3"/>
          </w:tcPr>
          <w:p>
            <w:pPr>
              <w:jc w:val="center"/>
              <w:ind w:right="33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gridSpan w:val="3"/>
          </w:tcPr>
          <w:p>
            <w:pPr>
              <w:jc w:val="center"/>
              <w:ind w:right="350"/>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3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5225 Wiley Post Way, Suite 500,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8"/>
        </w:trPr>
        <w:tc>
          <w:tcPr>
            <w:tcW w:w="3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2"/>
              </w:rPr>
              <w:t>Salt Lake City, Utah</w:t>
            </w:r>
          </w:p>
        </w:tc>
        <w:tc>
          <w:tcPr>
            <w:tcW w:w="21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84116</w:t>
            </w:r>
          </w:p>
        </w:tc>
      </w:tr>
      <w:tr>
        <w:trPr>
          <w:trHeight w:val="230"/>
        </w:trPr>
        <w:tc>
          <w:tcPr>
            <w:tcW w:w="3520" w:type="dxa"/>
            <w:vAlign w:val="bottom"/>
            <w:tcBorders>
              <w:top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92"/>
              </w:rPr>
              <w:t>(Address of principal executive offices)</w:t>
            </w:r>
          </w:p>
        </w:tc>
        <w:tc>
          <w:tcPr>
            <w:tcW w:w="6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96" w:right="359" w:bottom="1440" w:gutter="0" w:footer="0" w:header="0"/>
        </w:sectPr>
      </w:pPr>
    </w:p>
    <w:bookmarkStart w:id="1" w:name="page2"/>
    <w:bookmarkEnd w:id="1"/>
    <w:p>
      <w:pPr>
        <w:ind w:right="440" w:firstLine="45"/>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1, 2008, Greg LeClaire was appointed as the Company’s Chief Financial Officer. Mr. LeClaire has served as the Company’s Vice President of Finance and principal financial and accounting officer since joining the Company in September 2006.</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January 3,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4022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Zeynep Hakimoglu</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2019-12-13T18:12:10Z</dcterms:created>
  <dcterms:modified xsi:type="dcterms:W3CDTF">2019-12-13T18:12:10Z</dcterms:modified>
</cp:coreProperties>
</file>