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19"/>
        <w:spacing w:after="0" w:line="199" w:lineRule="auto"/>
        <w:rPr>
          <w:sz w:val="20"/>
          <w:szCs w:val="20"/>
          <w:color w:val="auto"/>
        </w:rPr>
      </w:pPr>
      <w:r>
        <w:rPr>
          <w:rFonts w:ascii="Arial" w:cs="Arial" w:eastAsia="Arial" w:hAnsi="Arial"/>
          <w:sz w:val="32"/>
          <w:szCs w:val="32"/>
          <w:b w:val="1"/>
          <w:bCs w:val="1"/>
          <w:color w:val="auto"/>
        </w:rPr>
        <w:t>FORM 10-K</w:t>
      </w:r>
    </w:p>
    <w:p>
      <w:pPr>
        <w:spacing w:after="0" w:line="236" w:lineRule="auto"/>
        <w:rPr>
          <w:sz w:val="20"/>
          <w:szCs w:val="20"/>
          <w:color w:val="auto"/>
        </w:rPr>
      </w:pPr>
      <w:r>
        <w:rPr>
          <w:rFonts w:ascii="Arial" w:cs="Arial" w:eastAsia="Arial" w:hAnsi="Arial"/>
          <w:sz w:val="18"/>
          <w:szCs w:val="18"/>
          <w:color w:val="auto"/>
        </w:rPr>
        <w:t>(Mark One)</w:t>
      </w:r>
    </w:p>
    <w:p>
      <w:pPr>
        <w:ind w:right="2260" w:firstLine="53"/>
        <w:spacing w:after="0" w:line="259"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r>
        <w:rPr>
          <w:rFonts w:ascii="Arial" w:cs="Arial" w:eastAsia="Arial" w:hAnsi="Arial"/>
          <w:sz w:val="18"/>
          <w:szCs w:val="18"/>
          <w:color w:val="auto"/>
        </w:rPr>
        <w:t xml:space="preserve"> ] For the fiscal year ended December 31, 2010</w:t>
      </w:r>
    </w:p>
    <w:p>
      <w:pPr>
        <w:spacing w:after="0" w:line="73" w:lineRule="exact"/>
        <w:rPr>
          <w:sz w:val="24"/>
          <w:szCs w:val="24"/>
          <w:color w:val="auto"/>
        </w:rPr>
      </w:pPr>
    </w:p>
    <w:p>
      <w:pPr>
        <w:ind w:right="1900" w:firstLine="53"/>
        <w:spacing w:after="0" w:line="280" w:lineRule="auto"/>
        <w:tabs>
          <w:tab w:leader="none" w:pos="35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 For the transition period from _________ to ___________</w:t>
      </w: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50165</wp:posOffset>
            </wp:positionV>
            <wp:extent cx="154368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0"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53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4"/>
              </w:rPr>
              <w:t>Utah</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34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37"/>
        </w:trPr>
        <w:tc>
          <w:tcPr>
            <w:tcW w:w="53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5225 Wiley Post Way, Suite 500, Salt Lake City, Utah</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84116</w:t>
            </w:r>
          </w:p>
        </w:tc>
      </w:tr>
      <w:tr>
        <w:trPr>
          <w:trHeight w:val="230"/>
        </w:trPr>
        <w:tc>
          <w:tcPr>
            <w:tcW w:w="534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Arial" w:cs="Arial" w:eastAsia="Arial" w:hAnsi="Arial"/>
                <w:sz w:val="18"/>
                <w:szCs w:val="18"/>
                <w:color w:val="auto"/>
                <w:w w:val="93"/>
              </w:rPr>
              <w:t>Registrant’s telephone number, including area code</w:t>
            </w:r>
          </w:p>
        </w:tc>
        <w:tc>
          <w:tcPr>
            <w:tcW w:w="332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b w:val="1"/>
                <w:bCs w:val="1"/>
                <w:color w:val="auto"/>
                <w:w w:val="89"/>
              </w:rPr>
              <w:t>(801) 975-7200</w:t>
            </w:r>
          </w:p>
        </w:tc>
        <w:tc>
          <w:tcPr>
            <w:tcW w:w="2640" w:type="dxa"/>
            <w:vAlign w:val="bottom"/>
          </w:tcPr>
          <w:p>
            <w:pPr>
              <w:spacing w:after="0"/>
              <w:rPr>
                <w:sz w:val="17"/>
                <w:szCs w:val="17"/>
                <w:color w:val="auto"/>
              </w:rPr>
            </w:pPr>
          </w:p>
        </w:tc>
      </w:tr>
      <w:tr>
        <w:trPr>
          <w:trHeight w:val="195"/>
        </w:trPr>
        <w:tc>
          <w:tcPr>
            <w:tcW w:w="7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Securities registered pursuant to Section 12(b) of</w:t>
            </w:r>
          </w:p>
        </w:tc>
        <w:tc>
          <w:tcPr>
            <w:tcW w:w="2640" w:type="dxa"/>
            <w:vAlign w:val="bottom"/>
          </w:tcPr>
          <w:p>
            <w:pPr>
              <w:ind w:left="20"/>
              <w:spacing w:after="0" w:line="195" w:lineRule="exact"/>
              <w:rPr>
                <w:sz w:val="20"/>
                <w:szCs w:val="20"/>
                <w:color w:val="auto"/>
              </w:rPr>
            </w:pPr>
            <w:r>
              <w:rPr>
                <w:rFonts w:ascii="Arial" w:cs="Arial" w:eastAsia="Arial" w:hAnsi="Arial"/>
                <w:sz w:val="18"/>
                <w:szCs w:val="18"/>
                <w:color w:val="auto"/>
              </w:rPr>
              <w:t>the Act:</w:t>
            </w:r>
          </w:p>
        </w:tc>
      </w:tr>
      <w:tr>
        <w:trPr>
          <w:trHeight w:val="226"/>
        </w:trPr>
        <w:tc>
          <w:tcPr>
            <w:tcW w:w="3880" w:type="dxa"/>
            <w:vAlign w:val="bottom"/>
          </w:tcPr>
          <w:p>
            <w:pPr>
              <w:jc w:val="center"/>
              <w:ind w:left="1090"/>
              <w:spacing w:after="0"/>
              <w:rPr>
                <w:sz w:val="20"/>
                <w:szCs w:val="20"/>
                <w:color w:val="auto"/>
              </w:rPr>
            </w:pPr>
            <w:r>
              <w:rPr>
                <w:rFonts w:ascii="Arial" w:cs="Arial" w:eastAsia="Arial" w:hAnsi="Arial"/>
                <w:sz w:val="18"/>
                <w:szCs w:val="18"/>
                <w:color w:val="auto"/>
                <w:w w:val="90"/>
              </w:rPr>
              <w:t>Title of each class</w:t>
            </w:r>
          </w:p>
        </w:tc>
        <w:tc>
          <w:tcPr>
            <w:tcW w:w="5960" w:type="dxa"/>
            <w:vAlign w:val="bottom"/>
            <w:gridSpan w:val="2"/>
          </w:tcPr>
          <w:p>
            <w:pPr>
              <w:jc w:val="center"/>
              <w:ind w:left="2670"/>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88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Common Stock, $0.001 par value</w:t>
            </w:r>
          </w:p>
        </w:tc>
        <w:tc>
          <w:tcPr>
            <w:tcW w:w="5960" w:type="dxa"/>
            <w:vAlign w:val="bottom"/>
            <w:gridSpan w:val="2"/>
          </w:tcPr>
          <w:p>
            <w:pPr>
              <w:jc w:val="center"/>
              <w:ind w:left="2670"/>
              <w:spacing w:after="0"/>
              <w:rPr>
                <w:sz w:val="20"/>
                <w:szCs w:val="20"/>
                <w:color w:val="auto"/>
              </w:rPr>
            </w:pPr>
            <w:r>
              <w:rPr>
                <w:rFonts w:ascii="Arial" w:cs="Arial" w:eastAsia="Arial" w:hAnsi="Arial"/>
                <w:sz w:val="18"/>
                <w:szCs w:val="18"/>
                <w:b w:val="1"/>
                <w:bCs w:val="1"/>
                <w:color w:val="auto"/>
                <w:w w:val="97"/>
              </w:rPr>
              <w:t>The NASDAQ Capital Market</w:t>
            </w: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34" w:lineRule="exact"/>
        <w:rPr>
          <w:sz w:val="24"/>
          <w:szCs w:val="24"/>
          <w:color w:val="auto"/>
        </w:rPr>
      </w:pPr>
    </w:p>
    <w:p>
      <w:pPr>
        <w:ind w:right="1900"/>
        <w:spacing w:after="0" w:line="26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xNo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Yes xNo</w:t>
      </w:r>
    </w:p>
    <w:p>
      <w:pPr>
        <w:spacing w:after="0" w:line="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1" w:lineRule="exact"/>
        <w:rPr>
          <w:sz w:val="24"/>
          <w:szCs w:val="24"/>
          <w:color w:val="auto"/>
        </w:rPr>
      </w:pPr>
    </w:p>
    <w:p>
      <w:pPr>
        <w:ind w:right="60"/>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2" w:lineRule="exact"/>
        <w:rPr>
          <w:sz w:val="24"/>
          <w:szCs w:val="24"/>
          <w:color w:val="auto"/>
        </w:rPr>
      </w:pPr>
    </w:p>
    <w:p>
      <w:pPr>
        <w:ind w:right="20"/>
        <w:spacing w:after="0" w:line="209"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6" w:lineRule="exact"/>
        <w:rPr>
          <w:sz w:val="24"/>
          <w:szCs w:val="24"/>
          <w:color w:val="auto"/>
        </w:rPr>
      </w:pPr>
    </w:p>
    <w:p>
      <w:pPr>
        <w:ind w:right="80"/>
        <w:spacing w:after="0" w:line="26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ectPr>
          <w:pgSz w:w="11900" w:h="16838" w:orient="portrait"/>
          <w:cols w:equalWidth="0" w:num="1">
            <w:col w:w="11420"/>
          </w:cols>
          <w:pgMar w:left="240" w:top="310" w:right="239" w:bottom="0" w:gutter="0" w:footer="0" w:header="0"/>
        </w:sectPr>
      </w:pPr>
    </w:p>
    <w:p>
      <w:pPr>
        <w:spacing w:after="0" w:line="1"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43" w:lineRule="exact"/>
        <w:rPr>
          <w:sz w:val="24"/>
          <w:szCs w:val="24"/>
          <w:color w:val="auto"/>
        </w:rPr>
      </w:pPr>
    </w:p>
    <w:p>
      <w:pPr>
        <w:sectPr>
          <w:pgSz w:w="11900" w:h="16838" w:orient="portrait"/>
          <w:cols w:equalWidth="0" w:num="2">
            <w:col w:w="8920" w:space="140"/>
            <w:col w:w="2360"/>
          </w:cols>
          <w:pgMar w:left="240" w:top="310" w:right="239" w:bottom="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x No</w:t>
      </w:r>
    </w:p>
    <w:p>
      <w:pPr>
        <w:spacing w:after="0" w:line="88" w:lineRule="exact"/>
        <w:rPr>
          <w:sz w:val="24"/>
          <w:szCs w:val="24"/>
          <w:color w:val="auto"/>
        </w:rPr>
      </w:pPr>
    </w:p>
    <w:p>
      <w:pPr>
        <w:sectPr>
          <w:pgSz w:w="11900" w:h="16838" w:orient="portrait"/>
          <w:cols w:equalWidth="0" w:num="2">
            <w:col w:w="7940" w:space="680"/>
            <w:col w:w="2800"/>
          </w:cols>
          <w:pgMar w:left="240" w:top="310" w:right="239" w:bottom="0" w:gutter="0" w:footer="0" w:header="0"/>
          <w:type w:val="continuous"/>
        </w:sectPr>
      </w:pPr>
    </w:p>
    <w:p>
      <w:pPr>
        <w:ind w:right="100"/>
        <w:spacing w:after="0" w:line="284"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$15.8 million at June 30, 2010 (the Company's most recently completed second fiscal quarter), based on the $3.00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March 28, 2011 was 8,936,426.</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ind w:right="40"/>
        <w:spacing w:after="0" w:line="217" w:lineRule="auto"/>
        <w:rPr>
          <w:sz w:val="20"/>
          <w:szCs w:val="20"/>
          <w:color w:val="auto"/>
        </w:rPr>
      </w:pPr>
      <w:r>
        <w:rPr>
          <w:rFonts w:ascii="Arial" w:cs="Arial" w:eastAsia="Arial" w:hAnsi="Arial"/>
          <w:sz w:val="22"/>
          <w:szCs w:val="22"/>
          <w:color w:val="auto"/>
        </w:rPr>
        <w:t>Portions of registrant's Proxy Statement related to the Annual Meeting of Shareholders, to be filed within 120 days of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YEAR ENDED DECEMBER 31, 2010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160" w:type="dxa"/>
            <w:vAlign w:val="bottom"/>
            <w:shd w:val="clear" w:color="auto" w:fill="FFC080"/>
          </w:tcPr>
          <w:p>
            <w:pPr>
              <w:spacing w:after="0"/>
              <w:rPr>
                <w:sz w:val="24"/>
                <w:szCs w:val="24"/>
                <w:color w:val="auto"/>
              </w:rPr>
            </w:pPr>
          </w:p>
        </w:tc>
        <w:tc>
          <w:tcPr>
            <w:tcW w:w="640" w:type="dxa"/>
            <w:vAlign w:val="bottom"/>
            <w:shd w:val="clear" w:color="auto" w:fill="FFC080"/>
          </w:tcPr>
          <w:p>
            <w:pPr>
              <w:spacing w:after="0"/>
              <w:rPr>
                <w:sz w:val="24"/>
                <w:szCs w:val="24"/>
                <w:color w:val="auto"/>
              </w:rPr>
            </w:pPr>
          </w:p>
        </w:tc>
        <w:tc>
          <w:tcPr>
            <w:tcW w:w="80" w:type="dxa"/>
            <w:vAlign w:val="bottom"/>
            <w:shd w:val="clear" w:color="auto" w:fill="FFC080"/>
          </w:tcPr>
          <w:p>
            <w:pPr>
              <w:spacing w:after="0"/>
              <w:rPr>
                <w:sz w:val="24"/>
                <w:szCs w:val="24"/>
                <w:color w:val="auto"/>
              </w:rPr>
            </w:pPr>
          </w:p>
        </w:tc>
        <w:tc>
          <w:tcPr>
            <w:tcW w:w="180" w:type="dxa"/>
            <w:vAlign w:val="bottom"/>
            <w:shd w:val="clear" w:color="auto" w:fill="FFC080"/>
          </w:tcPr>
          <w:p>
            <w:pPr>
              <w:spacing w:after="0"/>
              <w:rPr>
                <w:sz w:val="24"/>
                <w:szCs w:val="24"/>
                <w:color w:val="auto"/>
              </w:rPr>
            </w:pPr>
          </w:p>
        </w:tc>
        <w:tc>
          <w:tcPr>
            <w:tcW w:w="440" w:type="dxa"/>
            <w:vAlign w:val="bottom"/>
            <w:shd w:val="clear" w:color="auto" w:fill="FFC080"/>
          </w:tcPr>
          <w:p>
            <w:pPr>
              <w:spacing w:after="0"/>
              <w:rPr>
                <w:sz w:val="24"/>
                <w:szCs w:val="24"/>
                <w:color w:val="auto"/>
              </w:rPr>
            </w:pPr>
          </w:p>
        </w:tc>
        <w:tc>
          <w:tcPr>
            <w:tcW w:w="700" w:type="dxa"/>
            <w:vAlign w:val="bottom"/>
            <w:shd w:val="clear" w:color="auto" w:fill="FFC080"/>
          </w:tcPr>
          <w:p>
            <w:pPr>
              <w:spacing w:after="0"/>
              <w:rPr>
                <w:sz w:val="24"/>
                <w:szCs w:val="24"/>
                <w:color w:val="auto"/>
              </w:rPr>
            </w:pPr>
          </w:p>
        </w:tc>
        <w:tc>
          <w:tcPr>
            <w:tcW w:w="1220" w:type="dxa"/>
            <w:vAlign w:val="bottom"/>
            <w:shd w:val="clear" w:color="auto" w:fill="FFC080"/>
          </w:tcPr>
          <w:p>
            <w:pPr>
              <w:spacing w:after="0"/>
              <w:rPr>
                <w:sz w:val="24"/>
                <w:szCs w:val="24"/>
                <w:color w:val="auto"/>
              </w:rPr>
            </w:pPr>
          </w:p>
        </w:tc>
        <w:tc>
          <w:tcPr>
            <w:tcW w:w="7000" w:type="dxa"/>
            <w:vAlign w:val="bottom"/>
            <w:shd w:val="clear" w:color="auto" w:fill="FFC080"/>
          </w:tcPr>
          <w:p>
            <w:pPr>
              <w:ind w:left="6400"/>
              <w:spacing w:after="0"/>
              <w:rPr>
                <w:sz w:val="20"/>
                <w:szCs w:val="20"/>
                <w:color w:val="auto"/>
              </w:rPr>
            </w:pPr>
            <w:r>
              <w:rPr>
                <w:rFonts w:ascii="Arial" w:cs="Arial" w:eastAsia="Arial" w:hAnsi="Arial"/>
                <w:sz w:val="18"/>
                <w:szCs w:val="18"/>
                <w:b w:val="1"/>
                <w:bCs w:val="1"/>
                <w:color w:val="auto"/>
              </w:rPr>
              <w:t>Page</w:t>
            </w:r>
          </w:p>
        </w:tc>
      </w:tr>
      <w:tr>
        <w:trPr>
          <w:trHeight w:val="68"/>
        </w:trPr>
        <w:tc>
          <w:tcPr>
            <w:tcW w:w="1160" w:type="dxa"/>
            <w:vAlign w:val="bottom"/>
            <w:shd w:val="clear" w:color="auto" w:fill="FFC080"/>
          </w:tcPr>
          <w:p>
            <w:pPr>
              <w:spacing w:after="0"/>
              <w:rPr>
                <w:sz w:val="5"/>
                <w:szCs w:val="5"/>
                <w:color w:val="auto"/>
              </w:rPr>
            </w:pPr>
          </w:p>
        </w:tc>
        <w:tc>
          <w:tcPr>
            <w:tcW w:w="640" w:type="dxa"/>
            <w:vAlign w:val="bottom"/>
            <w:shd w:val="clear" w:color="auto" w:fill="FFC080"/>
          </w:tcPr>
          <w:p>
            <w:pPr>
              <w:spacing w:after="0"/>
              <w:rPr>
                <w:sz w:val="5"/>
                <w:szCs w:val="5"/>
                <w:color w:val="auto"/>
              </w:rPr>
            </w:pPr>
          </w:p>
        </w:tc>
        <w:tc>
          <w:tcPr>
            <w:tcW w:w="80" w:type="dxa"/>
            <w:vAlign w:val="bottom"/>
            <w:shd w:val="clear" w:color="auto" w:fill="FFC080"/>
          </w:tcPr>
          <w:p>
            <w:pPr>
              <w:spacing w:after="0"/>
              <w:rPr>
                <w:sz w:val="5"/>
                <w:szCs w:val="5"/>
                <w:color w:val="auto"/>
              </w:rPr>
            </w:pPr>
          </w:p>
        </w:tc>
        <w:tc>
          <w:tcPr>
            <w:tcW w:w="180" w:type="dxa"/>
            <w:vAlign w:val="bottom"/>
            <w:shd w:val="clear" w:color="auto" w:fill="FFC080"/>
          </w:tcPr>
          <w:p>
            <w:pPr>
              <w:spacing w:after="0"/>
              <w:rPr>
                <w:sz w:val="5"/>
                <w:szCs w:val="5"/>
                <w:color w:val="auto"/>
              </w:rPr>
            </w:pPr>
          </w:p>
        </w:tc>
        <w:tc>
          <w:tcPr>
            <w:tcW w:w="440" w:type="dxa"/>
            <w:vAlign w:val="bottom"/>
            <w:shd w:val="clear" w:color="auto" w:fill="FFC080"/>
          </w:tcPr>
          <w:p>
            <w:pPr>
              <w:spacing w:after="0"/>
              <w:rPr>
                <w:sz w:val="5"/>
                <w:szCs w:val="5"/>
                <w:color w:val="auto"/>
              </w:rPr>
            </w:pPr>
          </w:p>
        </w:tc>
        <w:tc>
          <w:tcPr>
            <w:tcW w:w="700" w:type="dxa"/>
            <w:vAlign w:val="bottom"/>
            <w:shd w:val="clear" w:color="auto" w:fill="FFC080"/>
          </w:tcPr>
          <w:p>
            <w:pPr>
              <w:spacing w:after="0"/>
              <w:rPr>
                <w:sz w:val="5"/>
                <w:szCs w:val="5"/>
                <w:color w:val="auto"/>
              </w:rPr>
            </w:pPr>
          </w:p>
        </w:tc>
        <w:tc>
          <w:tcPr>
            <w:tcW w:w="1220" w:type="dxa"/>
            <w:vAlign w:val="bottom"/>
            <w:shd w:val="clear" w:color="auto" w:fill="FFC080"/>
          </w:tcPr>
          <w:p>
            <w:pPr>
              <w:spacing w:after="0"/>
              <w:rPr>
                <w:sz w:val="5"/>
                <w:szCs w:val="5"/>
                <w:color w:val="auto"/>
              </w:rPr>
            </w:pPr>
          </w:p>
        </w:tc>
        <w:tc>
          <w:tcPr>
            <w:tcW w:w="7000" w:type="dxa"/>
            <w:vAlign w:val="bottom"/>
            <w:shd w:val="clear" w:color="auto" w:fill="FFC080"/>
          </w:tcPr>
          <w:p>
            <w:pPr>
              <w:spacing w:after="0"/>
              <w:rPr>
                <w:sz w:val="5"/>
                <w:szCs w:val="5"/>
                <w:color w:val="auto"/>
              </w:rPr>
            </w:pPr>
          </w:p>
        </w:tc>
      </w:tr>
      <w:tr>
        <w:trPr>
          <w:trHeight w:val="284"/>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0" w:type="dxa"/>
            <w:vAlign w:val="bottom"/>
          </w:tcPr>
          <w:p>
            <w:pPr>
              <w:ind w:left="1220"/>
              <w:spacing w:after="0"/>
              <w:rPr>
                <w:sz w:val="20"/>
                <w:szCs w:val="20"/>
                <w:color w:val="auto"/>
              </w:rPr>
            </w:pPr>
            <w:r>
              <w:rPr>
                <w:rFonts w:ascii="Arial" w:cs="Arial" w:eastAsia="Arial" w:hAnsi="Arial"/>
                <w:sz w:val="18"/>
                <w:szCs w:val="18"/>
                <w:b w:val="1"/>
                <w:bCs w:val="1"/>
                <w:color w:val="auto"/>
              </w:rPr>
              <w:t>PART I</w:t>
            </w:r>
          </w:p>
        </w:tc>
      </w:tr>
      <w:tr>
        <w:trPr>
          <w:trHeight w:val="81"/>
        </w:trPr>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00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w:t>
            </w:r>
          </w:p>
        </w:tc>
        <w:tc>
          <w:tcPr>
            <w:tcW w:w="3260" w:type="dxa"/>
            <w:vAlign w:val="bottom"/>
            <w:gridSpan w:val="6"/>
            <w:shd w:val="clear" w:color="auto" w:fill="FFC08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0" w:type="dxa"/>
            <w:vAlign w:val="bottom"/>
            <w:shd w:val="clear" w:color="auto" w:fill="FFC080"/>
          </w:tcPr>
          <w:p>
            <w:pPr>
              <w:jc w:val="center"/>
              <w:ind w:left="6090"/>
              <w:spacing w:after="0"/>
              <w:rPr>
                <w:sz w:val="20"/>
                <w:szCs w:val="20"/>
                <w:color w:val="auto"/>
              </w:rPr>
            </w:pPr>
            <w:r>
              <w:rPr>
                <w:rFonts w:ascii="Arial" w:cs="Arial" w:eastAsia="Arial" w:hAnsi="Arial"/>
                <w:sz w:val="18"/>
                <w:szCs w:val="18"/>
                <w:color w:val="auto"/>
                <w:w w:val="99"/>
              </w:rPr>
              <w:t>1</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40" w:type="dxa"/>
            <w:vAlign w:val="bottom"/>
            <w:tcBorders>
              <w:top w:val="single" w:sz="8" w:color="0000EE"/>
            </w:tcBorders>
            <w:shd w:val="clear" w:color="auto" w:fill="FFC080"/>
          </w:tcPr>
          <w:p>
            <w:pPr>
              <w:spacing w:after="0"/>
              <w:rPr>
                <w:sz w:val="7"/>
                <w:szCs w:val="7"/>
                <w:color w:val="auto"/>
              </w:rPr>
            </w:pPr>
          </w:p>
        </w:tc>
        <w:tc>
          <w:tcPr>
            <w:tcW w:w="80" w:type="dxa"/>
            <w:vAlign w:val="bottom"/>
            <w:tcBorders>
              <w:top w:val="single" w:sz="8" w:color="FFC080"/>
            </w:tcBorders>
            <w:shd w:val="clear" w:color="auto" w:fill="FFC080"/>
          </w:tcPr>
          <w:p>
            <w:pPr>
              <w:spacing w:after="0"/>
              <w:rPr>
                <w:sz w:val="7"/>
                <w:szCs w:val="7"/>
                <w:color w:val="auto"/>
              </w:rPr>
            </w:pPr>
          </w:p>
        </w:tc>
        <w:tc>
          <w:tcPr>
            <w:tcW w:w="180" w:type="dxa"/>
            <w:vAlign w:val="bottom"/>
            <w:tcBorders>
              <w:top w:val="single" w:sz="8" w:color="FFC080"/>
            </w:tcBorders>
            <w:shd w:val="clear" w:color="auto" w:fill="FFC080"/>
          </w:tcPr>
          <w:p>
            <w:pPr>
              <w:spacing w:after="0"/>
              <w:rPr>
                <w:sz w:val="7"/>
                <w:szCs w:val="7"/>
                <w:color w:val="auto"/>
              </w:rPr>
            </w:pPr>
          </w:p>
        </w:tc>
        <w:tc>
          <w:tcPr>
            <w:tcW w:w="440" w:type="dxa"/>
            <w:vAlign w:val="bottom"/>
            <w:tcBorders>
              <w:top w:val="single" w:sz="8" w:color="FFC080"/>
            </w:tcBorders>
            <w:shd w:val="clear" w:color="auto" w:fill="FFC080"/>
          </w:tcPr>
          <w:p>
            <w:pPr>
              <w:spacing w:after="0"/>
              <w:rPr>
                <w:sz w:val="7"/>
                <w:szCs w:val="7"/>
                <w:color w:val="auto"/>
              </w:rPr>
            </w:pPr>
          </w:p>
        </w:tc>
        <w:tc>
          <w:tcPr>
            <w:tcW w:w="700" w:type="dxa"/>
            <w:vAlign w:val="bottom"/>
            <w:tcBorders>
              <w:top w:val="single" w:sz="8" w:color="FFC080"/>
            </w:tcBorders>
            <w:shd w:val="clear" w:color="auto" w:fill="FFC080"/>
          </w:tcPr>
          <w:p>
            <w:pPr>
              <w:spacing w:after="0"/>
              <w:rPr>
                <w:sz w:val="7"/>
                <w:szCs w:val="7"/>
                <w:color w:val="auto"/>
              </w:rPr>
            </w:pPr>
          </w:p>
        </w:tc>
        <w:tc>
          <w:tcPr>
            <w:tcW w:w="1220" w:type="dxa"/>
            <w:vAlign w:val="bottom"/>
            <w:tcBorders>
              <w:top w:val="single" w:sz="8" w:color="FFC080"/>
            </w:tcBorders>
            <w:shd w:val="clear" w:color="auto" w:fill="FFC080"/>
          </w:tcPr>
          <w:p>
            <w:pPr>
              <w:spacing w:after="0"/>
              <w:rPr>
                <w:sz w:val="7"/>
                <w:szCs w:val="7"/>
                <w:color w:val="auto"/>
              </w:rPr>
            </w:pPr>
          </w:p>
        </w:tc>
        <w:tc>
          <w:tcPr>
            <w:tcW w:w="700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3260" w:type="dxa"/>
            <w:vAlign w:val="bottom"/>
            <w:gridSpan w:val="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7000" w:type="dxa"/>
            <w:vAlign w:val="bottom"/>
          </w:tcPr>
          <w:p>
            <w:pPr>
              <w:jc w:val="center"/>
              <w:ind w:left="6090"/>
              <w:spacing w:after="0"/>
              <w:rPr>
                <w:sz w:val="20"/>
                <w:szCs w:val="20"/>
                <w:color w:val="auto"/>
              </w:rPr>
            </w:pPr>
            <w:r>
              <w:rPr>
                <w:rFonts w:ascii="Arial" w:cs="Arial" w:eastAsia="Arial" w:hAnsi="Arial"/>
                <w:sz w:val="18"/>
                <w:szCs w:val="18"/>
                <w:color w:val="auto"/>
                <w:w w:val="89"/>
              </w:rPr>
              <w:t>14</w:t>
            </w:r>
          </w:p>
        </w:tc>
      </w:tr>
      <w:tr>
        <w:trPr>
          <w:trHeight w:val="88"/>
        </w:trPr>
        <w:tc>
          <w:tcPr>
            <w:tcW w:w="1160" w:type="dxa"/>
            <w:vAlign w:val="bottom"/>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00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1B.</w:t>
            </w:r>
          </w:p>
        </w:tc>
        <w:tc>
          <w:tcPr>
            <w:tcW w:w="3260" w:type="dxa"/>
            <w:vAlign w:val="bottom"/>
            <w:gridSpan w:val="6"/>
            <w:shd w:val="clear" w:color="auto" w:fill="FFC08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7000" w:type="dxa"/>
            <w:vAlign w:val="bottom"/>
            <w:shd w:val="clear" w:color="auto" w:fill="FFC080"/>
          </w:tcPr>
          <w:p>
            <w:pPr>
              <w:jc w:val="center"/>
              <w:ind w:left="6090"/>
              <w:spacing w:after="0"/>
              <w:rPr>
                <w:sz w:val="20"/>
                <w:szCs w:val="20"/>
                <w:color w:val="auto"/>
              </w:rPr>
            </w:pPr>
            <w:r>
              <w:rPr>
                <w:rFonts w:ascii="Arial" w:cs="Arial" w:eastAsia="Arial" w:hAnsi="Arial"/>
                <w:sz w:val="18"/>
                <w:szCs w:val="18"/>
                <w:color w:val="auto"/>
                <w:w w:val="89"/>
              </w:rPr>
              <w:t>19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40" w:type="dxa"/>
            <w:vAlign w:val="bottom"/>
            <w:tcBorders>
              <w:top w:val="single" w:sz="8" w:color="0000EE"/>
            </w:tcBorders>
            <w:shd w:val="clear" w:color="auto" w:fill="FFC080"/>
          </w:tcPr>
          <w:p>
            <w:pPr>
              <w:spacing w:after="0"/>
              <w:rPr>
                <w:sz w:val="7"/>
                <w:szCs w:val="7"/>
                <w:color w:val="auto"/>
              </w:rPr>
            </w:pPr>
          </w:p>
        </w:tc>
        <w:tc>
          <w:tcPr>
            <w:tcW w:w="80" w:type="dxa"/>
            <w:vAlign w:val="bottom"/>
            <w:tcBorders>
              <w:top w:val="single" w:sz="8" w:color="0000EE"/>
            </w:tcBorders>
            <w:shd w:val="clear" w:color="auto" w:fill="FFC080"/>
          </w:tcPr>
          <w:p>
            <w:pPr>
              <w:spacing w:after="0"/>
              <w:rPr>
                <w:sz w:val="7"/>
                <w:szCs w:val="7"/>
                <w:color w:val="auto"/>
              </w:rPr>
            </w:pPr>
          </w:p>
        </w:tc>
        <w:tc>
          <w:tcPr>
            <w:tcW w:w="180" w:type="dxa"/>
            <w:vAlign w:val="bottom"/>
            <w:tcBorders>
              <w:top w:val="single" w:sz="8" w:color="0000EE"/>
            </w:tcBorders>
            <w:shd w:val="clear" w:color="auto" w:fill="FFC080"/>
          </w:tcPr>
          <w:p>
            <w:pPr>
              <w:spacing w:after="0"/>
              <w:rPr>
                <w:sz w:val="7"/>
                <w:szCs w:val="7"/>
                <w:color w:val="auto"/>
              </w:rPr>
            </w:pPr>
          </w:p>
        </w:tc>
        <w:tc>
          <w:tcPr>
            <w:tcW w:w="440" w:type="dxa"/>
            <w:vAlign w:val="bottom"/>
            <w:tcBorders>
              <w:top w:val="single" w:sz="8" w:color="0000EE"/>
            </w:tcBorders>
            <w:shd w:val="clear" w:color="auto" w:fill="FFC080"/>
          </w:tcPr>
          <w:p>
            <w:pPr>
              <w:spacing w:after="0"/>
              <w:rPr>
                <w:sz w:val="7"/>
                <w:szCs w:val="7"/>
                <w:color w:val="auto"/>
              </w:rPr>
            </w:pPr>
          </w:p>
        </w:tc>
        <w:tc>
          <w:tcPr>
            <w:tcW w:w="700" w:type="dxa"/>
            <w:vAlign w:val="bottom"/>
            <w:tcBorders>
              <w:top w:val="single" w:sz="8" w:color="0000EE"/>
            </w:tcBorders>
            <w:shd w:val="clear" w:color="auto" w:fill="FFC080"/>
          </w:tcPr>
          <w:p>
            <w:pPr>
              <w:spacing w:after="0"/>
              <w:rPr>
                <w:sz w:val="7"/>
                <w:szCs w:val="7"/>
                <w:color w:val="auto"/>
              </w:rPr>
            </w:pPr>
          </w:p>
        </w:tc>
        <w:tc>
          <w:tcPr>
            <w:tcW w:w="1220" w:type="dxa"/>
            <w:vAlign w:val="bottom"/>
            <w:tcBorders>
              <w:top w:val="single" w:sz="8" w:color="FFC080"/>
            </w:tcBorders>
            <w:shd w:val="clear" w:color="auto" w:fill="FFC080"/>
          </w:tcPr>
          <w:p>
            <w:pPr>
              <w:spacing w:after="0"/>
              <w:rPr>
                <w:sz w:val="7"/>
                <w:szCs w:val="7"/>
                <w:color w:val="auto"/>
              </w:rPr>
            </w:pPr>
          </w:p>
        </w:tc>
        <w:tc>
          <w:tcPr>
            <w:tcW w:w="700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326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000" w:type="dxa"/>
            <w:vAlign w:val="bottom"/>
          </w:tcPr>
          <w:p>
            <w:pPr>
              <w:jc w:val="center"/>
              <w:ind w:left="6090"/>
              <w:spacing w:after="0"/>
              <w:rPr>
                <w:sz w:val="20"/>
                <w:szCs w:val="20"/>
                <w:color w:val="auto"/>
              </w:rPr>
            </w:pPr>
            <w:r>
              <w:rPr>
                <w:rFonts w:ascii="Arial" w:cs="Arial" w:eastAsia="Arial" w:hAnsi="Arial"/>
                <w:sz w:val="18"/>
                <w:szCs w:val="18"/>
                <w:color w:val="auto"/>
                <w:w w:val="89"/>
              </w:rPr>
              <w:t>19</w:t>
            </w:r>
          </w:p>
        </w:tc>
      </w:tr>
      <w:tr>
        <w:trPr>
          <w:trHeight w:val="88"/>
        </w:trPr>
        <w:tc>
          <w:tcPr>
            <w:tcW w:w="1160" w:type="dxa"/>
            <w:vAlign w:val="bottom"/>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00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3.</w:t>
            </w:r>
          </w:p>
        </w:tc>
        <w:tc>
          <w:tcPr>
            <w:tcW w:w="3260" w:type="dxa"/>
            <w:vAlign w:val="bottom"/>
            <w:gridSpan w:val="6"/>
            <w:shd w:val="clear" w:color="auto" w:fill="FFC08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7000" w:type="dxa"/>
            <w:vAlign w:val="bottom"/>
            <w:shd w:val="clear" w:color="auto" w:fill="FFC080"/>
          </w:tcPr>
          <w:p>
            <w:pPr>
              <w:jc w:val="center"/>
              <w:ind w:left="6090"/>
              <w:spacing w:after="0"/>
              <w:rPr>
                <w:sz w:val="20"/>
                <w:szCs w:val="20"/>
                <w:color w:val="auto"/>
              </w:rPr>
            </w:pPr>
            <w:r>
              <w:rPr>
                <w:rFonts w:ascii="Arial" w:cs="Arial" w:eastAsia="Arial" w:hAnsi="Arial"/>
                <w:sz w:val="18"/>
                <w:szCs w:val="18"/>
                <w:color w:val="auto"/>
                <w:w w:val="89"/>
              </w:rPr>
              <w:t>19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40" w:type="dxa"/>
            <w:vAlign w:val="bottom"/>
            <w:tcBorders>
              <w:top w:val="single" w:sz="8" w:color="0000EE"/>
            </w:tcBorders>
            <w:shd w:val="clear" w:color="auto" w:fill="FFC080"/>
          </w:tcPr>
          <w:p>
            <w:pPr>
              <w:spacing w:after="0"/>
              <w:rPr>
                <w:sz w:val="7"/>
                <w:szCs w:val="7"/>
                <w:color w:val="auto"/>
              </w:rPr>
            </w:pPr>
          </w:p>
        </w:tc>
        <w:tc>
          <w:tcPr>
            <w:tcW w:w="80" w:type="dxa"/>
            <w:vAlign w:val="bottom"/>
            <w:tcBorders>
              <w:top w:val="single" w:sz="8" w:color="0000EE"/>
            </w:tcBorders>
            <w:shd w:val="clear" w:color="auto" w:fill="FFC080"/>
          </w:tcPr>
          <w:p>
            <w:pPr>
              <w:spacing w:after="0"/>
              <w:rPr>
                <w:sz w:val="7"/>
                <w:szCs w:val="7"/>
                <w:color w:val="auto"/>
              </w:rPr>
            </w:pPr>
          </w:p>
        </w:tc>
        <w:tc>
          <w:tcPr>
            <w:tcW w:w="180" w:type="dxa"/>
            <w:vAlign w:val="bottom"/>
            <w:tcBorders>
              <w:top w:val="single" w:sz="8" w:color="0000EE"/>
            </w:tcBorders>
            <w:shd w:val="clear" w:color="auto" w:fill="FFC080"/>
          </w:tcPr>
          <w:p>
            <w:pPr>
              <w:spacing w:after="0"/>
              <w:rPr>
                <w:sz w:val="7"/>
                <w:szCs w:val="7"/>
                <w:color w:val="auto"/>
              </w:rPr>
            </w:pPr>
          </w:p>
        </w:tc>
        <w:tc>
          <w:tcPr>
            <w:tcW w:w="440" w:type="dxa"/>
            <w:vAlign w:val="bottom"/>
            <w:tcBorders>
              <w:top w:val="single" w:sz="8" w:color="0000EE"/>
            </w:tcBorders>
            <w:shd w:val="clear" w:color="auto" w:fill="FFC080"/>
          </w:tcPr>
          <w:p>
            <w:pPr>
              <w:spacing w:after="0"/>
              <w:rPr>
                <w:sz w:val="7"/>
                <w:szCs w:val="7"/>
                <w:color w:val="auto"/>
              </w:rPr>
            </w:pPr>
          </w:p>
        </w:tc>
        <w:tc>
          <w:tcPr>
            <w:tcW w:w="700" w:type="dxa"/>
            <w:vAlign w:val="bottom"/>
            <w:tcBorders>
              <w:top w:val="single" w:sz="8" w:color="FFC080"/>
            </w:tcBorders>
            <w:shd w:val="clear" w:color="auto" w:fill="FFC080"/>
          </w:tcPr>
          <w:p>
            <w:pPr>
              <w:spacing w:after="0"/>
              <w:rPr>
                <w:sz w:val="7"/>
                <w:szCs w:val="7"/>
                <w:color w:val="auto"/>
              </w:rPr>
            </w:pPr>
          </w:p>
        </w:tc>
        <w:tc>
          <w:tcPr>
            <w:tcW w:w="1220" w:type="dxa"/>
            <w:vAlign w:val="bottom"/>
            <w:tcBorders>
              <w:top w:val="single" w:sz="8" w:color="FFC080"/>
            </w:tcBorders>
            <w:shd w:val="clear" w:color="auto" w:fill="FFC080"/>
          </w:tcPr>
          <w:p>
            <w:pPr>
              <w:spacing w:after="0"/>
              <w:rPr>
                <w:sz w:val="7"/>
                <w:szCs w:val="7"/>
                <w:color w:val="auto"/>
              </w:rPr>
            </w:pPr>
          </w:p>
        </w:tc>
        <w:tc>
          <w:tcPr>
            <w:tcW w:w="7000" w:type="dxa"/>
            <w:vAlign w:val="bottom"/>
            <w:tcBorders>
              <w:top w:val="single" w:sz="8" w:color="FFC080"/>
            </w:tcBorders>
            <w:shd w:val="clear" w:color="auto" w:fill="FFC080"/>
          </w:tcPr>
          <w:p>
            <w:pPr>
              <w:spacing w:after="0"/>
              <w:rPr>
                <w:sz w:val="7"/>
                <w:szCs w:val="7"/>
                <w:color w:val="auto"/>
              </w:rPr>
            </w:pPr>
          </w:p>
        </w:tc>
      </w:tr>
    </w:tbl>
    <w:p>
      <w:pPr>
        <w:sectPr>
          <w:pgSz w:w="11900" w:h="16838" w:orient="portrait"/>
          <w:cols w:equalWidth="0" w:num="1">
            <w:col w:w="11420"/>
          </w:cols>
          <w:pgMar w:left="240" w:top="31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892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Reserved</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19</w:t>
            </w:r>
          </w:p>
        </w:tc>
      </w:tr>
      <w:tr>
        <w:trPr>
          <w:trHeight w:val="48"/>
        </w:trPr>
        <w:tc>
          <w:tcPr>
            <w:tcW w:w="116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84"/>
        </w:trPr>
        <w:tc>
          <w:tcPr>
            <w:tcW w:w="1160" w:type="dxa"/>
            <w:vAlign w:val="bottom"/>
            <w:shd w:val="clear" w:color="auto" w:fill="FFC080"/>
          </w:tcPr>
          <w:p>
            <w:pPr>
              <w:spacing w:after="0"/>
              <w:rPr>
                <w:sz w:val="24"/>
                <w:szCs w:val="24"/>
                <w:color w:val="auto"/>
              </w:rPr>
            </w:pPr>
          </w:p>
        </w:tc>
        <w:tc>
          <w:tcPr>
            <w:tcW w:w="660" w:type="dxa"/>
            <w:vAlign w:val="bottom"/>
            <w:shd w:val="clear" w:color="auto" w:fill="FFC080"/>
          </w:tcPr>
          <w:p>
            <w:pPr>
              <w:spacing w:after="0"/>
              <w:rPr>
                <w:sz w:val="24"/>
                <w:szCs w:val="24"/>
                <w:color w:val="auto"/>
              </w:rPr>
            </w:pPr>
          </w:p>
        </w:tc>
        <w:tc>
          <w:tcPr>
            <w:tcW w:w="660" w:type="dxa"/>
            <w:vAlign w:val="bottom"/>
            <w:shd w:val="clear" w:color="auto" w:fill="FFC080"/>
          </w:tcPr>
          <w:p>
            <w:pPr>
              <w:spacing w:after="0"/>
              <w:rPr>
                <w:sz w:val="24"/>
                <w:szCs w:val="24"/>
                <w:color w:val="auto"/>
              </w:rPr>
            </w:pPr>
          </w:p>
        </w:tc>
        <w:tc>
          <w:tcPr>
            <w:tcW w:w="380" w:type="dxa"/>
            <w:vAlign w:val="bottom"/>
            <w:shd w:val="clear" w:color="auto" w:fill="FFC080"/>
          </w:tcPr>
          <w:p>
            <w:pPr>
              <w:spacing w:after="0"/>
              <w:rPr>
                <w:sz w:val="24"/>
                <w:szCs w:val="24"/>
                <w:color w:val="auto"/>
              </w:rPr>
            </w:pPr>
          </w:p>
        </w:tc>
        <w:tc>
          <w:tcPr>
            <w:tcW w:w="60" w:type="dxa"/>
            <w:vAlign w:val="bottom"/>
            <w:shd w:val="clear" w:color="auto" w:fill="FFC080"/>
          </w:tcPr>
          <w:p>
            <w:pPr>
              <w:spacing w:after="0"/>
              <w:rPr>
                <w:sz w:val="24"/>
                <w:szCs w:val="24"/>
                <w:color w:val="auto"/>
              </w:rPr>
            </w:pPr>
          </w:p>
        </w:tc>
        <w:tc>
          <w:tcPr>
            <w:tcW w:w="40" w:type="dxa"/>
            <w:vAlign w:val="bottom"/>
            <w:shd w:val="clear" w:color="auto" w:fill="FFC080"/>
          </w:tcPr>
          <w:p>
            <w:pPr>
              <w:spacing w:after="0"/>
              <w:rPr>
                <w:sz w:val="24"/>
                <w:szCs w:val="24"/>
                <w:color w:val="auto"/>
              </w:rPr>
            </w:pPr>
          </w:p>
        </w:tc>
        <w:tc>
          <w:tcPr>
            <w:tcW w:w="1060" w:type="dxa"/>
            <w:vAlign w:val="bottom"/>
            <w:shd w:val="clear" w:color="auto" w:fill="FFC080"/>
          </w:tcPr>
          <w:p>
            <w:pPr>
              <w:spacing w:after="0"/>
              <w:rPr>
                <w:sz w:val="24"/>
                <w:szCs w:val="24"/>
                <w:color w:val="auto"/>
              </w:rPr>
            </w:pPr>
          </w:p>
        </w:tc>
        <w:tc>
          <w:tcPr>
            <w:tcW w:w="300" w:type="dxa"/>
            <w:vAlign w:val="bottom"/>
            <w:shd w:val="clear" w:color="auto" w:fill="FFC080"/>
          </w:tcPr>
          <w:p>
            <w:pPr>
              <w:spacing w:after="0"/>
              <w:rPr>
                <w:sz w:val="24"/>
                <w:szCs w:val="24"/>
                <w:color w:val="auto"/>
              </w:rPr>
            </w:pPr>
          </w:p>
        </w:tc>
        <w:tc>
          <w:tcPr>
            <w:tcW w:w="160" w:type="dxa"/>
            <w:vAlign w:val="bottom"/>
            <w:shd w:val="clear" w:color="auto" w:fill="FFC080"/>
          </w:tcPr>
          <w:p>
            <w:pPr>
              <w:spacing w:after="0"/>
              <w:rPr>
                <w:sz w:val="24"/>
                <w:szCs w:val="24"/>
                <w:color w:val="auto"/>
              </w:rPr>
            </w:pPr>
          </w:p>
        </w:tc>
        <w:tc>
          <w:tcPr>
            <w:tcW w:w="820" w:type="dxa"/>
            <w:vAlign w:val="bottom"/>
            <w:shd w:val="clear" w:color="auto" w:fill="FFC080"/>
          </w:tcPr>
          <w:p>
            <w:pPr>
              <w:spacing w:after="0"/>
              <w:rPr>
                <w:sz w:val="24"/>
                <w:szCs w:val="24"/>
                <w:color w:val="auto"/>
              </w:rPr>
            </w:pPr>
          </w:p>
        </w:tc>
        <w:tc>
          <w:tcPr>
            <w:tcW w:w="160" w:type="dxa"/>
            <w:vAlign w:val="bottom"/>
            <w:shd w:val="clear" w:color="auto" w:fill="FFC080"/>
          </w:tcPr>
          <w:p>
            <w:pPr>
              <w:spacing w:after="0"/>
              <w:rPr>
                <w:sz w:val="24"/>
                <w:szCs w:val="24"/>
                <w:color w:val="auto"/>
              </w:rPr>
            </w:pPr>
          </w:p>
        </w:tc>
        <w:tc>
          <w:tcPr>
            <w:tcW w:w="4620" w:type="dxa"/>
            <w:vAlign w:val="bottom"/>
            <w:gridSpan w:val="6"/>
            <w:shd w:val="clear" w:color="auto" w:fill="FFC080"/>
          </w:tcPr>
          <w:p>
            <w:pPr>
              <w:jc w:val="center"/>
              <w:ind w:right="3680"/>
              <w:spacing w:after="0"/>
              <w:rPr>
                <w:sz w:val="20"/>
                <w:szCs w:val="20"/>
                <w:color w:val="auto"/>
              </w:rPr>
            </w:pPr>
            <w:r>
              <w:rPr>
                <w:rFonts w:ascii="Arial" w:cs="Arial" w:eastAsia="Arial" w:hAnsi="Arial"/>
                <w:sz w:val="18"/>
                <w:szCs w:val="18"/>
                <w:b w:val="1"/>
                <w:bCs w:val="1"/>
                <w:color w:val="auto"/>
              </w:rPr>
              <w:t>PART II</w:t>
            </w:r>
          </w:p>
        </w:tc>
        <w:tc>
          <w:tcPr>
            <w:tcW w:w="1340" w:type="dxa"/>
            <w:vAlign w:val="bottom"/>
            <w:shd w:val="clear" w:color="auto" w:fill="FFC080"/>
          </w:tcPr>
          <w:p>
            <w:pPr>
              <w:spacing w:after="0"/>
              <w:rPr>
                <w:sz w:val="24"/>
                <w:szCs w:val="24"/>
                <w:color w:val="auto"/>
              </w:rPr>
            </w:pPr>
          </w:p>
        </w:tc>
      </w:tr>
      <w:tr>
        <w:trPr>
          <w:trHeight w:val="81"/>
        </w:trPr>
        <w:tc>
          <w:tcPr>
            <w:tcW w:w="1160" w:type="dxa"/>
            <w:vAlign w:val="bottom"/>
            <w:shd w:val="clear" w:color="auto" w:fill="FFC080"/>
          </w:tcPr>
          <w:p>
            <w:pPr>
              <w:spacing w:after="0"/>
              <w:rPr>
                <w:sz w:val="7"/>
                <w:szCs w:val="7"/>
                <w:color w:val="auto"/>
              </w:rPr>
            </w:pPr>
          </w:p>
        </w:tc>
        <w:tc>
          <w:tcPr>
            <w:tcW w:w="660" w:type="dxa"/>
            <w:vAlign w:val="bottom"/>
            <w:shd w:val="clear" w:color="auto" w:fill="FFC080"/>
          </w:tcPr>
          <w:p>
            <w:pPr>
              <w:spacing w:after="0"/>
              <w:rPr>
                <w:sz w:val="7"/>
                <w:szCs w:val="7"/>
                <w:color w:val="auto"/>
              </w:rPr>
            </w:pPr>
          </w:p>
        </w:tc>
        <w:tc>
          <w:tcPr>
            <w:tcW w:w="660" w:type="dxa"/>
            <w:vAlign w:val="bottom"/>
            <w:shd w:val="clear" w:color="auto" w:fill="FFC080"/>
          </w:tcPr>
          <w:p>
            <w:pPr>
              <w:spacing w:after="0"/>
              <w:rPr>
                <w:sz w:val="7"/>
                <w:szCs w:val="7"/>
                <w:color w:val="auto"/>
              </w:rPr>
            </w:pPr>
          </w:p>
        </w:tc>
        <w:tc>
          <w:tcPr>
            <w:tcW w:w="380" w:type="dxa"/>
            <w:vAlign w:val="bottom"/>
            <w:shd w:val="clear" w:color="auto" w:fill="FFC080"/>
          </w:tcPr>
          <w:p>
            <w:pPr>
              <w:spacing w:after="0"/>
              <w:rPr>
                <w:sz w:val="7"/>
                <w:szCs w:val="7"/>
                <w:color w:val="auto"/>
              </w:rPr>
            </w:pPr>
          </w:p>
        </w:tc>
        <w:tc>
          <w:tcPr>
            <w:tcW w:w="60" w:type="dxa"/>
            <w:vAlign w:val="bottom"/>
            <w:shd w:val="clear" w:color="auto" w:fill="FFC080"/>
          </w:tcPr>
          <w:p>
            <w:pPr>
              <w:spacing w:after="0"/>
              <w:rPr>
                <w:sz w:val="7"/>
                <w:szCs w:val="7"/>
                <w:color w:val="auto"/>
              </w:rPr>
            </w:pPr>
          </w:p>
        </w:tc>
        <w:tc>
          <w:tcPr>
            <w:tcW w:w="40" w:type="dxa"/>
            <w:vAlign w:val="bottom"/>
            <w:shd w:val="clear" w:color="auto" w:fill="FFC080"/>
          </w:tcPr>
          <w:p>
            <w:pPr>
              <w:spacing w:after="0"/>
              <w:rPr>
                <w:sz w:val="7"/>
                <w:szCs w:val="7"/>
                <w:color w:val="auto"/>
              </w:rPr>
            </w:pPr>
          </w:p>
        </w:tc>
        <w:tc>
          <w:tcPr>
            <w:tcW w:w="1060" w:type="dxa"/>
            <w:vAlign w:val="bottom"/>
            <w:shd w:val="clear" w:color="auto" w:fill="FFC080"/>
          </w:tcPr>
          <w:p>
            <w:pPr>
              <w:spacing w:after="0"/>
              <w:rPr>
                <w:sz w:val="7"/>
                <w:szCs w:val="7"/>
                <w:color w:val="auto"/>
              </w:rPr>
            </w:pPr>
          </w:p>
        </w:tc>
        <w:tc>
          <w:tcPr>
            <w:tcW w:w="300" w:type="dxa"/>
            <w:vAlign w:val="bottom"/>
            <w:shd w:val="clear" w:color="auto" w:fill="FFC080"/>
          </w:tcPr>
          <w:p>
            <w:pPr>
              <w:spacing w:after="0"/>
              <w:rPr>
                <w:sz w:val="7"/>
                <w:szCs w:val="7"/>
                <w:color w:val="auto"/>
              </w:rPr>
            </w:pPr>
          </w:p>
        </w:tc>
        <w:tc>
          <w:tcPr>
            <w:tcW w:w="160" w:type="dxa"/>
            <w:vAlign w:val="bottom"/>
            <w:shd w:val="clear" w:color="auto" w:fill="FFC080"/>
          </w:tcPr>
          <w:p>
            <w:pPr>
              <w:spacing w:after="0"/>
              <w:rPr>
                <w:sz w:val="7"/>
                <w:szCs w:val="7"/>
                <w:color w:val="auto"/>
              </w:rPr>
            </w:pPr>
          </w:p>
        </w:tc>
        <w:tc>
          <w:tcPr>
            <w:tcW w:w="820" w:type="dxa"/>
            <w:vAlign w:val="bottom"/>
            <w:shd w:val="clear" w:color="auto" w:fill="FFC080"/>
          </w:tcPr>
          <w:p>
            <w:pPr>
              <w:spacing w:after="0"/>
              <w:rPr>
                <w:sz w:val="7"/>
                <w:szCs w:val="7"/>
                <w:color w:val="auto"/>
              </w:rPr>
            </w:pPr>
          </w:p>
        </w:tc>
        <w:tc>
          <w:tcPr>
            <w:tcW w:w="160" w:type="dxa"/>
            <w:vAlign w:val="bottom"/>
            <w:shd w:val="clear" w:color="auto" w:fill="FFC080"/>
          </w:tcPr>
          <w:p>
            <w:pPr>
              <w:spacing w:after="0"/>
              <w:rPr>
                <w:sz w:val="7"/>
                <w:szCs w:val="7"/>
                <w:color w:val="auto"/>
              </w:rPr>
            </w:pPr>
          </w:p>
        </w:tc>
        <w:tc>
          <w:tcPr>
            <w:tcW w:w="1140" w:type="dxa"/>
            <w:vAlign w:val="bottom"/>
            <w:shd w:val="clear" w:color="auto" w:fill="FFC080"/>
          </w:tcPr>
          <w:p>
            <w:pPr>
              <w:spacing w:after="0"/>
              <w:rPr>
                <w:sz w:val="7"/>
                <w:szCs w:val="7"/>
                <w:color w:val="auto"/>
              </w:rPr>
            </w:pPr>
          </w:p>
        </w:tc>
        <w:tc>
          <w:tcPr>
            <w:tcW w:w="1020" w:type="dxa"/>
            <w:vAlign w:val="bottom"/>
            <w:shd w:val="clear" w:color="auto" w:fill="FFC080"/>
          </w:tcPr>
          <w:p>
            <w:pPr>
              <w:spacing w:after="0"/>
              <w:rPr>
                <w:sz w:val="7"/>
                <w:szCs w:val="7"/>
                <w:color w:val="auto"/>
              </w:rPr>
            </w:pPr>
          </w:p>
        </w:tc>
        <w:tc>
          <w:tcPr>
            <w:tcW w:w="20" w:type="dxa"/>
            <w:vAlign w:val="bottom"/>
            <w:shd w:val="clear" w:color="auto" w:fill="FFC080"/>
          </w:tcPr>
          <w:p>
            <w:pPr>
              <w:spacing w:after="0"/>
              <w:rPr>
                <w:sz w:val="7"/>
                <w:szCs w:val="7"/>
                <w:color w:val="auto"/>
              </w:rPr>
            </w:pPr>
          </w:p>
        </w:tc>
        <w:tc>
          <w:tcPr>
            <w:tcW w:w="800" w:type="dxa"/>
            <w:vAlign w:val="bottom"/>
            <w:shd w:val="clear" w:color="auto" w:fill="FFC080"/>
          </w:tcPr>
          <w:p>
            <w:pPr>
              <w:spacing w:after="0"/>
              <w:rPr>
                <w:sz w:val="7"/>
                <w:szCs w:val="7"/>
                <w:color w:val="auto"/>
              </w:rPr>
            </w:pPr>
          </w:p>
        </w:tc>
        <w:tc>
          <w:tcPr>
            <w:tcW w:w="800" w:type="dxa"/>
            <w:vAlign w:val="bottom"/>
            <w:shd w:val="clear" w:color="auto" w:fill="FFC080"/>
          </w:tcPr>
          <w:p>
            <w:pPr>
              <w:spacing w:after="0"/>
              <w:rPr>
                <w:sz w:val="7"/>
                <w:szCs w:val="7"/>
                <w:color w:val="auto"/>
              </w:rPr>
            </w:pPr>
          </w:p>
        </w:tc>
        <w:tc>
          <w:tcPr>
            <w:tcW w:w="840" w:type="dxa"/>
            <w:vAlign w:val="bottom"/>
            <w:shd w:val="clear" w:color="auto" w:fill="FFC080"/>
          </w:tcPr>
          <w:p>
            <w:pPr>
              <w:spacing w:after="0"/>
              <w:rPr>
                <w:sz w:val="7"/>
                <w:szCs w:val="7"/>
                <w:color w:val="auto"/>
              </w:rPr>
            </w:pPr>
          </w:p>
        </w:tc>
        <w:tc>
          <w:tcPr>
            <w:tcW w:w="1340" w:type="dxa"/>
            <w:vAlign w:val="bottom"/>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892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20</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800" w:type="dxa"/>
            <w:vAlign w:val="bottom"/>
            <w:tcBorders>
              <w:top w:val="single" w:sz="8" w:color="0000EE"/>
            </w:tcBorders>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6.</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20</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FFC080"/>
            </w:tcBorders>
            <w:shd w:val="clear" w:color="auto" w:fill="FFC080"/>
          </w:tcPr>
          <w:p>
            <w:pPr>
              <w:spacing w:after="0"/>
              <w:rPr>
                <w:sz w:val="7"/>
                <w:szCs w:val="7"/>
                <w:color w:val="auto"/>
              </w:rPr>
            </w:pPr>
          </w:p>
        </w:tc>
        <w:tc>
          <w:tcPr>
            <w:tcW w:w="40" w:type="dxa"/>
            <w:vAlign w:val="bottom"/>
            <w:tcBorders>
              <w:top w:val="single" w:sz="8" w:color="FFC080"/>
            </w:tcBorders>
            <w:shd w:val="clear" w:color="auto" w:fill="FFC080"/>
          </w:tcPr>
          <w:p>
            <w:pPr>
              <w:spacing w:after="0"/>
              <w:rPr>
                <w:sz w:val="7"/>
                <w:szCs w:val="7"/>
                <w:color w:val="auto"/>
              </w:rPr>
            </w:pPr>
          </w:p>
        </w:tc>
        <w:tc>
          <w:tcPr>
            <w:tcW w:w="1060" w:type="dxa"/>
            <w:vAlign w:val="bottom"/>
            <w:tcBorders>
              <w:top w:val="single" w:sz="8" w:color="FFC080"/>
            </w:tcBorders>
            <w:shd w:val="clear" w:color="auto" w:fill="FFC080"/>
          </w:tcPr>
          <w:p>
            <w:pPr>
              <w:spacing w:after="0"/>
              <w:rPr>
                <w:sz w:val="7"/>
                <w:szCs w:val="7"/>
                <w:color w:val="auto"/>
              </w:rPr>
            </w:pPr>
          </w:p>
        </w:tc>
        <w:tc>
          <w:tcPr>
            <w:tcW w:w="30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82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21</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7A.</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27</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82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89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28</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Changes in and Disagreements with Accountants on Accounting and Financial Disclosure</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28</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82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1140" w:type="dxa"/>
            <w:vAlign w:val="bottom"/>
            <w:tcBorders>
              <w:top w:val="single" w:sz="8" w:color="0000EE"/>
            </w:tcBorders>
            <w:shd w:val="clear" w:color="auto" w:fill="FFC080"/>
          </w:tcPr>
          <w:p>
            <w:pPr>
              <w:spacing w:after="0"/>
              <w:rPr>
                <w:sz w:val="7"/>
                <w:szCs w:val="7"/>
                <w:color w:val="auto"/>
              </w:rPr>
            </w:pPr>
          </w:p>
        </w:tc>
        <w:tc>
          <w:tcPr>
            <w:tcW w:w="102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9A.</w:t>
            </w:r>
          </w:p>
        </w:tc>
        <w:tc>
          <w:tcPr>
            <w:tcW w:w="89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28</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28</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FFC080"/>
            </w:tcBorders>
            <w:shd w:val="clear" w:color="auto" w:fill="FFC080"/>
          </w:tcPr>
          <w:p>
            <w:pPr>
              <w:spacing w:after="0"/>
              <w:rPr>
                <w:sz w:val="7"/>
                <w:szCs w:val="7"/>
                <w:color w:val="auto"/>
              </w:rPr>
            </w:pPr>
          </w:p>
        </w:tc>
        <w:tc>
          <w:tcPr>
            <w:tcW w:w="60" w:type="dxa"/>
            <w:vAlign w:val="bottom"/>
            <w:tcBorders>
              <w:top w:val="single" w:sz="8" w:color="FFC080"/>
            </w:tcBorders>
            <w:shd w:val="clear" w:color="auto" w:fill="FFC080"/>
          </w:tcPr>
          <w:p>
            <w:pPr>
              <w:spacing w:after="0"/>
              <w:rPr>
                <w:sz w:val="7"/>
                <w:szCs w:val="7"/>
                <w:color w:val="auto"/>
              </w:rPr>
            </w:pPr>
          </w:p>
        </w:tc>
        <w:tc>
          <w:tcPr>
            <w:tcW w:w="40" w:type="dxa"/>
            <w:vAlign w:val="bottom"/>
            <w:tcBorders>
              <w:top w:val="single" w:sz="8" w:color="FFC080"/>
            </w:tcBorders>
            <w:shd w:val="clear" w:color="auto" w:fill="FFC080"/>
          </w:tcPr>
          <w:p>
            <w:pPr>
              <w:spacing w:after="0"/>
              <w:rPr>
                <w:sz w:val="7"/>
                <w:szCs w:val="7"/>
                <w:color w:val="auto"/>
              </w:rPr>
            </w:pPr>
          </w:p>
        </w:tc>
        <w:tc>
          <w:tcPr>
            <w:tcW w:w="1060" w:type="dxa"/>
            <w:vAlign w:val="bottom"/>
            <w:tcBorders>
              <w:top w:val="single" w:sz="8" w:color="FFC080"/>
            </w:tcBorders>
            <w:shd w:val="clear" w:color="auto" w:fill="FFC080"/>
          </w:tcPr>
          <w:p>
            <w:pPr>
              <w:spacing w:after="0"/>
              <w:rPr>
                <w:sz w:val="7"/>
                <w:szCs w:val="7"/>
                <w:color w:val="auto"/>
              </w:rPr>
            </w:pPr>
          </w:p>
        </w:tc>
        <w:tc>
          <w:tcPr>
            <w:tcW w:w="30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82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84"/>
        </w:trPr>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6"/>
          </w:tcPr>
          <w:p>
            <w:pPr>
              <w:jc w:val="center"/>
              <w:ind w:right="3700"/>
              <w:spacing w:after="0"/>
              <w:rPr>
                <w:sz w:val="20"/>
                <w:szCs w:val="20"/>
                <w:color w:val="auto"/>
              </w:rPr>
            </w:pPr>
            <w:r>
              <w:rPr>
                <w:rFonts w:ascii="Arial" w:cs="Arial" w:eastAsia="Arial" w:hAnsi="Arial"/>
                <w:sz w:val="18"/>
                <w:szCs w:val="18"/>
                <w:b w:val="1"/>
                <w:bCs w:val="1"/>
                <w:color w:val="auto"/>
              </w:rPr>
              <w:t>PART III</w:t>
            </w:r>
          </w:p>
        </w:tc>
        <w:tc>
          <w:tcPr>
            <w:tcW w:w="1340" w:type="dxa"/>
            <w:vAlign w:val="bottom"/>
          </w:tcPr>
          <w:p>
            <w:pPr>
              <w:spacing w:after="0"/>
              <w:rPr>
                <w:sz w:val="24"/>
                <w:szCs w:val="24"/>
                <w:color w:val="auto"/>
              </w:rPr>
            </w:pPr>
          </w:p>
        </w:tc>
      </w:tr>
      <w:tr>
        <w:trPr>
          <w:trHeight w:val="81"/>
        </w:trPr>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10.</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Directors , Executive Officers and Corporate Governance</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82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12.</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82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0000EE"/>
            </w:tcBorders>
            <w:shd w:val="clear" w:color="auto" w:fill="FFC080"/>
          </w:tcPr>
          <w:p>
            <w:pPr>
              <w:spacing w:after="0"/>
              <w:rPr>
                <w:sz w:val="7"/>
                <w:szCs w:val="7"/>
                <w:color w:val="auto"/>
              </w:rPr>
            </w:pPr>
          </w:p>
        </w:tc>
        <w:tc>
          <w:tcPr>
            <w:tcW w:w="1140" w:type="dxa"/>
            <w:vAlign w:val="bottom"/>
            <w:tcBorders>
              <w:top w:val="single" w:sz="8" w:color="0000EE"/>
            </w:tcBorders>
            <w:shd w:val="clear" w:color="auto" w:fill="FFC080"/>
          </w:tcPr>
          <w:p>
            <w:pPr>
              <w:spacing w:after="0"/>
              <w:rPr>
                <w:sz w:val="7"/>
                <w:szCs w:val="7"/>
                <w:color w:val="auto"/>
              </w:rPr>
            </w:pPr>
          </w:p>
        </w:tc>
        <w:tc>
          <w:tcPr>
            <w:tcW w:w="102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800" w:type="dxa"/>
            <w:vAlign w:val="bottom"/>
            <w:tcBorders>
              <w:top w:val="single" w:sz="8" w:color="0000EE"/>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Item 13.</w:t>
            </w:r>
          </w:p>
        </w:tc>
        <w:tc>
          <w:tcPr>
            <w:tcW w:w="892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82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r>
        <w:trPr>
          <w:trHeight w:val="284"/>
        </w:trPr>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6"/>
          </w:tcPr>
          <w:p>
            <w:pPr>
              <w:jc w:val="center"/>
              <w:ind w:right="3700"/>
              <w:spacing w:after="0"/>
              <w:rPr>
                <w:sz w:val="20"/>
                <w:szCs w:val="20"/>
                <w:color w:val="auto"/>
              </w:rPr>
            </w:pPr>
            <w:r>
              <w:rPr>
                <w:rFonts w:ascii="Arial" w:cs="Arial" w:eastAsia="Arial" w:hAnsi="Arial"/>
                <w:sz w:val="18"/>
                <w:szCs w:val="18"/>
                <w:b w:val="1"/>
                <w:bCs w:val="1"/>
                <w:color w:val="auto"/>
              </w:rPr>
              <w:t>PART IV</w:t>
            </w:r>
          </w:p>
        </w:tc>
        <w:tc>
          <w:tcPr>
            <w:tcW w:w="1340" w:type="dxa"/>
            <w:vAlign w:val="bottom"/>
          </w:tcPr>
          <w:p>
            <w:pPr>
              <w:spacing w:after="0"/>
              <w:rPr>
                <w:sz w:val="24"/>
                <w:szCs w:val="24"/>
                <w:color w:val="auto"/>
              </w:rPr>
            </w:pPr>
          </w:p>
        </w:tc>
      </w:tr>
      <w:tr>
        <w:trPr>
          <w:trHeight w:val="81"/>
        </w:trPr>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7"/>
        </w:trPr>
        <w:tc>
          <w:tcPr>
            <w:tcW w:w="1160" w:type="dxa"/>
            <w:vAlign w:val="bottom"/>
            <w:shd w:val="clear" w:color="auto" w:fill="FFC080"/>
          </w:tcPr>
          <w:p>
            <w:pPr>
              <w:spacing w:after="0"/>
              <w:rPr>
                <w:sz w:val="20"/>
                <w:szCs w:val="20"/>
                <w:color w:val="auto"/>
              </w:rPr>
            </w:pPr>
            <w:r>
              <w:rPr>
                <w:rFonts w:ascii="Arial" w:cs="Arial" w:eastAsia="Arial" w:hAnsi="Arial"/>
                <w:sz w:val="18"/>
                <w:szCs w:val="18"/>
                <w:color w:val="auto"/>
              </w:rPr>
              <w:t>Item 15.</w:t>
            </w:r>
          </w:p>
        </w:tc>
        <w:tc>
          <w:tcPr>
            <w:tcW w:w="8920" w:type="dxa"/>
            <w:vAlign w:val="bottom"/>
            <w:gridSpan w:val="16"/>
            <w:shd w:val="clear" w:color="auto" w:fill="FFC08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 and Financial Statement Schedules</w:t>
              </w:r>
            </w:hyperlink>
          </w:p>
        </w:tc>
        <w:tc>
          <w:tcPr>
            <w:tcW w:w="1340" w:type="dxa"/>
            <w:vAlign w:val="bottom"/>
            <w:shd w:val="clear" w:color="auto" w:fill="FFC080"/>
          </w:tcPr>
          <w:p>
            <w:pPr>
              <w:jc w:val="right"/>
              <w:ind w:right="230"/>
              <w:spacing w:after="0"/>
              <w:rPr>
                <w:sz w:val="20"/>
                <w:szCs w:val="20"/>
                <w:color w:val="auto"/>
              </w:rPr>
            </w:pPr>
            <w:r>
              <w:rPr>
                <w:rFonts w:ascii="Arial" w:cs="Arial" w:eastAsia="Arial" w:hAnsi="Arial"/>
                <w:sz w:val="18"/>
                <w:szCs w:val="18"/>
                <w:color w:val="auto"/>
              </w:rPr>
              <w:t>29</w:t>
            </w:r>
          </w:p>
        </w:tc>
      </w:tr>
      <w:tr>
        <w:trPr>
          <w:trHeight w:val="88"/>
        </w:trPr>
        <w:tc>
          <w:tcPr>
            <w:tcW w:w="1160" w:type="dxa"/>
            <w:vAlign w:val="bottom"/>
            <w:tcBorders>
              <w:top w:val="single" w:sz="8" w:color="FFC080"/>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66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0" w:type="dxa"/>
            <w:vAlign w:val="bottom"/>
            <w:tcBorders>
              <w:top w:val="single" w:sz="8" w:color="0000EE"/>
            </w:tcBorders>
            <w:shd w:val="clear" w:color="auto" w:fill="FFC080"/>
          </w:tcPr>
          <w:p>
            <w:pPr>
              <w:spacing w:after="0"/>
              <w:rPr>
                <w:sz w:val="7"/>
                <w:szCs w:val="7"/>
                <w:color w:val="auto"/>
              </w:rPr>
            </w:pPr>
          </w:p>
        </w:tc>
        <w:tc>
          <w:tcPr>
            <w:tcW w:w="40" w:type="dxa"/>
            <w:vAlign w:val="bottom"/>
            <w:tcBorders>
              <w:top w:val="single" w:sz="8" w:color="0000EE"/>
            </w:tcBorders>
            <w:shd w:val="clear" w:color="auto" w:fill="FFC080"/>
          </w:tcPr>
          <w:p>
            <w:pPr>
              <w:spacing w:after="0"/>
              <w:rPr>
                <w:sz w:val="7"/>
                <w:szCs w:val="7"/>
                <w:color w:val="auto"/>
              </w:rPr>
            </w:pPr>
          </w:p>
        </w:tc>
        <w:tc>
          <w:tcPr>
            <w:tcW w:w="106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820" w:type="dxa"/>
            <w:vAlign w:val="bottom"/>
            <w:tcBorders>
              <w:top w:val="single" w:sz="8" w:color="FFC080"/>
            </w:tcBorders>
            <w:shd w:val="clear" w:color="auto" w:fill="FFC080"/>
          </w:tcPr>
          <w:p>
            <w:pPr>
              <w:spacing w:after="0"/>
              <w:rPr>
                <w:sz w:val="7"/>
                <w:szCs w:val="7"/>
                <w:color w:val="auto"/>
              </w:rPr>
            </w:pPr>
          </w:p>
        </w:tc>
        <w:tc>
          <w:tcPr>
            <w:tcW w:w="160" w:type="dxa"/>
            <w:vAlign w:val="bottom"/>
            <w:tcBorders>
              <w:top w:val="single" w:sz="8" w:color="FFC080"/>
            </w:tcBorders>
            <w:shd w:val="clear" w:color="auto" w:fill="FFC080"/>
          </w:tcPr>
          <w:p>
            <w:pPr>
              <w:spacing w:after="0"/>
              <w:rPr>
                <w:sz w:val="7"/>
                <w:szCs w:val="7"/>
                <w:color w:val="auto"/>
              </w:rPr>
            </w:pPr>
          </w:p>
        </w:tc>
        <w:tc>
          <w:tcPr>
            <w:tcW w:w="1140" w:type="dxa"/>
            <w:vAlign w:val="bottom"/>
            <w:tcBorders>
              <w:top w:val="single" w:sz="8" w:color="FFC080"/>
            </w:tcBorders>
            <w:shd w:val="clear" w:color="auto" w:fill="FFC080"/>
          </w:tcPr>
          <w:p>
            <w:pPr>
              <w:spacing w:after="0"/>
              <w:rPr>
                <w:sz w:val="7"/>
                <w:szCs w:val="7"/>
                <w:color w:val="auto"/>
              </w:rPr>
            </w:pPr>
          </w:p>
        </w:tc>
        <w:tc>
          <w:tcPr>
            <w:tcW w:w="102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00" w:type="dxa"/>
            <w:vAlign w:val="bottom"/>
            <w:tcBorders>
              <w:top w:val="single" w:sz="8" w:color="FFC080"/>
            </w:tcBorders>
            <w:shd w:val="clear" w:color="auto" w:fill="FFC080"/>
          </w:tcPr>
          <w:p>
            <w:pPr>
              <w:spacing w:after="0"/>
              <w:rPr>
                <w:sz w:val="7"/>
                <w:szCs w:val="7"/>
                <w:color w:val="auto"/>
              </w:rPr>
            </w:pPr>
          </w:p>
        </w:tc>
        <w:tc>
          <w:tcPr>
            <w:tcW w:w="840" w:type="dxa"/>
            <w:vAlign w:val="bottom"/>
            <w:tcBorders>
              <w:top w:val="single" w:sz="8" w:color="FFC080"/>
            </w:tcBorders>
            <w:shd w:val="clear" w:color="auto" w:fill="FFC080"/>
          </w:tcPr>
          <w:p>
            <w:pPr>
              <w:spacing w:after="0"/>
              <w:rPr>
                <w:sz w:val="7"/>
                <w:szCs w:val="7"/>
                <w:color w:val="auto"/>
              </w:rPr>
            </w:pPr>
          </w:p>
        </w:tc>
        <w:tc>
          <w:tcPr>
            <w:tcW w:w="1340" w:type="dxa"/>
            <w:vAlign w:val="bottom"/>
            <w:tcBorders>
              <w:top w:val="single" w:sz="8" w:color="FFC080"/>
            </w:tcBorders>
            <w:shd w:val="clear" w:color="auto" w:fill="FFC08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with development offices in Austin, Texas.</w:t>
      </w:r>
    </w:p>
    <w:p>
      <w:pPr>
        <w:spacing w:after="0" w:line="15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Our conferencing solutions save organizations time and money by creating a natural environment for collaboration.</w:t>
      </w:r>
    </w:p>
    <w:p>
      <w:pPr>
        <w:spacing w:after="0" w:line="17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NetStreams® DigilinX, the ClearOne brand for residential products, and VIEW™, the ClearOne brand for commercial products, deliver the ultimate IP A/V experience by streaming high definition audio and video (multimedia) and control over TCP/IP networks. 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18"/>
          <w:szCs w:val="18"/>
          <w:b w:val="1"/>
          <w:bCs w:val="1"/>
          <w:i w:val="1"/>
          <w:iCs w:val="1"/>
          <w:color w:val="auto"/>
        </w:rPr>
        <w:t>Power of AV over IP</w:t>
      </w:r>
      <w:r>
        <w:rPr>
          <w:rFonts w:ascii="Arial" w:cs="Arial" w:eastAsia="Arial" w:hAnsi="Arial"/>
          <w:sz w:val="18"/>
          <w:szCs w:val="18"/>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7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On November 3, 2009, ClearOne acquired NetStreams, Inc., a pioneer in digital streaming multimedia networks based on Internet Protocol (IP) technology. NetStreams' technology is used in a wide variety of applications including digital signage, corporate video streaming, network operations centers, distance education, and venues for hospitality, entertainment and casinos.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NetStreams' patented multimedia and control solutions can synchronously stream virtually any number and any type of digital or analog multimedia audio and or video content sources, including high definition, to virtually an unlimited number of networked endpoints on existing IP networks and infrastructure without the need for centralized switching. In addition, through its ability to combine content and control signals into one data stream, ClearOne’s new multimedia streaming solutions offer new levels of affordability, simplicity, reliability, and scalability, benefiting both installers and end-users with lower costs for installation, set-up, and support.</w:t>
      </w:r>
    </w:p>
    <w:p>
      <w:pPr>
        <w:spacing w:after="0" w:line="176" w:lineRule="exact"/>
        <w:rPr>
          <w:sz w:val="20"/>
          <w:szCs w:val="20"/>
          <w:color w:val="auto"/>
        </w:rPr>
      </w:pPr>
    </w:p>
    <w:p>
      <w:pPr>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Under the terms of the merger and acquisition agreement, ClearOne paid approximately $1.45 million in cash and agreed to assume $2 million in debt. Please refer to </w:t>
      </w:r>
      <w:hyperlink w:anchor="page46">
        <w:r>
          <w:rPr>
            <w:rFonts w:ascii="Arial" w:cs="Arial" w:eastAsia="Arial" w:hAnsi="Arial"/>
            <w:sz w:val="18"/>
            <w:szCs w:val="18"/>
            <w:u w:val="single" w:color="auto"/>
            <w:color w:val="0000EE"/>
          </w:rPr>
          <w:t>Note 3 – Business Combination, Goodwill and Intangibles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Consolidated Financial Statements (Part II, Item 8) for more financial information. NetStreams products are currently sold primarily in the residential electronics channel with new products introduced and planned for the audio and video commercial channel. The addition of NetStreams’ IP networked multimedia and control streaming products to ClearOne’s portfolio of conferencing and collaboration products presents a great fit for bringing complementary products, markets, and sales channels from both organizations, enabling us to provide a comprehensive high definition audio and video solution to better realize the true promise of audiovisual (AV) and information technology (IT) convergence.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also manufacture and sell media carts for audio and video conferencing.</w:t>
      </w:r>
    </w:p>
    <w:p>
      <w:pPr>
        <w:spacing w:after="0" w:line="19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educational institutions, and government organizations, as well as individual consumers. We sell our commercial products to these end-users primarily through a global network of independent distributors who in turn sell our products to dealers, systems integrators, and other value-added resellers. We also sell commercial products directly to dealers, systems integrators, value-added resellers, and end-users. We sell our residential products through a global network of residential electronics dealers, system integrators, and other value-added resellers.</w:t>
      </w:r>
    </w:p>
    <w:p>
      <w:pPr>
        <w:spacing w:after="0" w:line="145" w:lineRule="exact"/>
        <w:rPr>
          <w:sz w:val="20"/>
          <w:szCs w:val="20"/>
          <w:color w:val="auto"/>
        </w:rPr>
      </w:pPr>
    </w:p>
    <w:p>
      <w:pPr>
        <w:jc w:val="both"/>
        <w:ind w:right="620"/>
        <w:spacing w:after="0" w:line="250"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b w:val="1"/>
          <w:bCs w:val="1"/>
          <w:u w:val="single" w:color="auto"/>
          <w:color w:val="auto"/>
        </w:rPr>
        <w:t>www.clearone.com</w:t>
      </w:r>
      <w:r>
        <w:rPr>
          <w:rFonts w:ascii="Arial" w:cs="Arial" w:eastAsia="Arial" w:hAnsi="Arial"/>
          <w:sz w:val="18"/>
          <w:szCs w:val="18"/>
          <w:color w:val="auto"/>
        </w:rPr>
        <w:t>. Our annual reports on Form 10-K, quarterly reports on Form 10-Q, current reports on Form 8-K, and any amendments to such reports are available, free of charge, on our website at the "Investor Relations" section under "Company", as soon as reasonably practicable after we file electronically such material with, or furnish it to, the SEC.</w:t>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198" w:lineRule="exact"/>
        <w:rPr>
          <w:sz w:val="20"/>
          <w:szCs w:val="20"/>
          <w:color w:val="auto"/>
        </w:rPr>
      </w:pPr>
    </w:p>
    <w:p>
      <w:pPr>
        <w:ind w:left="400" w:hanging="33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audiovisual;</w:t>
      </w:r>
    </w:p>
    <w:p>
      <w:pPr>
        <w:spacing w:after="0" w:line="23" w:lineRule="exact"/>
        <w:rPr>
          <w:rFonts w:ascii="Arial" w:cs="Arial" w:eastAsia="Arial" w:hAnsi="Arial"/>
          <w:sz w:val="18"/>
          <w:szCs w:val="18"/>
          <w:color w:val="auto"/>
        </w:rPr>
      </w:pPr>
    </w:p>
    <w:p>
      <w:pPr>
        <w:ind w:left="400" w:hanging="33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9" w:lineRule="exact"/>
        <w:rPr>
          <w:rFonts w:ascii="Arial" w:cs="Arial" w:eastAsia="Arial" w:hAnsi="Arial"/>
          <w:sz w:val="18"/>
          <w:szCs w:val="18"/>
          <w:color w:val="auto"/>
        </w:rPr>
      </w:pPr>
    </w:p>
    <w:p>
      <w:pPr>
        <w:ind w:left="400" w:hanging="33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multimedia streaming and control including digital signage; and</w:t>
      </w:r>
    </w:p>
    <w:p>
      <w:pPr>
        <w:spacing w:after="0" w:line="9" w:lineRule="exact"/>
        <w:rPr>
          <w:rFonts w:ascii="Arial" w:cs="Arial" w:eastAsia="Arial" w:hAnsi="Arial"/>
          <w:sz w:val="18"/>
          <w:szCs w:val="18"/>
          <w:color w:val="auto"/>
        </w:rPr>
      </w:pPr>
    </w:p>
    <w:p>
      <w:pPr>
        <w:ind w:left="400" w:hanging="33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entertainment.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leadership of professional audio conferencing products for large businesses and organizations;</w:t>
      </w:r>
    </w:p>
    <w:p>
      <w:pPr>
        <w:spacing w:after="0" w:line="23"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entering Information Technology channels;</w:t>
      </w:r>
    </w:p>
    <w:p>
      <w:pPr>
        <w:spacing w:after="0" w:line="20" w:lineRule="exact"/>
        <w:rPr>
          <w:rFonts w:ascii="Arial" w:cs="Arial" w:eastAsia="Arial" w:hAnsi="Arial"/>
          <w:sz w:val="17"/>
          <w:szCs w:val="17"/>
          <w:color w:val="auto"/>
        </w:rPr>
      </w:pPr>
    </w:p>
    <w:p>
      <w:pPr>
        <w:ind w:left="400" w:hanging="332"/>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 with large enterprise communications providers worldwide to bring value added products to their solution portfolios and channels; and</w:t>
      </w:r>
    </w:p>
    <w:p>
      <w:pPr>
        <w:spacing w:after="0" w:line="20" w:lineRule="exact"/>
        <w:rPr>
          <w:rFonts w:ascii="Arial" w:cs="Arial" w:eastAsia="Arial" w:hAnsi="Arial"/>
          <w:sz w:val="17"/>
          <w:szCs w:val="17"/>
          <w:color w:val="auto"/>
        </w:rPr>
      </w:pPr>
    </w:p>
    <w:p>
      <w:pPr>
        <w:ind w:left="400" w:right="80" w:hanging="332"/>
        <w:spacing w:after="0" w:line="261"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the convergence of AV over IP by integrating NetStreams and ClearOne core technologies to provide new solutions that reach deeper into the enterprise infrastructure and bring clear, differentiated value to both the practitioner and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will continue to improve our existing high-quality products and develop new products for the bourgeoning conferencing and collaboration, and multimedia streaming markets.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 a superior conferencing and collaboration experience</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been developing audio technologies since 1981 and believe we have established a worldwide reputation for providing some of the highest quality group audio conferencing solutions in the marketplace. Our proprietary and advanced audio signal processing technologies, including our HDConference® technology, have been the core of our professional conferencing products and serve as the foundation for our new product development in other conferencing categories.</w:t>
      </w:r>
    </w:p>
    <w:p>
      <w:pPr>
        <w:spacing w:after="0" w:line="171" w:lineRule="exact"/>
        <w:rPr>
          <w:sz w:val="20"/>
          <w:szCs w:val="20"/>
          <w:color w:val="auto"/>
        </w:rPr>
      </w:pPr>
    </w:p>
    <w:p>
      <w:pPr>
        <w:ind w:left="460" w:hanging="2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Distributed Echo Cancellation®</w:t>
      </w:r>
    </w:p>
    <w:p>
      <w:pPr>
        <w:spacing w:after="0" w:line="27" w:lineRule="exact"/>
        <w:rPr>
          <w:rFonts w:ascii="Arial" w:cs="Arial" w:eastAsia="Arial" w:hAnsi="Arial"/>
          <w:sz w:val="18"/>
          <w:szCs w:val="18"/>
          <w:color w:val="auto"/>
        </w:rPr>
      </w:pPr>
    </w:p>
    <w:p>
      <w:pPr>
        <w:ind w:left="460" w:right="140"/>
        <w:spacing w:after="0" w:line="290" w:lineRule="auto"/>
        <w:rPr>
          <w:rFonts w:ascii="Arial" w:cs="Arial" w:eastAsia="Arial" w:hAnsi="Arial"/>
          <w:sz w:val="18"/>
          <w:szCs w:val="18"/>
          <w:color w:val="auto"/>
        </w:rPr>
      </w:pPr>
      <w:r>
        <w:rPr>
          <w:rFonts w:ascii="Arial" w:cs="Arial" w:eastAsia="Arial" w:hAnsi="Arial"/>
          <w:sz w:val="16"/>
          <w:szCs w:val="16"/>
          <w:color w:val="auto"/>
        </w:rPr>
        <w:t>One of the challenges in delivering good sound quality during a conference call is eliminating acoustical echo. Acoustical echo results when sound from the far end phone device is sent into the local conference room, where it is picked up by the microphones on the conference phone and then sent back to the far-end phone device. Because of this process, far-end participants hear their voice echoed as they speak. Distributed Echo Cancellation® from ClearOne solves this problem. By assigning an acoustical echo canceller to each microphone, the echo canceller identifies the sound that would otherwise be returned to the far end as echo and eliminates it. ClearOne was the first to introduce Distributed Echo Cancellation® in 1998. We now incorporate it into every audio conferencing system, and are the worldwide leader in this technology.</w:t>
      </w:r>
    </w:p>
    <w:p>
      <w:pPr>
        <w:spacing w:after="0" w:line="160" w:lineRule="exact"/>
        <w:rPr>
          <w:rFonts w:ascii="Arial" w:cs="Arial" w:eastAsia="Arial" w:hAnsi="Arial"/>
          <w:sz w:val="18"/>
          <w:szCs w:val="18"/>
          <w:color w:val="auto"/>
        </w:rPr>
      </w:pPr>
    </w:p>
    <w:p>
      <w:pPr>
        <w:ind w:left="460" w:hanging="2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Noise Cancellation</w:t>
      </w:r>
    </w:p>
    <w:p>
      <w:pPr>
        <w:spacing w:after="0" w:line="27" w:lineRule="exact"/>
        <w:rPr>
          <w:rFonts w:ascii="Arial" w:cs="Arial" w:eastAsia="Arial" w:hAnsi="Arial"/>
          <w:sz w:val="18"/>
          <w:szCs w:val="18"/>
          <w:color w:val="auto"/>
        </w:rPr>
      </w:pPr>
    </w:p>
    <w:p>
      <w:pPr>
        <w:ind w:left="460" w:right="160"/>
        <w:spacing w:after="0" w:line="273" w:lineRule="auto"/>
        <w:rPr>
          <w:rFonts w:ascii="Arial" w:cs="Arial" w:eastAsia="Arial" w:hAnsi="Arial"/>
          <w:sz w:val="18"/>
          <w:szCs w:val="18"/>
          <w:color w:val="auto"/>
        </w:rPr>
      </w:pPr>
      <w:r>
        <w:rPr>
          <w:rFonts w:ascii="Arial" w:cs="Arial" w:eastAsia="Arial" w:hAnsi="Arial"/>
          <w:sz w:val="17"/>
          <w:szCs w:val="17"/>
          <w:color w:val="auto"/>
        </w:rPr>
        <w:t>Noise Cancellation stops ambient room noise from being picked up by the microphones on the conference phone. Examples of ambient noise sources include HVAC systems, laptop computers, projectors and fluorescent lights. Unlike competitive products which claim to have noise cancellation, ClearOne uses a spectral content analysis technique that discriminates a talker’s voice from ambient noise and only applies noise cancellation to ambient noise sources. This allows the voice signal to pass to the far-end phone device with pristine sound quality.</w:t>
      </w:r>
    </w:p>
    <w:p>
      <w:pPr>
        <w:spacing w:after="0" w:line="172" w:lineRule="exact"/>
        <w:rPr>
          <w:rFonts w:ascii="Arial" w:cs="Arial" w:eastAsia="Arial" w:hAnsi="Arial"/>
          <w:sz w:val="18"/>
          <w:szCs w:val="18"/>
          <w:color w:val="auto"/>
        </w:rPr>
      </w:pPr>
    </w:p>
    <w:p>
      <w:pPr>
        <w:ind w:left="460" w:hanging="2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First Microphone Priority</w:t>
      </w:r>
    </w:p>
    <w:p>
      <w:pPr>
        <w:spacing w:after="0" w:line="27" w:lineRule="exact"/>
        <w:rPr>
          <w:rFonts w:ascii="Arial" w:cs="Arial" w:eastAsia="Arial" w:hAnsi="Arial"/>
          <w:sz w:val="18"/>
          <w:szCs w:val="18"/>
          <w:color w:val="auto"/>
        </w:rPr>
      </w:pPr>
    </w:p>
    <w:p>
      <w:pPr>
        <w:ind w:left="460" w:right="100"/>
        <w:spacing w:after="0" w:line="254" w:lineRule="auto"/>
        <w:rPr>
          <w:rFonts w:ascii="Arial" w:cs="Arial" w:eastAsia="Arial" w:hAnsi="Arial"/>
          <w:sz w:val="18"/>
          <w:szCs w:val="18"/>
          <w:color w:val="auto"/>
        </w:rPr>
      </w:pPr>
      <w:r>
        <w:rPr>
          <w:rFonts w:ascii="Arial" w:cs="Arial" w:eastAsia="Arial" w:hAnsi="Arial"/>
          <w:sz w:val="18"/>
          <w:szCs w:val="18"/>
          <w:color w:val="auto"/>
        </w:rPr>
        <w:t>When multiple microphones are active simultaneously in an audio conference phone, voice signals arrive at different microphones at different times due to the reflection of the sound from walls, ceilings or other surfaces. This causes sound distortion, which participants typically describe as a "hollow" or "tunnel" sound. ClearOne’s First Microphone Priority technology minimizes this distortion by using an intelligent voice detection method to activate only one microphone at a time based on its proximity to the person speaking.</w:t>
      </w:r>
    </w:p>
    <w:p>
      <w:pPr>
        <w:spacing w:after="0" w:line="185" w:lineRule="exact"/>
        <w:rPr>
          <w:rFonts w:ascii="Arial" w:cs="Arial" w:eastAsia="Arial" w:hAnsi="Arial"/>
          <w:sz w:val="18"/>
          <w:szCs w:val="18"/>
          <w:color w:val="auto"/>
        </w:rPr>
      </w:pPr>
    </w:p>
    <w:p>
      <w:pPr>
        <w:ind w:left="460" w:hanging="2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Adaptive Modeling</w:t>
      </w:r>
    </w:p>
    <w:p>
      <w:pPr>
        <w:spacing w:after="0" w:line="2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In any conferencing environment, a number of factors can cause changes in the room’s ambient noise level, including the HVAC system cycling on and off, an increase or decrease in the number of people in the room, changes in seating arrangements and other similar acoustical events. These events can cause a variety of audio problems, such as feedback and residual echo. Adaptive Modeling monitors key acoustical elements to predict and adapt to such changes, ensuring high quality audio, regardless of varying room dynamics.</w:t>
      </w:r>
    </w:p>
    <w:p>
      <w:pPr>
        <w:spacing w:after="0" w:line="172" w:lineRule="exact"/>
        <w:rPr>
          <w:rFonts w:ascii="Arial" w:cs="Arial" w:eastAsia="Arial" w:hAnsi="Arial"/>
          <w:sz w:val="18"/>
          <w:szCs w:val="18"/>
          <w:color w:val="auto"/>
        </w:rPr>
      </w:pPr>
    </w:p>
    <w:p>
      <w:pPr>
        <w:ind w:left="460" w:hanging="2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ClearEffect™</w:t>
      </w:r>
    </w:p>
    <w:p>
      <w:pPr>
        <w:spacing w:after="0" w:line="27" w:lineRule="exact"/>
        <w:rPr>
          <w:rFonts w:ascii="Arial" w:cs="Arial" w:eastAsia="Arial" w:hAnsi="Arial"/>
          <w:sz w:val="18"/>
          <w:szCs w:val="18"/>
          <w:color w:val="auto"/>
        </w:rPr>
      </w:pPr>
    </w:p>
    <w:p>
      <w:pPr>
        <w:ind w:left="460" w:right="240"/>
        <w:spacing w:after="0" w:line="254" w:lineRule="auto"/>
        <w:rPr>
          <w:rFonts w:ascii="Arial" w:cs="Arial" w:eastAsia="Arial" w:hAnsi="Arial"/>
          <w:sz w:val="18"/>
          <w:szCs w:val="18"/>
          <w:color w:val="auto"/>
        </w:rPr>
      </w:pPr>
      <w:r>
        <w:rPr>
          <w:rFonts w:ascii="Arial" w:cs="Arial" w:eastAsia="Arial" w:hAnsi="Arial"/>
          <w:sz w:val="18"/>
          <w:szCs w:val="18"/>
          <w:color w:val="auto"/>
        </w:rPr>
        <w:t>The vast majority of conference calls are conducted using narrow-band telephony signals, which eliminate the high and low tones from participants’ voices. This causes listener fatigue due to participants straining to hear what is being said. ClearEffect™ creates natural, full-sounding audio by simulating the high and low tones that were eliminated by the narrow-band signal. The result is similar to moving from a clock radio to a full-room entertainment system.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 significant impact on how multimedia and control are distributed</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believe ClearOne’s innovative approach of bringing together networking technology with audio and video streaming and control and our mastery over these technologies have the potential to bring about a significant change in the audio and video industry and beyond. We believe the benefits and features that only networked digital multimedia can offer will change and enhance the user experience. Our multimedia streaming products incorporate StreamNet® technology and Perfect Pixel™, our newly patented advanced algorithms for audio and video packet delivery optimization and error concealment,</w:t>
      </w:r>
    </w:p>
    <w:p>
      <w:pPr>
        <w:spacing w:after="0" w:line="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which ensure reliable delivery and eliminate dropped content across the IP network with perfect delivery synchronization, to within one millisecond for all endpoints.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greater value to our customers and partners</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 provide our customers and partners with audio conferencing products that offer high value, we are focused on listening to our customers and partners and delivering products to meet their needs.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By offering high quality products that are designed to solve conferencing and collaboration ease-of-use issues, and are easy to install, configure, and maintain, we believe we can provide greater value to our customers and partners to enhance business communications and decision making. Our new networked multimedia streaming and control products offer significant cost savings by offering a non-centralized, edge of the network architecture, that uses existing networking infrastructure to deliver consistent high quality multimedia streaming which is easy to install, maintain and scale.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and extend ClearOne technology leadership and innovation</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continue to focus on developing cutting edge conferencing products and are committed to incorporating the latest technologies into our new and existing product lines. Key to this effort is adopting emerging technologies and leveraging advancements in existing technologies, such as Voice over Internet Protocol (VoIP), wideband audio, wireless connectivity, convergence of voice and data networks, exploring new application models for our mid-tier premium products and affordable personal audio conferencing technologies, and developing products based on internationally accepted standards and protocols. With the acquisition of NetStreams, ClearOne is working to leverage its patented StreamNet® technology to increase its existing market share in its existing channels and enter new, larger, and bourgeoning markets and channels.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and strengthen sales channels</w:t>
      </w:r>
    </w:p>
    <w:p>
      <w:pPr>
        <w:spacing w:after="0" w:line="19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continue to expand and strengthen domestic and international sales channels. New sales channel development includes three initiatives. First, we continue to increase sales channel partner coverage in developing economies including the Asia Pacific, South Asia, and Eastern Europe. Second, to expand beyond our traditional audio video channels that carry our high end professionally installed conferencing products, we continue to direct significant sales efforts toward the development of channel partners who are focused on the Information Technology (IT) market for the sales of our latest VoIP, USB, and unified communications enabled conferencing products. The IT channel includes resellers and integrators of unified communications products compatible with Avaya, IBM, Microsoft, and other UC platforms, as well as telephony products. Third, we will focus on offering scaled solutions to address the needs of the small and medium business (SMB) market and the associated resellers and channels suited to sell our mid-tier premium and affordable personal conferencing &amp; collaboration products, including products certified for Skype and other SMB web based services.</w:t>
      </w:r>
    </w:p>
    <w:p>
      <w:pPr>
        <w:spacing w:after="0" w:line="15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will introduce our commercial networked multimedia streaming and control products into our existing global professional AV sales channels. We will continue to invest in the necessary resources for the further development of training, certification, technical sales and product support programs and services for these new products to increase adoption of this solution portfolio through this existing channel.</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will continue to actively market the NetStreams brand within the residential electronics channel and continue to recruit additional channel sales partners to bring greater awareness of the product solutions.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Broaden our product offerings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believe we offer the industry’s most complete audio conferencing product line, including the following:</w:t>
      </w:r>
    </w:p>
    <w:p>
      <w:pPr>
        <w:spacing w:after="0" w:line="198" w:lineRule="exact"/>
        <w:rPr>
          <w:sz w:val="20"/>
          <w:szCs w:val="20"/>
          <w:color w:val="auto"/>
        </w:rPr>
      </w:pPr>
    </w:p>
    <w:p>
      <w:pPr>
        <w:ind w:left="380" w:right="260" w:hanging="318"/>
        <w:spacing w:after="0" w:line="25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conferencing products that are used in large businesses and organizations such as enterprise, healthcare, education and distance learning, government, legal and finance that integrate with leading video and tele-presence systems;</w:t>
      </w:r>
    </w:p>
    <w:p>
      <w:pPr>
        <w:spacing w:after="0" w:line="1" w:lineRule="exact"/>
        <w:rPr>
          <w:rFonts w:ascii="Arial" w:cs="Arial" w:eastAsia="Arial" w:hAnsi="Arial"/>
          <w:sz w:val="18"/>
          <w:szCs w:val="18"/>
          <w:color w:val="auto"/>
        </w:rPr>
      </w:pPr>
    </w:p>
    <w:p>
      <w:pPr>
        <w:ind w:left="380" w:right="160" w:hanging="318"/>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Premium conferencing products that are also scaled for smaller conferencing rooms and for small and medium businesses which integrate with leading video and web conferencing systems and applications;</w:t>
      </w:r>
    </w:p>
    <w:p>
      <w:pPr>
        <w:ind w:left="380" w:hanging="31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Traditional tabletop conferencing phones used in conference rooms and offices; and</w:t>
      </w:r>
    </w:p>
    <w:p>
      <w:pPr>
        <w:spacing w:after="0" w:line="9" w:lineRule="exact"/>
        <w:rPr>
          <w:rFonts w:ascii="Arial" w:cs="Arial" w:eastAsia="Arial" w:hAnsi="Arial"/>
          <w:sz w:val="18"/>
          <w:szCs w:val="18"/>
          <w:color w:val="auto"/>
        </w:rPr>
      </w:pPr>
    </w:p>
    <w:p>
      <w:pPr>
        <w:ind w:left="380" w:right="660" w:hanging="31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Personal conferencing products that enable affordable hands-free audio communications in new ways such as through PCs and portable laptops, smartphones and handsets.</w:t>
      </w:r>
    </w:p>
    <w:p>
      <w:pPr>
        <w:spacing w:after="0" w:line="17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With the acquisition of NetStreams, ClearOne offers a full line of networked multimedia streaming and control products for a wide range of commercial and residential applications.</w:t>
      </w:r>
    </w:p>
    <w:p>
      <w:pPr>
        <w:spacing w:after="0" w:line="15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also provide a comprehensive portfolio of media carts that provide equipment mobility and make conferencing equipment, including our own, easy to access and use.</w:t>
      </w:r>
    </w:p>
    <w:p>
      <w:pPr>
        <w:spacing w:after="0" w:line="15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plan to continue to broaden our product offerings to meet the evolving needs of our customers, partners and sales channels to address changes in the markets we currently serve, and effectively target new markets for our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strategic partnerships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To stay on the leading edge of product and market development, we plan to continue to identify partners with expertise in areas strategic to our growth objectives. We will work to develop partnerships with leaders in markets complimentary to our products, who can benefit from our products and technologies, and through whom we can access new market growth opportunities. We have entered into partnerships with Avaya, Microsoft, NEC, Skype, and others to offer conferencing products uniquely suited to their systems and application needs.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plan to broaden the application and adoption of our newly acquired and patented StreamNet technology by partnering with other market participants through technology licensing, joint product development, and co-marketing activities and agreements. In June 2010, ClearOne announced its newly formed StreamNet Ready Partner Program (http://www.streamnetpartners.com). The program enables key audiovisual manufacturers to integrate products seamlessly into ClearOne's TCP/IP standards based StreamNet multimedia distribution and control solutions. We have entered into partnerships with Atlantic technologies and Polk Audio for IP speakers, Sirius and Marantz for AM/FM and satellite tuners, Naimnet for music servers, GE Concord for security systems, Beldon for cable and wiring, Phillips for remote controls, Sharp for displays, as well as other company partnerships for these same equipment categories and different equipment categories.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existing customer and partner relationships through dedicated support</w:t>
      </w:r>
    </w:p>
    <w:p>
      <w:pPr>
        <w:spacing w:after="0" w:line="198"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have developed a global reputation for our excellence in providing customers and partners with our pre sales, post sales, and technical support by dedicated teams. We believe our support is recognized as among the best in the industry and we will continue to invest in the necessary resources to ensure that our customers and partners have access to the information and resources they need to be successful in using or reselling our products. We also dedicate significant resources to provide various levels of product sales or certified product technical training based on their sales or technical needs.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and Collaboration Products: Overview</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performance and reliability of our high-quality audio conferencing and collaboration products enable effective, natural, and efficient communication among geographically separated enterprises, organizations or individuals. We offer a full range of audio conferencing products including (i) professional conferencing products used in enterprise, healthcare, education and distance learning, government, legal and finance, (ii) mid-tier premium conferencing products for smaller rooms and small and medium businesses which interface with video and web conferencing systems, (iii) traditional tabletop conferencing phones used in conference rooms and offices, and (iv) affordable personal conferencing products that can be used with PCs, laptops, smartphones, and other portable devices. For all the fiscal periods reported in this Annual Report, our professional conferencing products and traditional tabletop conference phones have together contributed in excess of 76% percent of our consolidated revenue.</w:t>
      </w:r>
    </w:p>
    <w:p>
      <w:pPr>
        <w:spacing w:after="0" w:line="167" w:lineRule="exact"/>
        <w:rPr>
          <w:sz w:val="20"/>
          <w:szCs w:val="20"/>
          <w:color w:val="auto"/>
        </w:rPr>
      </w:pPr>
    </w:p>
    <w:p>
      <w:pPr>
        <w:ind w:right="180" w:firstLine="45"/>
        <w:spacing w:after="0" w:line="263" w:lineRule="auto"/>
        <w:rPr>
          <w:sz w:val="20"/>
          <w:szCs w:val="20"/>
          <w:color w:val="auto"/>
        </w:rPr>
      </w:pPr>
      <w:r>
        <w:rPr>
          <w:rFonts w:ascii="Arial" w:cs="Arial" w:eastAsia="Arial" w:hAnsi="Arial"/>
          <w:sz w:val="17"/>
          <w:szCs w:val="17"/>
          <w:color w:val="auto"/>
        </w:rPr>
        <w:t>Our audio conferencing products feature our proprietary HDConference ™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drivers of demand for audio conferencing products are the following:</w:t>
      </w:r>
    </w:p>
    <w:p>
      <w:pPr>
        <w:spacing w:after="0" w:line="19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easy-to-use conferencing systems and applications;</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Richer and clearer voice quality of collaborative communications compared to the quality of telephone handset speakerphones;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global, regional, and local corporate enterprises requiring increased use of collaboration tools and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factors we expect to have a significant impact on the demand for our audio conferencing systems include the following:</w:t>
      </w:r>
    </w:p>
    <w:p>
      <w:pPr>
        <w:spacing w:after="0" w:line="19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affordable and portable audio conferencing solutions for small businesses and home offices;</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adoption of tele-working and home offices;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travel due to cost, inconvenience, and carbon footprint considerations;</w:t>
      </w:r>
    </w:p>
    <w:p>
      <w:pPr>
        <w:spacing w:after="0" w:line="337" w:lineRule="exact"/>
        <w:rPr>
          <w:rFonts w:ascii="Arial" w:cs="Arial" w:eastAsia="Arial" w:hAnsi="Arial"/>
          <w:sz w:val="18"/>
          <w:szCs w:val="18"/>
          <w:color w:val="auto"/>
        </w:rPr>
      </w:pPr>
    </w:p>
    <w:p>
      <w:pPr>
        <w:ind w:left="5680" w:hanging="86"/>
        <w:spacing w:after="0"/>
        <w:tabs>
          <w:tab w:leader="none" w:pos="5680" w:val="left"/>
        </w:tabs>
        <w:numPr>
          <w:ilvl w:val="1"/>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ind w:left="220" w:right="860" w:hanging="212"/>
        <w:spacing w:after="0" w:line="25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Transition to Internet Protocol (IP) networks from traditional public switched telephone networks (PSTN) and the growing deployment of VoIP collaboration applications; and</w:t>
      </w:r>
    </w:p>
    <w:p>
      <w:pPr>
        <w:spacing w:after="0" w:line="1" w:lineRule="exact"/>
        <w:rPr>
          <w:rFonts w:ascii="Arial" w:cs="Arial" w:eastAsia="Arial" w:hAnsi="Arial"/>
          <w:sz w:val="18"/>
          <w:szCs w:val="18"/>
          <w:color w:val="auto"/>
        </w:rPr>
      </w:pPr>
    </w:p>
    <w:p>
      <w:pPr>
        <w:ind w:left="220" w:right="400" w:hanging="212"/>
        <w:spacing w:after="0" w:line="261"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adoption of unified communication platforms that leverage the affordability and capability of personal computers as a central component of corporate communication.</w:t>
      </w:r>
    </w:p>
    <w:p>
      <w:pPr>
        <w:spacing w:after="0" w:line="17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December 2010, Frost &amp; Sullivan awarded us their 2010 Global Installed Audio Conferencing Endpoints Market Share Leadership of the Year Award. The award is given to the company that has demonstrated excellence in capturing the highest market share within its industry and recognizes the company's leadership position within the industry in terms of revenues or units. Frost &amp; Sullivan noted that ClearOne has maintained its market leadership by focusing on its core competency: offering high-quality audio products to the marketplace.</w:t>
      </w:r>
    </w:p>
    <w:p>
      <w:pPr>
        <w:spacing w:after="0" w:line="175"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In November 2008, Frost &amp; Sullivan awarded us their 2008 Global Market Leadership Award. This award is given to the company that has exhibited excellence in all areas of the market leadership process, including the identification of market challenges, drivers and restraints, as well as strategy development and methods of addressing changing market dynamics. Frost &amp; Sullivan noted that ClearOne not only has the largest market share in the installed audio segment, but has also put into practice growth and implementation strategies to a degree well above most of their competitors. We were recognized for our ability to expand our market share, integrate new technologies into our portfolio of products, and maintain market-leading pricing.</w:t>
      </w:r>
    </w:p>
    <w:p>
      <w:pPr>
        <w:spacing w:after="0" w:line="146"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Frost and Sullivan, a leading global research and consulting group, awarded us their Product Line Strategy Award for both 2007 and 2006. This award is presented each year to a company that has demonstrated the most insight into customer needs and product demands within their industry, and who has optimized its product line by leveraging products with the various price, performance, and feature points required by the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Professional Conferencing</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occupy the number one position in the global professional audio conferencing market with nearly 50% of total global market share. We have been developing high-end, professional conferencing products since 1991 and believe we have established strong brand recognition for these products worldwide. Our professional conferencing products include the Converge® Pro and the Converge SR product lines.</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flagship Converge Pro product line leads our professionally installed audio products line. This latest generation professional product line delivers significant feature set and performance advancements compared to its predecessor XAP™, including unprecedented proprietary acoustical echo cancellation, noise cancellation, full duplex performance, enhanced management capabilities, and simplified configuration utilities. The Converge Pro product line includes the Converge Pro 880, Converge Pro 880T, Converge Pro 880TA, Converge Pro 840, Converge Pro 8i, and Converge Pro TH20, which together offer various levels of integration and features to allow a commercial system integrator to optimize a system to fit diverse conferencing applications and environments.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Converge Pro VH20 provides a direct connection between Converge Pro audio conferencing systems and VoIP PBX phone systems so that users can transport audio signals across their IP networks. VH20 easily links with any of ClearOne's Converge Pro products to create a complete audio conferencing system that can quickly be integrated with Cisco, Avaya and many other VoIP PBX phone systems for complete interoperability. VH20 also delivers wideband audio for rich and crystal clear sound, provides guaranteed quality of service (QoS), and ensures full security with TLS, AES and SRTP industry standard encryption. We believe these features combine to deliver the most advanced professional quality VoIP audio interface available on the market today.</w:t>
      </w:r>
    </w:p>
    <w:p>
      <w:pPr>
        <w:spacing w:after="0" w:line="125" w:lineRule="exact"/>
        <w:rPr>
          <w:sz w:val="20"/>
          <w:szCs w:val="20"/>
          <w:color w:val="auto"/>
        </w:rPr>
      </w:pPr>
    </w:p>
    <w:p>
      <w:pPr>
        <w:ind w:right="220"/>
        <w:spacing w:after="0" w:line="233" w:lineRule="auto"/>
        <w:rPr>
          <w:sz w:val="20"/>
          <w:szCs w:val="20"/>
          <w:color w:val="auto"/>
        </w:rPr>
      </w:pPr>
      <w:r>
        <w:rPr>
          <w:rFonts w:ascii="Arial" w:cs="Arial" w:eastAsia="Arial" w:hAnsi="Arial"/>
          <w:sz w:val="19"/>
          <w:szCs w:val="19"/>
          <w:color w:val="auto"/>
        </w:rPr>
        <w:t>Converge SR 1212 is a digital matrix mixer that provides advanced audio signal processing, microphone mixing, and routing for sound reinforcement. This product line was also expanded with the addition of the Converge SR 1212A, which integrates a 4 channel audio amplifier, our advanced and proprietary signal processing DARE® feedback eliminator and industry leading expandability with the features of the Converge SR1212 into a single product. These products are comprehensive advanced audio processing systems designed to excel in the most demanding acoustical environments and routing configurations for voice clarity and intelligibility enhancement within the same room, such as courtrooms, classrooms or houses of worship. These products are also used for integrating high-quality audio with video and web conferencing systems.</w:t>
      </w:r>
    </w:p>
    <w:p>
      <w:pPr>
        <w:spacing w:after="0" w:line="136" w:lineRule="exact"/>
        <w:rPr>
          <w:sz w:val="20"/>
          <w:szCs w:val="20"/>
          <w:color w:val="auto"/>
        </w:rPr>
      </w:pPr>
    </w:p>
    <w:p>
      <w:pPr>
        <w:ind w:right="120"/>
        <w:spacing w:after="0" w:line="209" w:lineRule="auto"/>
        <w:rPr>
          <w:sz w:val="20"/>
          <w:szCs w:val="20"/>
          <w:color w:val="auto"/>
        </w:rPr>
      </w:pPr>
      <w:r>
        <w:rPr>
          <w:rFonts w:ascii="Arial" w:cs="Arial" w:eastAsia="Arial" w:hAnsi="Arial"/>
          <w:sz w:val="22"/>
          <w:szCs w:val="22"/>
          <w:color w:val="auto"/>
        </w:rPr>
        <w:t>We also offer a new universal controller for the Converge Pro product line giving users an affordable and intuitively easy tabletop peripheral to initiate and navigate an audio conference without the need for existing complex, daunting, and expensive touch panel control systems. The dial pad on the universal controller resembles a telephone keypad for instant familiarity. Users can dial a conference call as easily as dialing a telephone.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Mid-Tier Premium Conferencing</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order to better meet the needs of our larger customers with smaller conferencing rooms as well as for small and medium businesses, we introduced the INTERACT product line in January 2010 as a mid-tier, lower cost, conferencing product line to replace the Converge 560/590 and RAV product lines.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and laptops, as well as to rich multimedia devices, such as video or web conferencing systems and emerging unified communication systems for enhanced collaboration. We believe this product line uniquely delivers superior enhanced audio performance at an economical price compared to other audio conference solutions available in the market today. The INTERACT Product line is designed for a wide variety of applications. Based on product configuration, these include:</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Unified Communications Clients</w:t>
            </w:r>
          </w:p>
        </w:tc>
        <w:tc>
          <w:tcPr>
            <w:tcW w:w="6040" w:type="dxa"/>
            <w:vAlign w:val="bottom"/>
          </w:tcPr>
          <w:p>
            <w:pPr>
              <w:ind w:left="300"/>
              <w:spacing w:after="0"/>
              <w:rPr>
                <w:sz w:val="20"/>
                <w:szCs w:val="20"/>
                <w:color w:val="auto"/>
              </w:rPr>
            </w:pPr>
            <w:r>
              <w:rPr>
                <w:rFonts w:ascii="Arial" w:cs="Arial" w:eastAsia="Arial" w:hAnsi="Arial"/>
                <w:sz w:val="18"/>
                <w:szCs w:val="18"/>
                <w:color w:val="auto"/>
              </w:rPr>
              <w:t>Avaya, Cisco, IBM, Microsft, Siemens,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Internet Telephony</w:t>
            </w:r>
          </w:p>
        </w:tc>
        <w:tc>
          <w:tcPr>
            <w:tcW w:w="6040" w:type="dxa"/>
            <w:vAlign w:val="bottom"/>
          </w:tcPr>
          <w:p>
            <w:pPr>
              <w:ind w:left="300"/>
              <w:spacing w:after="0"/>
              <w:rPr>
                <w:sz w:val="20"/>
                <w:szCs w:val="20"/>
                <w:color w:val="auto"/>
              </w:rPr>
            </w:pPr>
            <w:r>
              <w:rPr>
                <w:rFonts w:ascii="Arial" w:cs="Arial" w:eastAsia="Arial" w:hAnsi="Arial"/>
                <w:sz w:val="18"/>
                <w:szCs w:val="18"/>
                <w:color w:val="auto"/>
              </w:rPr>
              <w:t>Google Talk, Skype, Vonage,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Enterprise Telephony</w:t>
            </w:r>
          </w:p>
        </w:tc>
        <w:tc>
          <w:tcPr>
            <w:tcW w:w="6040" w:type="dxa"/>
            <w:vAlign w:val="bottom"/>
          </w:tcPr>
          <w:p>
            <w:pPr>
              <w:ind w:left="300"/>
              <w:spacing w:after="0"/>
              <w:rPr>
                <w:sz w:val="20"/>
                <w:szCs w:val="20"/>
                <w:color w:val="auto"/>
              </w:rPr>
            </w:pPr>
            <w:r>
              <w:rPr>
                <w:rFonts w:ascii="Arial" w:cs="Arial" w:eastAsia="Arial" w:hAnsi="Arial"/>
                <w:sz w:val="18"/>
                <w:szCs w:val="18"/>
                <w:color w:val="auto"/>
              </w:rPr>
              <w:t>Aastra, Avaya, Cisco, Inter-tel,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VoIP Softphones</w:t>
            </w:r>
          </w:p>
        </w:tc>
        <w:tc>
          <w:tcPr>
            <w:tcW w:w="6040" w:type="dxa"/>
            <w:vAlign w:val="bottom"/>
          </w:tcPr>
          <w:p>
            <w:pPr>
              <w:ind w:left="300"/>
              <w:spacing w:after="0"/>
              <w:rPr>
                <w:sz w:val="20"/>
                <w:szCs w:val="20"/>
                <w:color w:val="auto"/>
              </w:rPr>
            </w:pPr>
            <w:r>
              <w:rPr>
                <w:rFonts w:ascii="Arial" w:cs="Arial" w:eastAsia="Arial" w:hAnsi="Arial"/>
                <w:sz w:val="18"/>
                <w:szCs w:val="18"/>
                <w:color w:val="auto"/>
              </w:rPr>
              <w:t>Avaya, Cisco, Mirial,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Web Conferencing</w:t>
            </w:r>
          </w:p>
        </w:tc>
        <w:tc>
          <w:tcPr>
            <w:tcW w:w="6040" w:type="dxa"/>
            <w:vAlign w:val="bottom"/>
          </w:tcPr>
          <w:p>
            <w:pPr>
              <w:ind w:left="300"/>
              <w:spacing w:after="0"/>
              <w:rPr>
                <w:sz w:val="20"/>
                <w:szCs w:val="20"/>
                <w:color w:val="auto"/>
              </w:rPr>
            </w:pPr>
            <w:r>
              <w:rPr>
                <w:rFonts w:ascii="Arial" w:cs="Arial" w:eastAsia="Arial" w:hAnsi="Arial"/>
                <w:sz w:val="18"/>
                <w:szCs w:val="18"/>
                <w:color w:val="auto"/>
                <w:w w:val="92"/>
              </w:rPr>
              <w:t>IBM Workplace/SameTime, Microsoft Live Meeting, Cisco WebEx,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Instant Messenger</w:t>
            </w:r>
          </w:p>
        </w:tc>
        <w:tc>
          <w:tcPr>
            <w:tcW w:w="6040" w:type="dxa"/>
            <w:vAlign w:val="bottom"/>
          </w:tcPr>
          <w:p>
            <w:pPr>
              <w:ind w:left="300"/>
              <w:spacing w:after="0"/>
              <w:rPr>
                <w:sz w:val="20"/>
                <w:szCs w:val="20"/>
                <w:color w:val="auto"/>
              </w:rPr>
            </w:pPr>
            <w:r>
              <w:rPr>
                <w:rFonts w:ascii="Arial" w:cs="Arial" w:eastAsia="Arial" w:hAnsi="Arial"/>
                <w:sz w:val="18"/>
                <w:szCs w:val="18"/>
                <w:color w:val="auto"/>
              </w:rPr>
              <w:t>AOL, Microsoft MSN, Yahoo, and others</w:t>
            </w:r>
          </w:p>
        </w:tc>
      </w:tr>
      <w:tr>
        <w:trPr>
          <w:trHeight w:val="257"/>
        </w:trPr>
        <w:tc>
          <w:tcPr>
            <w:tcW w:w="3480" w:type="dxa"/>
            <w:vAlign w:val="bottom"/>
            <w:gridSpan w:val="2"/>
          </w:tcPr>
          <w:p>
            <w:pPr>
              <w:spacing w:after="0"/>
              <w:rPr>
                <w:sz w:val="20"/>
                <w:szCs w:val="20"/>
                <w:color w:val="auto"/>
              </w:rPr>
            </w:pPr>
            <w:r>
              <w:rPr>
                <w:rFonts w:ascii="Arial" w:cs="Arial" w:eastAsia="Arial" w:hAnsi="Arial"/>
                <w:sz w:val="18"/>
                <w:szCs w:val="18"/>
                <w:color w:val="auto"/>
              </w:rPr>
              <w:t>●   Group Video Conferencing Codecs</w:t>
            </w:r>
          </w:p>
        </w:tc>
        <w:tc>
          <w:tcPr>
            <w:tcW w:w="6040" w:type="dxa"/>
            <w:vAlign w:val="bottom"/>
          </w:tcPr>
          <w:p>
            <w:pPr>
              <w:ind w:left="300"/>
              <w:spacing w:after="0"/>
              <w:rPr>
                <w:sz w:val="20"/>
                <w:szCs w:val="20"/>
                <w:color w:val="auto"/>
              </w:rPr>
            </w:pPr>
            <w:r>
              <w:rPr>
                <w:rFonts w:ascii="Arial" w:cs="Arial" w:eastAsia="Arial" w:hAnsi="Arial"/>
                <w:sz w:val="18"/>
                <w:szCs w:val="18"/>
                <w:color w:val="auto"/>
              </w:rPr>
              <w:t>Cisco/Tandberg, Logitech, Polycom, Sony, and others</w:t>
            </w:r>
          </w:p>
        </w:tc>
      </w:tr>
      <w:tr>
        <w:trPr>
          <w:trHeight w:val="257"/>
        </w:trPr>
        <w:tc>
          <w:tcPr>
            <w:tcW w:w="3480" w:type="dxa"/>
            <w:vAlign w:val="bottom"/>
            <w:gridSpan w:val="2"/>
          </w:tcPr>
          <w:p>
            <w:pPr>
              <w:spacing w:after="0"/>
              <w:rPr>
                <w:sz w:val="20"/>
                <w:szCs w:val="20"/>
                <w:color w:val="auto"/>
              </w:rPr>
            </w:pPr>
            <w:r>
              <w:rPr>
                <w:rFonts w:ascii="Arial" w:cs="Arial" w:eastAsia="Arial" w:hAnsi="Arial"/>
                <w:sz w:val="18"/>
                <w:szCs w:val="18"/>
                <w:color w:val="auto"/>
              </w:rPr>
              <w:t>●   Group Video Conferencing Soft Clients</w:t>
            </w:r>
          </w:p>
        </w:tc>
        <w:tc>
          <w:tcPr>
            <w:tcW w:w="6040" w:type="dxa"/>
            <w:vAlign w:val="bottom"/>
          </w:tcPr>
          <w:p>
            <w:pPr>
              <w:ind w:left="300"/>
              <w:spacing w:after="0"/>
              <w:rPr>
                <w:sz w:val="20"/>
                <w:szCs w:val="20"/>
                <w:color w:val="auto"/>
              </w:rPr>
            </w:pPr>
            <w:r>
              <w:rPr>
                <w:rFonts w:ascii="Arial" w:cs="Arial" w:eastAsia="Arial" w:hAnsi="Arial"/>
                <w:sz w:val="18"/>
                <w:szCs w:val="18"/>
                <w:color w:val="auto"/>
              </w:rPr>
              <w:t>Cisco/Tandberg, Logitech, Polycom, and others</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Audio Playback</w:t>
            </w:r>
          </w:p>
        </w:tc>
        <w:tc>
          <w:tcPr>
            <w:tcW w:w="6040" w:type="dxa"/>
            <w:vAlign w:val="bottom"/>
          </w:tcPr>
          <w:p>
            <w:pPr>
              <w:ind w:left="300"/>
              <w:spacing w:after="0"/>
              <w:rPr>
                <w:sz w:val="20"/>
                <w:szCs w:val="20"/>
                <w:color w:val="auto"/>
              </w:rPr>
            </w:pPr>
            <w:r>
              <w:rPr>
                <w:rFonts w:ascii="Arial" w:cs="Arial" w:eastAsia="Arial" w:hAnsi="Arial"/>
                <w:sz w:val="18"/>
                <w:szCs w:val="18"/>
                <w:color w:val="auto"/>
              </w:rPr>
              <w:t>DVDs, VCRs, PCs, and audio sources</w:t>
            </w:r>
          </w:p>
        </w:tc>
      </w:tr>
    </w:tbl>
    <w:p>
      <w:pPr>
        <w:spacing w:after="0" w:line="21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INTERACT AT is designed for quick and easy installation for most room environments and is strategically positioned between our professional and traditional tabletop conferencing products in price and functionality. It is a complete, out-of-the-box solution that includes an audio mixer, 2 loudspeakers, 2 microphones, and a conference room controller device for the user that can be either wired or wireless. It is an ideal system for smaller rooms in large enterprises or for small to medium businesses looking for lower cost, lower complexity, but a high quality audio conferencing solution that does not require the services and expense of a professional installation. The INTERACT AT is as easy to set up as a stereo system and combines the sound quality of a professionally installed audio system with the simplicity of a traditional conference phone. The INTERACT AT replaced the RAV, which was discontinued in September 2010.</w:t>
      </w:r>
    </w:p>
    <w:p>
      <w:pPr>
        <w:spacing w:after="0" w:line="178"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INTERACT Pro is designed for professional installation at a total lower solution cost compared to the Converge Professional series for medium sized rooms or smaller rooms with more demanding room environments. The INTERACT Pro features true stereo echo cancellation signal processing for unrivaled audio intelligibility. It includes professional connectors and audio performance adjustments that allow a professional installer to configure and optimize the system. The INTERACT Pro, unlike the AT, can be extended from 9 to 17 microphone inputs by the addition of an extension unit in the series, the INTERACT 8i, for medium sized rooms. The INTERACT Pro replaced the Converge 560 and Converge 590, which were discontinued in September 2010.</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Audio Conferencing Products: Traditional Tabletop Conferencing</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MAX® line of traditional tabletop conferencing phones utilizes many of our HDConference echo cancellation, noise cancellation, and audio processing technologies found in our professional audio conferencing products.</w:t>
      </w:r>
    </w:p>
    <w:p>
      <w:pPr>
        <w:spacing w:after="0" w:line="15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MAX product line is comprised of the following product families: the MAX EX and MAXAttach®; MAX Wireless and MAXAttach Wireless; and MAX IP and MAXAttach IP tabletop conferencing phones. MAX Wireless was the industry’s first wireless conferencing phone.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w:t>
      </w:r>
    </w:p>
    <w:p>
      <w:pPr>
        <w:spacing w:after="0" w:line="176"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MAX EX and MAXAttach wired phones also feature an industry-first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used separately when they are not needed in a daisy-chain configuration.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MAX IP and MAXAttach IP are VoIP tabletop conference phones which are based on the industry-standard SIP signaling protocol. These phones can also be daisy-chained together, up to a total of four phones providing outstanding room and control coverage that other VoIP conference phones on the market cannot match.</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MAX IP Response Point is the first and only conference phone for the Microsoft Response Point phone system that brings high performance audio to the small business market. MAX IP Response Point contains HDConference® our suite of high-performance audio processing technologies and provides the ability to daisy-chain up to four phones together. Microsoft discontinued its Response Point Phone System in August 2010.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Audio Conferencing Products: Personal Conferencing Products</w:t>
      </w:r>
    </w:p>
    <w:p>
      <w:pPr>
        <w:spacing w:after="0" w:line="19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Our industry leading CHAT® product line of affordable and stylish personal speaker phones, using ClearOnes’s HDConference technologies, provide full-duplex and rich full bandwidth frequency response for unmatched audio clarity. The CHATs are designed for a wide variety of applications and devices (fixed or portable) for greatly enhanced collaboration wherever and whenever needed, including the following:</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Unified Communications Clients</w:t>
            </w:r>
          </w:p>
        </w:tc>
        <w:tc>
          <w:tcPr>
            <w:tcW w:w="6280" w:type="dxa"/>
            <w:vAlign w:val="bottom"/>
          </w:tcPr>
          <w:p>
            <w:pPr>
              <w:ind w:left="540"/>
              <w:spacing w:after="0"/>
              <w:rPr>
                <w:sz w:val="20"/>
                <w:szCs w:val="20"/>
                <w:color w:val="auto"/>
              </w:rPr>
            </w:pPr>
            <w:r>
              <w:rPr>
                <w:rFonts w:ascii="Arial" w:cs="Arial" w:eastAsia="Arial" w:hAnsi="Arial"/>
                <w:sz w:val="18"/>
                <w:szCs w:val="18"/>
                <w:color w:val="auto"/>
              </w:rPr>
              <w:t>Avaya, Cisco, IBM, Microsft, Siemens,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Internet Telephony</w:t>
            </w:r>
          </w:p>
        </w:tc>
        <w:tc>
          <w:tcPr>
            <w:tcW w:w="6280" w:type="dxa"/>
            <w:vAlign w:val="bottom"/>
          </w:tcPr>
          <w:p>
            <w:pPr>
              <w:ind w:left="540"/>
              <w:spacing w:after="0"/>
              <w:rPr>
                <w:sz w:val="20"/>
                <w:szCs w:val="20"/>
                <w:color w:val="auto"/>
              </w:rPr>
            </w:pPr>
            <w:r>
              <w:rPr>
                <w:rFonts w:ascii="Arial" w:cs="Arial" w:eastAsia="Arial" w:hAnsi="Arial"/>
                <w:sz w:val="18"/>
                <w:szCs w:val="18"/>
                <w:color w:val="auto"/>
              </w:rPr>
              <w:t>Google Talk, Skype, Vonage,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Enterprise Telephony</w:t>
            </w:r>
          </w:p>
        </w:tc>
        <w:tc>
          <w:tcPr>
            <w:tcW w:w="6280" w:type="dxa"/>
            <w:vAlign w:val="bottom"/>
          </w:tcPr>
          <w:p>
            <w:pPr>
              <w:ind w:left="540"/>
              <w:spacing w:after="0"/>
              <w:rPr>
                <w:sz w:val="20"/>
                <w:szCs w:val="20"/>
                <w:color w:val="auto"/>
              </w:rPr>
            </w:pPr>
            <w:r>
              <w:rPr>
                <w:rFonts w:ascii="Arial" w:cs="Arial" w:eastAsia="Arial" w:hAnsi="Arial"/>
                <w:sz w:val="18"/>
                <w:szCs w:val="18"/>
                <w:color w:val="auto"/>
              </w:rPr>
              <w:t>Aastra, Avaya, Cisco, Intertel,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VoIP Softphones</w:t>
            </w:r>
          </w:p>
        </w:tc>
        <w:tc>
          <w:tcPr>
            <w:tcW w:w="6280" w:type="dxa"/>
            <w:vAlign w:val="bottom"/>
          </w:tcPr>
          <w:p>
            <w:pPr>
              <w:ind w:left="540"/>
              <w:spacing w:after="0"/>
              <w:rPr>
                <w:sz w:val="20"/>
                <w:szCs w:val="20"/>
                <w:color w:val="auto"/>
              </w:rPr>
            </w:pPr>
            <w:r>
              <w:rPr>
                <w:rFonts w:ascii="Arial" w:cs="Arial" w:eastAsia="Arial" w:hAnsi="Arial"/>
                <w:sz w:val="18"/>
                <w:szCs w:val="18"/>
                <w:color w:val="auto"/>
              </w:rPr>
              <w:t>Avaya, Cisco, Mirial, and others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   Smartphones and Cell Phones</w:t>
            </w:r>
          </w:p>
        </w:tc>
        <w:tc>
          <w:tcPr>
            <w:tcW w:w="6280" w:type="dxa"/>
            <w:vAlign w:val="bottom"/>
          </w:tcPr>
          <w:p>
            <w:pPr>
              <w:ind w:left="540"/>
              <w:spacing w:after="0"/>
              <w:rPr>
                <w:sz w:val="20"/>
                <w:szCs w:val="20"/>
                <w:color w:val="auto"/>
              </w:rPr>
            </w:pPr>
            <w:r>
              <w:rPr>
                <w:rFonts w:ascii="Arial" w:cs="Arial" w:eastAsia="Arial" w:hAnsi="Arial"/>
                <w:sz w:val="18"/>
                <w:szCs w:val="18"/>
                <w:color w:val="auto"/>
              </w:rPr>
              <w:t>Compaq, Ericsson, LG Motorola, Nokia, Rim, Sony,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Web Conferencing</w:t>
            </w:r>
          </w:p>
        </w:tc>
        <w:tc>
          <w:tcPr>
            <w:tcW w:w="6280" w:type="dxa"/>
            <w:vAlign w:val="bottom"/>
          </w:tcPr>
          <w:p>
            <w:pPr>
              <w:ind w:left="540"/>
              <w:spacing w:after="0"/>
              <w:rPr>
                <w:sz w:val="20"/>
                <w:szCs w:val="20"/>
                <w:color w:val="auto"/>
              </w:rPr>
            </w:pPr>
            <w:r>
              <w:rPr>
                <w:rFonts w:ascii="Arial" w:cs="Arial" w:eastAsia="Arial" w:hAnsi="Arial"/>
                <w:sz w:val="18"/>
                <w:szCs w:val="18"/>
                <w:color w:val="auto"/>
                <w:w w:val="92"/>
              </w:rPr>
              <w:t>IBM Workplace/SameTime, Microsoft Live Meeting, Cisco WebEx,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Instant Messenger</w:t>
            </w:r>
          </w:p>
        </w:tc>
        <w:tc>
          <w:tcPr>
            <w:tcW w:w="6280" w:type="dxa"/>
            <w:vAlign w:val="bottom"/>
          </w:tcPr>
          <w:p>
            <w:pPr>
              <w:ind w:left="540"/>
              <w:spacing w:after="0"/>
              <w:rPr>
                <w:sz w:val="20"/>
                <w:szCs w:val="20"/>
                <w:color w:val="auto"/>
              </w:rPr>
            </w:pPr>
            <w:r>
              <w:rPr>
                <w:rFonts w:ascii="Arial" w:cs="Arial" w:eastAsia="Arial" w:hAnsi="Arial"/>
                <w:sz w:val="18"/>
                <w:szCs w:val="18"/>
                <w:color w:val="auto"/>
              </w:rPr>
              <w:t>AOL, Microsoft MSN, Yahoo,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Desktop Video Conferencing</w:t>
            </w:r>
          </w:p>
        </w:tc>
        <w:tc>
          <w:tcPr>
            <w:tcW w:w="6280" w:type="dxa"/>
            <w:vAlign w:val="bottom"/>
          </w:tcPr>
          <w:p>
            <w:pPr>
              <w:ind w:left="540"/>
              <w:spacing w:after="0"/>
              <w:rPr>
                <w:sz w:val="20"/>
                <w:szCs w:val="20"/>
                <w:color w:val="auto"/>
              </w:rPr>
            </w:pPr>
            <w:r>
              <w:rPr>
                <w:rFonts w:ascii="Arial" w:cs="Arial" w:eastAsia="Arial" w:hAnsi="Arial"/>
                <w:sz w:val="18"/>
                <w:szCs w:val="18"/>
                <w:color w:val="auto"/>
              </w:rPr>
              <w:t>Cisco/Tandberg, Logitech, Polycom, Sony, and others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Audio Playback</w:t>
            </w:r>
          </w:p>
        </w:tc>
        <w:tc>
          <w:tcPr>
            <w:tcW w:w="6280" w:type="dxa"/>
            <w:vAlign w:val="bottom"/>
          </w:tcPr>
          <w:p>
            <w:pPr>
              <w:ind w:left="540"/>
              <w:spacing w:after="0"/>
              <w:rPr>
                <w:sz w:val="20"/>
                <w:szCs w:val="20"/>
                <w:color w:val="auto"/>
              </w:rPr>
            </w:pPr>
            <w:r>
              <w:rPr>
                <w:rFonts w:ascii="Arial" w:cs="Arial" w:eastAsia="Arial" w:hAnsi="Arial"/>
                <w:sz w:val="18"/>
                <w:szCs w:val="18"/>
                <w:color w:val="auto"/>
              </w:rPr>
              <w:t>iPOD, Quicktime, RealPlayer, Windows Media Player, and others</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100"/>
              <w:spacing w:after="0"/>
              <w:rPr>
                <w:sz w:val="20"/>
                <w:szCs w:val="20"/>
                <w:color w:val="auto"/>
              </w:rPr>
            </w:pPr>
            <w:r>
              <w:rPr>
                <w:rFonts w:ascii="Arial" w:cs="Arial" w:eastAsia="Arial" w:hAnsi="Arial"/>
                <w:sz w:val="18"/>
                <w:szCs w:val="18"/>
                <w:color w:val="auto"/>
              </w:rPr>
              <w:t>PC-Based Gaming</w:t>
            </w:r>
          </w:p>
        </w:tc>
        <w:tc>
          <w:tcPr>
            <w:tcW w:w="6280" w:type="dxa"/>
            <w:vAlign w:val="bottom"/>
          </w:tcPr>
          <w:p>
            <w:pPr>
              <w:ind w:left="540"/>
              <w:spacing w:after="0"/>
              <w:rPr>
                <w:sz w:val="20"/>
                <w:szCs w:val="20"/>
                <w:color w:val="auto"/>
              </w:rPr>
            </w:pPr>
            <w:r>
              <w:rPr>
                <w:rFonts w:ascii="Arial" w:cs="Arial" w:eastAsia="Arial" w:hAnsi="Arial"/>
                <w:sz w:val="18"/>
                <w:szCs w:val="18"/>
                <w:color w:val="auto"/>
              </w:rPr>
              <w:t>TeamSpeak, and others</w:t>
            </w:r>
          </w:p>
        </w:tc>
      </w:tr>
    </w:tbl>
    <w:p>
      <w:pPr>
        <w:spacing w:after="0" w:line="188"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Our personal conferencing products have become popular with large and small enterprises and organizations alike. We have entered into partnerships with Avaya, IBM, Microsoft, Skype, and others to offer personal conferencing products uniquely suited for their enterprise systems and user applications.</w:t>
      </w:r>
    </w:p>
    <w:p>
      <w:pPr>
        <w:spacing w:after="0" w:line="11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CHAT 50 is a personal speakerphone, about the size of a deck of cards, that connects to PCs and Macs, laptops, enterprise handsets, smartphones, cell phones, and MP3 players for rich, clear hands-free audio and playback. It is an affordable and portable audio peripheral for greatly enhanced personal collaboration. The CHAT 50 attracted significant press coverage and has won much recognition since its introduction, including PC Magazine’s Editors’ Choice Award in March 2006 and PC Magazine’s Best for Business Products Award for 2007.</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CHAT 150 is for small group use. It offers many of the same device connectivity and application options as the CHAT 50, but features three microphones in larger elegant design for use by a larger number of participants compared to CHAT 50. Users have the ability to add a high-quality, full-duplex speaker phone to their enterprise telephone handsets such as Avaya and Cisco and still retain the full functionality of their client directory services that come with today’s VoIP telephone handsets, including access to company directory, voicemail, and audio bridge functions. CHAT 150 makes it possible to introduce rich, crystal clear conferencing capability without the need for introducing a separate traditional conference phone. The speakerphone can also be controlled through the CHAT client application.</w:t>
      </w:r>
    </w:p>
    <w:p>
      <w:pPr>
        <w:spacing w:after="0" w:line="1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CHATAttach™ 150, introduced in October 2010, is for use in both small and mid-size conference rooms. It is comprised of two CHAT 150 speakerphones which can daisy-chain together to function as a single conferencing system to provide balanced distribution of microphones and loudspeakers for outstanding audio quality and coverage, as well as distributed access to mute and volume user controls through each pod or through the CHAT client application for ease-of-use. Similar to our other daisy-chainable products, the CHATAttach can be used as a pair or each pod can be used separately.</w:t>
      </w:r>
    </w:p>
    <w:p>
      <w:pPr>
        <w:spacing w:after="0" w:line="14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CHAT 70 and CHAT 170 are USB only, personal and small group speakerphones, both certified by Microsoft as optimized for use with Microsoft's Lync unified communications platform. These products provide the same advanced audio signal processing technologies as other CHAT products. True to their plug-and-play capabilities, CHAT 70 and CHAT 170 require no driver downloads or installations and facilitate all incoming Lync Communicator calls to ring into these products. The speakerphones can also be controlled through the Lync client application.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CHATAttach 170 was introduced in December 2010 to enhance collaboration in larger offices or conference rooms where the Microsoft Lync unified communications platform is used. The CHATAttach 170 requires no driver downloads or installations for Lync. Users plug it in and all incoming calls ring into the CHATAttach 170. The balanced distribution of microphones and loudspeakers provided by the CHATAttach 170, as well as distributed access to mute and volume user controls through each pod or thru the Lync client application provide ease-of-use benefits for larger group conferencing venues using Lync.</w:t>
      </w:r>
    </w:p>
    <w:p>
      <w:pPr>
        <w:spacing w:after="0" w:line="142"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CHAT 60 and CHAT 160 are personal and small group speakerphones, USB only, both certified by Skype as optimized for use with Skype’s internet telephony platform. These products provide users of Skype with the same features and benefits as the CHAT 50 series and require no driver downloads or installations enabling all incoming Skype calls to ring on the CHAT 60 or CHAT 160. The speakerphones can also be controlled through the Skype client application.</w:t>
      </w:r>
    </w:p>
    <w:p>
      <w:pPr>
        <w:spacing w:after="0" w:line="175"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CHATAttach 160 was introduced in November 2010 to enhance collaboration in larger offices or conference rooms where the Skype internet telephony platform is used. The CHATAttach 160 requires no driver downloads or installations for Skype. Users plug it in and all incoming calls ring into the CHATAttach 160. The balanced distribution of microphones and loudspeakers provided by the CHATAttach 160, as well as distributed access to mute and volume user controls through each pod or through the Skype client application provide ease-of-use benefits for larger group conferencing venues using Skype.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Multimedia Streaming and Control Products: Overview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Multimedia Streaming and Control Products are comprised of commercial and residential product lines. VIEW™, the ClearOne brand introduced in 2010 targeted for commercial products, and NetStreams® DigiLinX, the ClearOne brand for residential products, deliver the ultimate IP A/V experience by streaming time sensitive high definition audio and video and control over TCP/IP networks. ClearOne’s products, designed for commercial and residential use, offer outstanding levels of performance, functionality, simplicity, reliability, and scalability. By combining audio and 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 based systems. Other NetStreams residential brands include non-IP multimedia distribution solutions for the more economical and smaller scale multimedia residential streaming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Multimedia Streaming and Control Products: VIEW and DigiLinX</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ClearOne VIEW and NetStreams DigiLinX branded products are powered by ClearOne's newly patented StreamNet® technology and Perfect Pixel™, a combination of ClearOne’s proprietary and advanced algorithms for audio and video packet delivery optimization and error concealment insuring reliable delivery and eliminated dropped content across the IP network with perfect delivery synchronization to all endpoints within a millisecond. These product solutions enable drastic improvements in flexibility, scalability and price to performance over traditional multimedia streaming methods to effectively harness the </w:t>
      </w:r>
      <w:r>
        <w:rPr>
          <w:rFonts w:ascii="Arial" w:cs="Arial" w:eastAsia="Arial" w:hAnsi="Arial"/>
          <w:sz w:val="18"/>
          <w:szCs w:val="18"/>
          <w:i w:val="1"/>
          <w:iCs w:val="1"/>
          <w:color w:val="auto"/>
        </w:rPr>
        <w:t>Power of AV over IP</w:t>
      </w:r>
      <w:r>
        <w:rPr>
          <w:rFonts w:ascii="Arial" w:cs="Arial" w:eastAsia="Arial" w:hAnsi="Arial"/>
          <w:sz w:val="18"/>
          <w:szCs w:val="18"/>
          <w:color w:val="auto"/>
        </w:rPr>
        <w:t>™ over existing Internet Protocol networks for the bourgeoning digital signage, enterprise multimedia streaming and home entertainment markets.</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Both the ClearOne VIEW and NetStreams DigilinX are easy to use and create a seamless web where all streaming multimedia and control functions reside on one network making for a truly integrated and interactive experience. A user can activate and control a single or combination of audio sources, video sources, security systems, HVAC systems, lighting, and other room or facility monitoring functions such as paging or security access by just a single touch to its attractive touch screens. Alternatively, any PC, laptop, iPod, iPAD, or other device with a built-in web browser can control the equipment connected to the system. The VIEW and DigiLinX systems have no limits on the numbers of sources, displays, or amplifiers in a project and can be used for residential homes with a few rooms to mega-scale commercial projects since, due to their edge of the network architecture, there are no central controllers that limit the number of devices on the network.</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Multimedia content and control are carried over existing network wiring obviating the necessity to pull separate infrastructure cable for audio, video, and another cable infrastructure system for controlling the sources and displays. Converting an audio or video signal to TCP/IP preserves the digital quality of the signal across the network. Unlike analog systems, which lose quality over long distances, TCP/IP packets are decoded to retain the same digital quality as they were encoded. Whether the multimedia streaming is being sent to the next floor or across an expansive campus, it arrives just as it was sent. ClearOne’s multimedia streaming and control products also allow for decentralization of switching equipment. Each StreamNet product for each node contains the needed processing and interfaces for its functionality. The VIEW and DigiLinX graphical user interface (GUI) are dynamically generated based on the devices connected on the network requiring no additional programming. The GUIs include everything needed to easily control a system and any third party equipment, saving time and money on costly user interface design and programming.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ClearOne's patented StreamNet encompasses several protocols, conventions, and technologies to insure outstanding quality of audio and video distribution over TCP/IP. StreamNet technology provides an end-to-end all digital solution with 1 millisecond A/V signal synchronization, automatic device discovery and configuration, self-healing, remote access for control, software upgrades and more. One of the fundamental problems with using TCP/IP to distribute digital audio to multiple zones is the synchronization of playback. Without synchronization, audio can sputter, cut out, or have strong echo effects from room to room, sometimes playing several seconds apart. ClearOne’s StreamNet technology ensures that audio and/or video content is synchronized to less than a millisecond of each device, preventing undesirable echo or latency.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Multimedia Streaming and Control Products: Non-IP Products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Musica, a NetStreams branded residential audio streaming system, is designed to deliver superior audio performance and features interactive keypads that are designed to be very easy to use. The advanced design of the Musica system places digital amplifiers in each zone, behind each keypad, rather than in one central location. This improves sound quality by reducing noise, distortion and power losses as well as increasing reliability and simplifying the installation. Any Musica keypad can be upgraded to include a digital FM Tuner, allowing every zone an independent selection of radio stations. Audio Ports of Musica are highly flexible, allowing the output of the distributed audio to be coupled with a powered subwoofer or external amplifier, as well as the input of a local source such as a television monitor or cable box.</w:t>
      </w:r>
    </w:p>
    <w:p>
      <w:pPr>
        <w:spacing w:after="0" w:line="176"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Quartet®, a NetStreams branded residential solution offers an affordable alternative for applications that do not require the full capabilities of Musica. The system enables homeowners to enjoy exceptional audio quality from different audio sources in up to four different zones simultaneously.</w:t>
      </w:r>
    </w:p>
    <w:p>
      <w:pPr>
        <w:spacing w:after="0" w:line="11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Panorama® is a NetStreams branded point to multi-point high definition multimedia distribution and control system. The system serves as the central video switch and streams various video sources including composite, S-video, and component video sources over standard network cable. Multiple Panorama systems can be cascaded for streaming distribution of video for larger systems. Panorama can also be integrated with DigiLinX and Musica and other third party control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Carts</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complement our audio conferencing products with media carts for audio and video conferencing access and mobility. Our wide selection makes conferencing easier and more convenient. Our media carts are designed to be highly durable and functional while also providing the style and elegance required for conferencing settings. We expanded our Titan multimedia cart line with the Titan Articulating Arm Dual Display Cart in June 2009. This patent pending design features an articulating dual display mounting system that folds the monitor support arms for angle viewing, transportation, and storage. Once folded the dual media cart will fit into standard elevators or through standard doorways while accommodating most Plasma or LCD displays up to 50 inches. In June 2009, we announced the introduction of ClearPresence™ Dual Multimedia Cart to accommodate two flat screen monitors for video and audio conferencing systems. However, for operational and strategic reasons, the product was discontinued.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primarily use a two-tier channel model, through which we sell our commercial products to a worldwide network of independent audiovisual, information technology, telecommunications distributors, who then sell our products to independent systems integrators, dealers, and value-added resellers, who in turn work directly with the end-users of our products for product fulfillment and installation if needed.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During the year ended December 31, 2010, approximately $26.1 million, or 63 percent, of our total product sales were generated in the United States and product sales of approximately $15.2 million, or 37 percent, were generated outside the United States. Revenue from product sales to customers outside of the United States accounted for approximately 36 percent of our total product sales for the transition period ended December 31, 2009 and approximately 32 percent of our total product sales for fiscal 2009. We sell directly to our distributors, resellers and end users in approximately 68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Distributors and resellers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sell our products directly to approximately 190 distributors and resellers throughout the world. Distributors and resellers purchase our products at a discount from list price and resell them on a non-exclusive basis to independent systems integrators, dealers, and other value-added resellers.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19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direct distributors and resellers sell our commercial products worldwide to hundreds of independent system integrators, telephony value-added resellers, IT value-added resellers, and PC dealers on a non-exclusive basis. 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Our residential dealers, system integrators, and other value-added resellers work in a similar fashion to our commercial dealers as they sell our products to end users. We maintain close working relationships with our reseller partners and offer them education and training on all of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Addtionally, we market our NetStreams branded residential products on our website http://www.netstreams.com and market our ClearOne branded commercial products on our website http://www.clearone.com. In addition to advertising our products in popular publications serving the conferencing and residential electronics industries, we also conduct public relations initiatives to get press coverage and product reviews in industry and non-industry publications alike.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any end-user accounted for more than 10 percent of our total revenue during any of the periods reported in this Annual</w:t>
      </w:r>
    </w:p>
    <w:p>
      <w:pPr>
        <w:spacing w:after="0" w:line="1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Report. Revenues included sales to two distributors, NewComm Distributing and Starin Distributing that represented approximately 32.5% of consolidated revenue during the year ended December 31, 2010 with each of these distributors accounting for more than 10 percent of the consolidated revenue during that period. During the transition period of six months ended December 31, 2009, revenues included sales to three distributors, namely NewComm Distributing, Starin Marketing and VSO Marketing, that represented 50.0% of the consolidated revenue, with each of these distributors accounting for more than 10 percent of the consolidated revenue during that period. As discussed above, these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As of December 31, 2010, our shipped orders on which we had not recognized revenue were $4.3 million and our backlog of unshipped orders was $83,000.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conferencing and the networked multimedia and control distribution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4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198" w:lineRule="exact"/>
        <w:rPr>
          <w:sz w:val="20"/>
          <w:szCs w:val="20"/>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23" w:lineRule="exact"/>
        <w:rPr>
          <w:rFonts w:ascii="Arial" w:cs="Arial" w:eastAsia="Arial" w:hAnsi="Arial"/>
          <w:sz w:val="18"/>
          <w:szCs w:val="18"/>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9" w:lineRule="exact"/>
        <w:rPr>
          <w:rFonts w:ascii="Arial" w:cs="Arial" w:eastAsia="Arial" w:hAnsi="Arial"/>
          <w:sz w:val="18"/>
          <w:szCs w:val="18"/>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9" w:lineRule="exact"/>
        <w:rPr>
          <w:rFonts w:ascii="Arial" w:cs="Arial" w:eastAsia="Arial" w:hAnsi="Arial"/>
          <w:sz w:val="18"/>
          <w:szCs w:val="18"/>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9" w:lineRule="exact"/>
        <w:rPr>
          <w:rFonts w:ascii="Arial" w:cs="Arial" w:eastAsia="Arial" w:hAnsi="Arial"/>
          <w:sz w:val="18"/>
          <w:szCs w:val="18"/>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9" w:lineRule="exact"/>
        <w:rPr>
          <w:rFonts w:ascii="Arial" w:cs="Arial" w:eastAsia="Arial" w:hAnsi="Arial"/>
          <w:sz w:val="18"/>
          <w:szCs w:val="18"/>
          <w:color w:val="auto"/>
        </w:rPr>
      </w:pPr>
    </w:p>
    <w:p>
      <w:pPr>
        <w:ind w:left="460" w:hanging="29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1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the professional audio conferencing systems and sound reinforcement markets, our main competitors include Biamp Systems, Harman International, Lectrosonics, Peavey, Polycom, and Shure and their original equipment manufacturing (OEM) partners, with several other companies potentially poised to enter the market. We occupy the number one position in the global professional audio conferencing market with nearly 50% of the global market share. We uniquely contributed to the professional conferencing market with three generations of products: the introduction of the Audio Perfect (“AP”) product line a number of years ago, followed by the XAP and subsequently the Converge Pro. We believe we continue to have a strong reputation with the system integrators and audio visual consultants.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believe we created a new audio conferencing category which we call premium conferencing with the introduction of the RAV platform in 2004. The RAV was replaced with a next generation solution, the INTERACT AT in January 2010 and is a unique product with capabilities we do not believe can be found on any other competing system.</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traditional tabletop conferencing market, we face significant competition from Konftel (now part of Avaya), LifeSize (now part of Logitech), Panasonic and Polycom, Radvision, and especially from their OEM partnerships. The significant portion of the tabletop market is covered by sales through OEM partnerships. While we believe MAX products have unique features like the ability to attach or daisy chain multiple phones together and have superior quality through our proprietary digital signal processing technologies, our limited OEM partnerships and pricing pressures from higher volume competitors restrict our ability to expand our existing share of this market.</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primary competitors in the personal conferencing market are Actiontec, IOgear, mVox, Phoenix Audio, Plantronics, and Polycom and their OEM partners. We believe that our CHAT product line offers unique advantages by their superior audio performance and their ability to connect to multiple devices for a variety of applications.</w:t>
      </w:r>
    </w:p>
    <w:p>
      <w:pPr>
        <w:spacing w:after="0" w:line="16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Our networked multimedia streaming and control products face intense competition from a few well-established corporations of diversified capabilities and strengths. In the commercial streaming multimedia and control market, our main competitors include AMX, BiAmp, Crestron, Extron, Harmon Group, and Magenta. In the residential streaming multimedia and control market, our main competitors include AMX, Crestron, ELAN, and Russound. We believe that our pioneering and patented StreamNet technology delivers superior audio and video streaming performance and flexibility and provides us a competitive edge over other industry players.</w:t>
      </w:r>
    </w:p>
    <w:p>
      <w:pPr>
        <w:spacing w:after="0" w:line="17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media carts compete primarily with the products of Accuwood, Comlink, and Video Furniture International and several small vendors. Sales of media carts are affected by shipping costs, resulting in higher product costs when compared to local vendors and suppliers.</w:t>
      </w:r>
    </w:p>
    <w:p>
      <w:pPr>
        <w:spacing w:after="0" w:line="156" w:lineRule="exact"/>
        <w:rPr>
          <w:sz w:val="20"/>
          <w:szCs w:val="20"/>
          <w:color w:val="auto"/>
        </w:rPr>
      </w:pPr>
    </w:p>
    <w:p>
      <w:pPr>
        <w:jc w:val="both"/>
        <w:ind w:right="640"/>
        <w:spacing w:after="0" w:line="248"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0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require additional time to obtain regulatory approvals of new products in both domestic and international markets. Such regulations may impact our ability to expand our sales in a timely and cost-effective manner and as a result our business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procurring required raw materials and components. Most of the components that our EMS providers require for manufacturing our products are readily available from a number of sources.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ITEM 1 - BUSINESS</w:t>
      </w:r>
    </w:p>
    <w:p>
      <w:pPr>
        <w:spacing w:after="0" w:line="183"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materials requirements to ensure higher quality and better pricing. Most of our EMS providers and their vendors are qualified by Corporate Quality Assurance. We work with our EMS providers to ensure raw materials and components conform to our specifications.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EMS providers. Our primary EMS provider is Flextronics.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commercial audio conferencing products and media carts revenue has historically been strongest during the third and fourth quarters, though the variations between the quarters are not consistently significant. There can be no assurance that any historic sales patterns will continue and, as a result, sales for any prior quarter are not necessarily indicative of the sales to be expected in any future quarter.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committed to research and product development and view our continued investment in research and product development as a key ingredient to our long-term business success. Our research and product development expenditures were approximately $7.7 million during the year ended December 31, 2010, $3.5 million during the six months ended December 31, 2009 and $7.5 million in the fiscal year ended June 30, 2009.</w:t>
      </w:r>
    </w:p>
    <w:p>
      <w:pPr>
        <w:spacing w:after="0" w:line="15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core competencies in research and product development include (a) many audio technologies, including telephone echo cancellation, acoustic echo cancellation, and noise cancellation using advanced digital signal processing technology, and (b) networking and multimedia streaming technologies. We also have expertise in wireless technologies, VoIP, and software and network application development. We believe that ongoing development of our core technological competencies is vital to develop new products and to enhance existing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2010, we had 122 full-time employees and one part-time employee. Of these employees, 81 were located in our Salt Lake City office, 38 in other U.S. locations, two in the United Kingdom and two in Asia. None of our employees are subject to a collective bargaining agreement and we believe our relationship with our employees is good. We occasionally hire contractors with specific skill sets to meet our operational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9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1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3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1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w:t>
      </w:r>
    </w:p>
    <w:p>
      <w:pPr>
        <w:spacing w:after="0" w:line="191" w:lineRule="exact"/>
        <w:rPr>
          <w:sz w:val="20"/>
          <w:szCs w:val="20"/>
          <w:color w:val="auto"/>
        </w:rPr>
      </w:pPr>
    </w:p>
    <w:p>
      <w:pPr>
        <w:ind w:left="280" w:hanging="219"/>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ITEM 1A - RISK FACTORS</w:t>
      </w:r>
    </w:p>
    <w:p>
      <w:pPr>
        <w:spacing w:after="0" w:line="257" w:lineRule="exact"/>
        <w:rPr>
          <w:sz w:val="20"/>
          <w:szCs w:val="20"/>
          <w:color w:val="auto"/>
        </w:rPr>
      </w:pPr>
    </w:p>
    <w:p>
      <w:pPr>
        <w:ind w:left="280" w:hanging="219"/>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9"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176"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i w:val="1"/>
          <w:iCs w:val="1"/>
          <w:color w:val="auto"/>
        </w:rPr>
        <w:t>We rely on reporting of distribution channel inventory by our distributors to recognize revenue from product sales to them, which could turn out to be inaccurate.</w:t>
      </w:r>
    </w:p>
    <w:p>
      <w:pPr>
        <w:spacing w:after="0" w:line="15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periodically audit a limited number of distributors.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depend on an outsourced manufacturing strategy, and any disruption in their services could negatively impact our product availability and revenues.</w:t>
      </w: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outsource the manufacturing of all of our products to electronics manufacturing services ("EMS") providers located in both the U.S. and Asia. If any of these EMS providers experiences difficulties in obtaining sufficient supplies of components, component prices significantly exceeding anticipated costs, an interruption in their operations, or otherwise suffers capacity constraints, we would experience a delay in shipping these products which would have a negative impact on our revenue. Should there be any disruption in services due to natural disaster, like the recent natural disaster in Japan, economic or political difficulties, transportation restrictions, acts of terror, quarantines or other restrictions associated with infectious diseases, or other similar events, or any other reason, such disruption would have a material adverse effect on our business.</w:t>
      </w:r>
    </w:p>
    <w:p>
      <w:pPr>
        <w:spacing w:after="0" w:line="142" w:lineRule="exact"/>
        <w:rPr>
          <w:sz w:val="20"/>
          <w:szCs w:val="20"/>
          <w:color w:val="auto"/>
        </w:rPr>
      </w:pPr>
    </w:p>
    <w:p>
      <w:pPr>
        <w:ind w:right="620"/>
        <w:spacing w:after="0" w:line="225" w:lineRule="auto"/>
        <w:rPr>
          <w:sz w:val="20"/>
          <w:szCs w:val="20"/>
          <w:color w:val="auto"/>
        </w:rPr>
      </w:pPr>
      <w:r>
        <w:rPr>
          <w:rFonts w:ascii="Arial" w:cs="Arial" w:eastAsia="Arial" w:hAnsi="Arial"/>
          <w:sz w:val="21"/>
          <w:szCs w:val="21"/>
          <w:color w:val="auto"/>
        </w:rPr>
        <w:t>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 RISK FACTORS</w:t>
      </w:r>
    </w:p>
    <w:p>
      <w:pPr>
        <w:spacing w:after="0" w:line="162" w:lineRule="exact"/>
        <w:rPr>
          <w:sz w:val="20"/>
          <w:szCs w:val="20"/>
          <w:color w:val="auto"/>
        </w:rPr>
      </w:pPr>
    </w:p>
    <w:p>
      <w:pPr>
        <w:ind w:right="40"/>
        <w:spacing w:after="0" w:line="205" w:lineRule="auto"/>
        <w:rPr>
          <w:sz w:val="20"/>
          <w:szCs w:val="20"/>
          <w:color w:val="auto"/>
        </w:rPr>
      </w:pPr>
      <w:r>
        <w:rPr>
          <w:rFonts w:ascii="Arial" w:cs="Arial" w:eastAsia="Arial" w:hAnsi="Arial"/>
          <w:sz w:val="22"/>
          <w:szCs w:val="22"/>
          <w:color w:val="auto"/>
        </w:rPr>
        <w:t>Switching from one EMS provider to another is an expensive, difficult and a time consuming process, with serious risks to our ability to successfully transfer our manufacturing operations. Our operations and consequently our revenues and profitability would be materially adversely affected if we are forced to switch any of our EMS providers due to any of a number of factors, including financial difficulties faced by the manufacturer, disagreements in pricing negotiations between us and the manufacturer and organizational changes in the manfacturer.</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integrating past or potential future acquisitions could adversely affect our business.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recently acquired NetStreams, a pioneer in digital media networks based on Internet Protocol (TCP/IP). The efficient and effective integration of this business into our organization is important to our growth. Any acquisition involves numerous risks, including difficulties in integrating the operations, technologies and products of the acquired companies, the diversion of our management's attention from other business concerns, and the potential loss of key customers or employees of an acquired company. Failure to achieve the anticipated benefits of this and any future acquisitions or to successfully integrate the operations of this or any other companies we acquire could also harm our business, results of operations and cash flows. Additionally, we cannot assure you that we will not incur material charges in future quarters to reflect additonal costs associated with acquisitions or any future acquisitions we may make.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5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assure that a patent will be awarded.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 RISK FACTORS</w:t>
      </w:r>
    </w:p>
    <w:p>
      <w:pPr>
        <w:spacing w:after="0" w:line="257" w:lineRule="exact"/>
        <w:rPr>
          <w:sz w:val="20"/>
          <w:szCs w:val="20"/>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76" w:lineRule="exact"/>
        <w:rPr>
          <w:rFonts w:ascii="Arial" w:cs="Arial" w:eastAsia="Arial" w:hAnsi="Arial"/>
          <w:sz w:val="18"/>
          <w:szCs w:val="18"/>
          <w:color w:val="auto"/>
        </w:rPr>
      </w:pPr>
    </w:p>
    <w:p>
      <w:pPr>
        <w:ind w:left="280" w:right="60" w:hanging="219"/>
        <w:spacing w:after="0" w:line="262"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 the loss of any of which could negatively impact our business.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198"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10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96" w:lineRule="exact"/>
        <w:rPr>
          <w:sz w:val="20"/>
          <w:szCs w:val="20"/>
          <w:color w:val="auto"/>
        </w:rPr>
      </w:pPr>
    </w:p>
    <w:p>
      <w:pPr>
        <w:ind w:left="280" w:right="60" w:hanging="212"/>
        <w:spacing w:after="0" w:line="262"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34"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76" w:lineRule="exact"/>
        <w:rPr>
          <w:rFonts w:ascii="Arial" w:cs="Arial" w:eastAsia="Arial" w:hAnsi="Arial"/>
          <w:sz w:val="18"/>
          <w:szCs w:val="18"/>
          <w:color w:val="auto"/>
        </w:rPr>
      </w:pPr>
    </w:p>
    <w:p>
      <w:pPr>
        <w:ind w:left="280" w:hanging="219"/>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of December 31, 2010, we had outstanding options to acquire approximately 1.2 million shares of our common stock at a weighted average exercise price of $4.35 per share. An additional 616,000 shares remain available for grant under our 2007 Equity Incentive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additional shares of our common stock could have a negative effect on the market price of our common stock.</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10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our Form 10-K for the fiscal year ending June 30, 2006 and Form 10-K/A-2 for the fiscal year ending June 30, 2008, we reported and identified a material weakness in our internal controls.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1A -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currently occupy a 31,279 square-foot facility in Salt Lake City, Utah under the terms of an operating lease expiring in May 2016 which supports our principal administrative, sales, marketing, customer support, and research and product development facility.</w:t>
      </w:r>
    </w:p>
    <w:p>
      <w:pPr>
        <w:spacing w:after="0" w:line="156"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occupy a 23,712 square-foot warehouse in Salt Lake City under the terms of an operating lease expiring in November 2013 which serves as our primary inventory fulfillment and repair center. We also occupy a warehouse measuring 6,000 square feet in Salt Lake City under the terms of an operating lease expiring in December 2011. We also lease approximately 3,700 square-feet of warehouse space in Hong Kong under the terms of two operating leases both expiring in February 2012 which support our partners and customers located in the Asia-Pacific region.</w:t>
      </w:r>
    </w:p>
    <w:p>
      <w:pPr>
        <w:spacing w:after="0" w:line="15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also occupy a 9,400 square-foot facility in Austin, Texas under the terms of an operating lease expiring in May 2012, which serves as an additional facility to support our administrative, sales, marketing, customer support, and research and development activities.</w:t>
      </w:r>
    </w:p>
    <w:p>
      <w:pPr>
        <w:spacing w:after="0" w:line="1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0">
        <w:r>
          <w:rPr>
            <w:rFonts w:ascii="Arial" w:cs="Arial" w:eastAsia="Arial" w:hAnsi="Arial"/>
            <w:sz w:val="18"/>
            <w:szCs w:val="18"/>
            <w:u w:val="single" w:color="auto"/>
            <w:color w:val="0000EE"/>
          </w:rPr>
          <w:t>Note 9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02"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Our common stock has been traded on the Nasdaq Capital Market under the symbol CLRO since August 14, 2007. The following table sets forth high and low sale prices (or high and low bid quotations) of our common stock for each fiscal quarter indicated as reported on the applicable exchange or market.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 ended December 31, 2010</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 December 31, 2009</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 June 30, 2009</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High</w:t>
            </w:r>
          </w:p>
        </w:tc>
        <w:tc>
          <w:tcPr>
            <w:tcW w:w="9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High</w:t>
            </w:r>
          </w:p>
        </w:tc>
        <w:tc>
          <w:tcPr>
            <w:tcW w:w="10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FFC080"/>
          </w:tcPr>
          <w:p>
            <w:pPr>
              <w:spacing w:after="0"/>
              <w:rPr>
                <w:sz w:val="20"/>
                <w:szCs w:val="20"/>
                <w:color w:val="auto"/>
              </w:rPr>
            </w:pPr>
            <w:r>
              <w:rPr>
                <w:rFonts w:ascii="Arial" w:cs="Arial" w:eastAsia="Arial" w:hAnsi="Arial"/>
                <w:sz w:val="18"/>
                <w:szCs w:val="18"/>
                <w:color w:val="auto"/>
              </w:rPr>
              <w:t>July 1 to Sep 30</w:t>
            </w:r>
          </w:p>
        </w:tc>
        <w:tc>
          <w:tcPr>
            <w:tcW w:w="360" w:type="dxa"/>
            <w:vAlign w:val="bottom"/>
            <w:shd w:val="clear" w:color="auto" w:fill="FFC080"/>
          </w:tcPr>
          <w:p>
            <w:pPr>
              <w:spacing w:after="0"/>
              <w:rPr>
                <w:sz w:val="18"/>
                <w:szCs w:val="18"/>
                <w:color w:val="auto"/>
              </w:rPr>
            </w:pPr>
          </w:p>
        </w:tc>
        <w:tc>
          <w:tcPr>
            <w:tcW w:w="320" w:type="dxa"/>
            <w:vAlign w:val="bottom"/>
            <w:shd w:val="clear" w:color="auto" w:fill="FFC080"/>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4.00</w:t>
            </w:r>
          </w:p>
        </w:tc>
        <w:tc>
          <w:tcPr>
            <w:tcW w:w="940" w:type="dxa"/>
            <w:vAlign w:val="bottom"/>
            <w:shd w:val="clear" w:color="auto" w:fill="FFC080"/>
          </w:tcPr>
          <w:p>
            <w:pPr>
              <w:jc w:val="right"/>
              <w:ind w:right="7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FFC080"/>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2.93</w:t>
            </w:r>
          </w:p>
        </w:tc>
        <w:tc>
          <w:tcPr>
            <w:tcW w:w="1040" w:type="dxa"/>
            <w:vAlign w:val="bottom"/>
            <w:shd w:val="clear" w:color="auto" w:fill="FFC080"/>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85"/>
              </w:rPr>
              <w:t>2.40</w:t>
            </w:r>
          </w:p>
        </w:tc>
        <w:tc>
          <w:tcPr>
            <w:tcW w:w="380" w:type="dxa"/>
            <w:vAlign w:val="bottom"/>
            <w:shd w:val="clear" w:color="auto" w:fill="FFC080"/>
          </w:tcPr>
          <w:p>
            <w:pPr>
              <w:jc w:val="right"/>
              <w:ind w:right="2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5.00</w:t>
            </w:r>
          </w:p>
        </w:tc>
        <w:tc>
          <w:tcPr>
            <w:tcW w:w="860" w:type="dxa"/>
            <w:vAlign w:val="bottom"/>
            <w:shd w:val="clear" w:color="auto" w:fill="FFC080"/>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Oct 1 to Dec 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4.10</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10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2.63</w:t>
            </w:r>
          </w:p>
        </w:tc>
        <w:tc>
          <w:tcPr>
            <w:tcW w:w="3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FFC080"/>
          </w:tcPr>
          <w:p>
            <w:pPr>
              <w:spacing w:after="0"/>
              <w:rPr>
                <w:sz w:val="20"/>
                <w:szCs w:val="20"/>
                <w:color w:val="auto"/>
              </w:rPr>
            </w:pPr>
            <w:r>
              <w:rPr>
                <w:rFonts w:ascii="Arial" w:cs="Arial" w:eastAsia="Arial" w:hAnsi="Arial"/>
                <w:sz w:val="18"/>
                <w:szCs w:val="18"/>
                <w:color w:val="auto"/>
              </w:rPr>
              <w:t>Jan 1 to Mar 31</w:t>
            </w:r>
          </w:p>
        </w:tc>
        <w:tc>
          <w:tcPr>
            <w:tcW w:w="36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130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3.33</w:t>
            </w:r>
          </w:p>
        </w:tc>
        <w:tc>
          <w:tcPr>
            <w:tcW w:w="940" w:type="dxa"/>
            <w:vAlign w:val="bottom"/>
            <w:shd w:val="clear" w:color="auto" w:fill="FFC080"/>
          </w:tcPr>
          <w:p>
            <w:pPr>
              <w:spacing w:after="0"/>
              <w:rPr>
                <w:sz w:val="18"/>
                <w:szCs w:val="18"/>
                <w:color w:val="auto"/>
              </w:rPr>
            </w:pPr>
          </w:p>
        </w:tc>
        <w:tc>
          <w:tcPr>
            <w:tcW w:w="68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FFC080"/>
          </w:tcPr>
          <w:p>
            <w:pPr>
              <w:spacing w:after="0"/>
              <w:rPr>
                <w:sz w:val="18"/>
                <w:szCs w:val="18"/>
                <w:color w:val="auto"/>
              </w:rPr>
            </w:pPr>
          </w:p>
        </w:tc>
        <w:tc>
          <w:tcPr>
            <w:tcW w:w="116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40" w:type="dxa"/>
            <w:vAlign w:val="bottom"/>
            <w:shd w:val="clear" w:color="auto" w:fill="FFC080"/>
          </w:tcPr>
          <w:p>
            <w:pPr>
              <w:spacing w:after="0"/>
              <w:rPr>
                <w:sz w:val="18"/>
                <w:szCs w:val="18"/>
                <w:color w:val="auto"/>
              </w:rPr>
            </w:pPr>
          </w:p>
        </w:tc>
        <w:tc>
          <w:tcPr>
            <w:tcW w:w="32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3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4.06</w:t>
            </w:r>
          </w:p>
        </w:tc>
        <w:tc>
          <w:tcPr>
            <w:tcW w:w="860" w:type="dxa"/>
            <w:vAlign w:val="bottom"/>
            <w:shd w:val="clear" w:color="auto" w:fill="FFC080"/>
          </w:tcPr>
          <w:p>
            <w:pPr>
              <w:spacing w:after="0"/>
              <w:rPr>
                <w:sz w:val="18"/>
                <w:szCs w:val="18"/>
                <w:color w:val="auto"/>
              </w:rPr>
            </w:pPr>
          </w:p>
        </w:tc>
        <w:tc>
          <w:tcPr>
            <w:tcW w:w="6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1 to Jun 30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8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March 28, 2011, the closing price for our common stock as reported on the Nasdaq Capital Market was $7.05.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02"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As of March 28, 2011, there were 8,936,426 shares of our common stock issued and outstanding and held by approximately 447 shareholders of record. This number includes each broker dealer and clearing corporation, that hold shares for customers, as a single shareholder.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two equity compensation plans, our 1998 Stock Option Plan (the “1998 Plan”) and our 2007 Equity Incentive Plan (the “2007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right="2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3">
        <w:r>
          <w:rPr>
            <w:rFonts w:ascii="Arial" w:cs="Arial" w:eastAsia="Arial" w:hAnsi="Arial"/>
            <w:sz w:val="18"/>
            <w:szCs w:val="18"/>
            <w:u w:val="single" w:color="auto"/>
            <w:color w:val="0000EE"/>
          </w:rPr>
          <w:t>Note 10 – Shareholders’ Equity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issuer purchases of equity shares. There were no issuer purchases of equity securities during the year ended December 31,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2"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Throughout this discussion, we compare results of operations for the 12 months ended December 31, 2010 ("2010") to the 12 months ended December 31, 2009 ("the comparable period").</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outlook for the global economy improved during 2010, especially during the later half of the year, helping us achieve record revenue growth and profitability.</w:t>
      </w:r>
    </w:p>
    <w:p>
      <w:pPr>
        <w:spacing w:after="0" w:line="156"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The operations of NetStreams, Inc., our wholly owned subsidiary acquired in November 2009, were fully integrated and absorbed into ClearOne's operations and the results reported for the year ended 2010 fully reflect this.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Revenue and profitability of all product lines in our conferencing and collaboration portfolio of products improved during the year ended December 31,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2010. There were significant improvements in revenues from professional, personal and premium conferencing products. The revenue improvement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traditional tabletop conferencing products was modest, while revenue from media carts declined. We also benefitted from additional revenues</w:t>
      </w:r>
    </w:p>
    <w:p>
      <w:pPr>
        <w:spacing w:after="0"/>
        <w:rPr>
          <w:sz w:val="20"/>
          <w:szCs w:val="20"/>
          <w:color w:val="auto"/>
        </w:rPr>
      </w:pPr>
      <w:r>
        <w:rPr>
          <w:rFonts w:ascii="Arial" w:cs="Arial" w:eastAsia="Arial" w:hAnsi="Arial"/>
          <w:sz w:val="17"/>
          <w:szCs w:val="17"/>
          <w:color w:val="auto"/>
        </w:rPr>
        <w:t>through NetStreams products during 2010. While revenue increased by 31% during 2010 over the comparable period, both gross profit and net income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improved significantly despite an accrual of $2.2 million for legal expenses in connection with our litigation relating to indemnification of a former ClearOne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Officer. During 2010, gross profit increased by $7.9 million or 47% and net income increased by $2.0 million or over 500% over the comparable period.</w:t>
      </w:r>
    </w:p>
    <w:p>
      <w:pPr>
        <w:spacing w:after="0" w:line="19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derive a major portion (approximately 66%) of our revenue from North America. Our share of revenue from foreign markets outside North America has increased steadily over the years.</w:t>
      </w:r>
    </w:p>
    <w:p>
      <w:pPr>
        <w:spacing w:after="0" w:line="15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conferencing products market is characterized by intense competition and rapidly evolving technology. Our competitors vary within each product category. The professionally installed product side of our business continues to perform at a high level and the personal product side is also growing along with premium products category. However, we face significant competition in the tabletop category due to the dominant presence of a major competitor. We intend to increase our market presence through the introduction of new products to take advantage of the increasing adoption of unified communications. We also intend to strengthen our portfolio of networked multimedia streaming products by introducing new products in the forthcoming months.</w:t>
      </w:r>
    </w:p>
    <w:p>
      <w:pPr>
        <w:spacing w:after="0" w:line="125" w:lineRule="exact"/>
        <w:rPr>
          <w:sz w:val="20"/>
          <w:szCs w:val="20"/>
          <w:color w:val="auto"/>
        </w:rPr>
      </w:pPr>
    </w:p>
    <w:p>
      <w:pPr>
        <w:ind w:right="100"/>
        <w:spacing w:after="0" w:line="214" w:lineRule="auto"/>
        <w:rPr>
          <w:sz w:val="20"/>
          <w:szCs w:val="20"/>
          <w:color w:val="auto"/>
        </w:rPr>
      </w:pPr>
      <w:r>
        <w:rPr>
          <w:rFonts w:ascii="Arial" w:cs="Arial" w:eastAsia="Arial" w:hAnsi="Arial"/>
          <w:sz w:val="22"/>
          <w:szCs w:val="22"/>
          <w:color w:val="auto"/>
        </w:rPr>
        <w:t>The immediate outlook for our business is encouraging as we see continued strength in the economic recovery around the world as well as a broader interest in and adoption of conferencing and collaboration solutions. We will continue to monitor market developments closely and control our costs.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 ended December 31, 2010 and 2009, together with the percentage of total revenue which each item represents.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 2010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w w:val="98"/>
              </w:rPr>
              <w:t>Year ended December 31, 2009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ind w:left="680"/>
              <w:spacing w:after="0"/>
              <w:rPr>
                <w:sz w:val="20"/>
                <w:szCs w:val="20"/>
                <w:color w:val="auto"/>
              </w:rPr>
            </w:pPr>
            <w:r>
              <w:rPr>
                <w:rFonts w:ascii="Arial" w:cs="Arial" w:eastAsia="Arial" w:hAnsi="Arial"/>
                <w:sz w:val="14"/>
                <w:szCs w:val="14"/>
                <w:b w:val="1"/>
                <w:bCs w:val="1"/>
                <w:color w:val="auto"/>
                <w:w w:val="95"/>
              </w:rPr>
              <w:t>Variance</w:t>
            </w:r>
          </w:p>
        </w:tc>
        <w:tc>
          <w:tcPr>
            <w:tcW w:w="80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993"/>
              <w:spacing w:after="0"/>
              <w:rPr>
                <w:sz w:val="20"/>
                <w:szCs w:val="20"/>
                <w:color w:val="auto"/>
              </w:rPr>
            </w:pPr>
            <w:r>
              <w:rPr>
                <w:rFonts w:ascii="Arial" w:cs="Arial" w:eastAsia="Arial" w:hAnsi="Arial"/>
                <w:sz w:val="14"/>
                <w:szCs w:val="14"/>
                <w:b w:val="1"/>
                <w:bCs w:val="1"/>
                <w:color w:val="auto"/>
              </w:rPr>
              <w:t>Audited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Favorable (Unfavorable)</w:t>
            </w: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thousands</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thousands</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r>
      <w:tr>
        <w:trPr>
          <w:trHeight w:val="216"/>
        </w:trPr>
        <w:tc>
          <w:tcPr>
            <w:tcW w:w="20" w:type="dxa"/>
            <w:vAlign w:val="bottom"/>
          </w:tcPr>
          <w:p>
            <w:pPr>
              <w:spacing w:after="0"/>
              <w:rPr>
                <w:sz w:val="18"/>
                <w:szCs w:val="18"/>
                <w:color w:val="auto"/>
              </w:rPr>
            </w:pPr>
          </w:p>
        </w:tc>
        <w:tc>
          <w:tcPr>
            <w:tcW w:w="3300" w:type="dxa"/>
            <w:vAlign w:val="bottom"/>
            <w:shd w:val="clear" w:color="auto" w:fill="FFC080"/>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FFC080"/>
          </w:tcPr>
          <w:p>
            <w:pPr>
              <w:jc w:val="right"/>
              <w:ind w:right="388"/>
              <w:spacing w:after="0"/>
              <w:rPr>
                <w:sz w:val="20"/>
                <w:szCs w:val="20"/>
                <w:color w:val="auto"/>
              </w:rPr>
            </w:pPr>
            <w:r>
              <w:rPr>
                <w:rFonts w:ascii="Arial" w:cs="Arial" w:eastAsia="Arial" w:hAnsi="Arial"/>
                <w:sz w:val="18"/>
                <w:szCs w:val="18"/>
                <w:color w:val="auto"/>
              </w:rPr>
              <w:t>$</w:t>
            </w:r>
          </w:p>
        </w:tc>
        <w:tc>
          <w:tcPr>
            <w:tcW w:w="680" w:type="dxa"/>
            <w:vAlign w:val="bottom"/>
            <w:shd w:val="clear" w:color="auto" w:fill="FFC080"/>
          </w:tcPr>
          <w:p>
            <w:pPr>
              <w:jc w:val="right"/>
              <w:ind w:right="12"/>
              <w:spacing w:after="0"/>
              <w:rPr>
                <w:sz w:val="20"/>
                <w:szCs w:val="20"/>
                <w:color w:val="auto"/>
              </w:rPr>
            </w:pPr>
            <w:r>
              <w:rPr>
                <w:rFonts w:ascii="Arial" w:cs="Arial" w:eastAsia="Arial" w:hAnsi="Arial"/>
                <w:sz w:val="18"/>
                <w:szCs w:val="18"/>
                <w:color w:val="auto"/>
              </w:rPr>
              <w:t>41,284</w:t>
            </w:r>
          </w:p>
        </w:tc>
        <w:tc>
          <w:tcPr>
            <w:tcW w:w="14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C080"/>
          </w:tcPr>
          <w:p>
            <w:pPr>
              <w:jc w:val="right"/>
              <w:ind w:right="33"/>
              <w:spacing w:after="0"/>
              <w:rPr>
                <w:sz w:val="20"/>
                <w:szCs w:val="20"/>
                <w:color w:val="auto"/>
              </w:rPr>
            </w:pPr>
            <w:r>
              <w:rPr>
                <w:rFonts w:ascii="Arial" w:cs="Arial" w:eastAsia="Arial" w:hAnsi="Arial"/>
                <w:sz w:val="18"/>
                <w:szCs w:val="18"/>
                <w:color w:val="auto"/>
              </w:rPr>
              <w:t>31,499</w:t>
            </w:r>
          </w:p>
        </w:tc>
        <w:tc>
          <w:tcPr>
            <w:tcW w:w="14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FFC080"/>
          </w:tcPr>
          <w:p>
            <w:pPr>
              <w:jc w:val="right"/>
              <w:ind w:right="13"/>
              <w:spacing w:after="0"/>
              <w:rPr>
                <w:sz w:val="20"/>
                <w:szCs w:val="20"/>
                <w:color w:val="auto"/>
              </w:rPr>
            </w:pPr>
            <w:r>
              <w:rPr>
                <w:rFonts w:ascii="Arial" w:cs="Arial" w:eastAsia="Arial" w:hAnsi="Arial"/>
                <w:sz w:val="18"/>
                <w:szCs w:val="18"/>
                <w:color w:val="auto"/>
              </w:rPr>
              <w:t>9,785</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8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16,643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14,712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3300" w:type="dxa"/>
            <w:vAlign w:val="bottom"/>
            <w:shd w:val="clear" w:color="auto" w:fill="FFC080"/>
          </w:tcPr>
          <w:p>
            <w:pPr>
              <w:ind w:left="4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FFC080"/>
          </w:tcPr>
          <w:p>
            <w:pPr>
              <w:spacing w:after="0"/>
              <w:rPr>
                <w:sz w:val="18"/>
                <w:szCs w:val="18"/>
                <w:color w:val="auto"/>
              </w:rPr>
            </w:pPr>
          </w:p>
        </w:tc>
        <w:tc>
          <w:tcPr>
            <w:tcW w:w="540" w:type="dxa"/>
            <w:vAlign w:val="bottom"/>
            <w:shd w:val="clear" w:color="auto" w:fill="FFC080"/>
          </w:tcPr>
          <w:p>
            <w:pPr>
              <w:spacing w:after="0"/>
              <w:rPr>
                <w:sz w:val="18"/>
                <w:szCs w:val="18"/>
                <w:color w:val="auto"/>
              </w:rPr>
            </w:pPr>
          </w:p>
        </w:tc>
        <w:tc>
          <w:tcPr>
            <w:tcW w:w="680" w:type="dxa"/>
            <w:vAlign w:val="bottom"/>
            <w:shd w:val="clear" w:color="auto" w:fill="FFC080"/>
          </w:tcPr>
          <w:p>
            <w:pPr>
              <w:jc w:val="right"/>
              <w:ind w:right="12"/>
              <w:spacing w:after="0"/>
              <w:rPr>
                <w:sz w:val="20"/>
                <w:szCs w:val="20"/>
                <w:color w:val="auto"/>
              </w:rPr>
            </w:pPr>
            <w:r>
              <w:rPr>
                <w:rFonts w:ascii="Arial" w:cs="Arial" w:eastAsia="Arial" w:hAnsi="Arial"/>
                <w:sz w:val="18"/>
                <w:szCs w:val="18"/>
                <w:color w:val="auto"/>
              </w:rPr>
              <w:t>24,641</w:t>
            </w:r>
          </w:p>
        </w:tc>
        <w:tc>
          <w:tcPr>
            <w:tcW w:w="14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shd w:val="clear" w:color="auto" w:fill="FFC080"/>
          </w:tcPr>
          <w:p>
            <w:pPr>
              <w:jc w:val="right"/>
              <w:ind w:right="33"/>
              <w:spacing w:after="0"/>
              <w:rPr>
                <w:sz w:val="20"/>
                <w:szCs w:val="20"/>
                <w:color w:val="auto"/>
              </w:rPr>
            </w:pPr>
            <w:r>
              <w:rPr>
                <w:rFonts w:ascii="Arial" w:cs="Arial" w:eastAsia="Arial" w:hAnsi="Arial"/>
                <w:sz w:val="18"/>
                <w:szCs w:val="18"/>
                <w:color w:val="auto"/>
              </w:rPr>
              <w:t>16,787</w:t>
            </w:r>
          </w:p>
        </w:tc>
        <w:tc>
          <w:tcPr>
            <w:tcW w:w="14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840" w:type="dxa"/>
            <w:vAlign w:val="bottom"/>
            <w:shd w:val="clear" w:color="auto" w:fill="FFC080"/>
          </w:tcPr>
          <w:p>
            <w:pPr>
              <w:jc w:val="right"/>
              <w:ind w:right="13"/>
              <w:spacing w:after="0"/>
              <w:rPr>
                <w:sz w:val="20"/>
                <w:szCs w:val="20"/>
                <w:color w:val="auto"/>
              </w:rPr>
            </w:pPr>
            <w:r>
              <w:rPr>
                <w:rFonts w:ascii="Arial" w:cs="Arial" w:eastAsia="Arial" w:hAnsi="Arial"/>
                <w:sz w:val="18"/>
                <w:szCs w:val="18"/>
                <w:color w:val="auto"/>
              </w:rPr>
              <w:t>7,854</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8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FFC080"/>
          </w:tcPr>
          <w:p>
            <w:pPr>
              <w:ind w:left="16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FFC080"/>
          </w:tcPr>
          <w:p>
            <w:pPr>
              <w:spacing w:after="0"/>
              <w:rPr>
                <w:sz w:val="18"/>
                <w:szCs w:val="18"/>
                <w:color w:val="auto"/>
              </w:rPr>
            </w:pPr>
          </w:p>
        </w:tc>
        <w:tc>
          <w:tcPr>
            <w:tcW w:w="540" w:type="dxa"/>
            <w:vAlign w:val="bottom"/>
            <w:shd w:val="clear" w:color="auto" w:fill="FFC080"/>
          </w:tcPr>
          <w:p>
            <w:pPr>
              <w:spacing w:after="0"/>
              <w:rPr>
                <w:sz w:val="18"/>
                <w:szCs w:val="18"/>
                <w:color w:val="auto"/>
              </w:rPr>
            </w:pPr>
          </w:p>
        </w:tc>
        <w:tc>
          <w:tcPr>
            <w:tcW w:w="680" w:type="dxa"/>
            <w:vAlign w:val="bottom"/>
            <w:shd w:val="clear" w:color="auto" w:fill="FFC080"/>
          </w:tcPr>
          <w:p>
            <w:pPr>
              <w:jc w:val="right"/>
              <w:ind w:right="12"/>
              <w:spacing w:after="0"/>
              <w:rPr>
                <w:sz w:val="20"/>
                <w:szCs w:val="20"/>
                <w:color w:val="auto"/>
              </w:rPr>
            </w:pPr>
            <w:r>
              <w:rPr>
                <w:rFonts w:ascii="Arial" w:cs="Arial" w:eastAsia="Arial" w:hAnsi="Arial"/>
                <w:sz w:val="18"/>
                <w:szCs w:val="18"/>
                <w:color w:val="auto"/>
              </w:rPr>
              <w:t>8,685</w:t>
            </w:r>
          </w:p>
        </w:tc>
        <w:tc>
          <w:tcPr>
            <w:tcW w:w="14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shd w:val="clear" w:color="auto" w:fill="FFC080"/>
          </w:tcPr>
          <w:p>
            <w:pPr>
              <w:jc w:val="right"/>
              <w:ind w:right="33"/>
              <w:spacing w:after="0"/>
              <w:rPr>
                <w:sz w:val="20"/>
                <w:szCs w:val="20"/>
                <w:color w:val="auto"/>
              </w:rPr>
            </w:pPr>
            <w:r>
              <w:rPr>
                <w:rFonts w:ascii="Arial" w:cs="Arial" w:eastAsia="Arial" w:hAnsi="Arial"/>
                <w:sz w:val="18"/>
                <w:szCs w:val="18"/>
                <w:color w:val="auto"/>
              </w:rPr>
              <w:t>6,822</w:t>
            </w:r>
          </w:p>
        </w:tc>
        <w:tc>
          <w:tcPr>
            <w:tcW w:w="14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8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8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7,739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7,414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300" w:type="dxa"/>
            <w:vAlign w:val="bottom"/>
            <w:shd w:val="clear" w:color="auto" w:fill="FFC080"/>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FFC080"/>
          </w:tcPr>
          <w:p>
            <w:pPr>
              <w:spacing w:after="0"/>
              <w:rPr>
                <w:sz w:val="18"/>
                <w:szCs w:val="18"/>
                <w:color w:val="auto"/>
              </w:rPr>
            </w:pPr>
          </w:p>
        </w:tc>
        <w:tc>
          <w:tcPr>
            <w:tcW w:w="540" w:type="dxa"/>
            <w:vAlign w:val="bottom"/>
            <w:shd w:val="clear" w:color="auto" w:fill="FFC080"/>
          </w:tcPr>
          <w:p>
            <w:pPr>
              <w:spacing w:after="0"/>
              <w:rPr>
                <w:sz w:val="18"/>
                <w:szCs w:val="18"/>
                <w:color w:val="auto"/>
              </w:rPr>
            </w:pPr>
          </w:p>
        </w:tc>
        <w:tc>
          <w:tcPr>
            <w:tcW w:w="680" w:type="dxa"/>
            <w:vAlign w:val="bottom"/>
            <w:shd w:val="clear" w:color="auto" w:fill="FFC080"/>
          </w:tcPr>
          <w:p>
            <w:pPr>
              <w:jc w:val="right"/>
              <w:ind w:right="12"/>
              <w:spacing w:after="0"/>
              <w:rPr>
                <w:sz w:val="20"/>
                <w:szCs w:val="20"/>
                <w:color w:val="auto"/>
              </w:rPr>
            </w:pPr>
            <w:r>
              <w:rPr>
                <w:rFonts w:ascii="Arial" w:cs="Arial" w:eastAsia="Arial" w:hAnsi="Arial"/>
                <w:sz w:val="18"/>
                <w:szCs w:val="18"/>
                <w:color w:val="auto"/>
              </w:rPr>
              <w:t>6,420</w:t>
            </w:r>
          </w:p>
        </w:tc>
        <w:tc>
          <w:tcPr>
            <w:tcW w:w="14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1000" w:type="dxa"/>
            <w:vAlign w:val="bottom"/>
            <w:shd w:val="clear" w:color="auto" w:fill="FFC080"/>
          </w:tcPr>
          <w:p>
            <w:pPr>
              <w:jc w:val="right"/>
              <w:ind w:right="33"/>
              <w:spacing w:after="0"/>
              <w:rPr>
                <w:sz w:val="20"/>
                <w:szCs w:val="20"/>
                <w:color w:val="auto"/>
              </w:rPr>
            </w:pPr>
            <w:r>
              <w:rPr>
                <w:rFonts w:ascii="Arial" w:cs="Arial" w:eastAsia="Arial" w:hAnsi="Arial"/>
                <w:sz w:val="18"/>
                <w:szCs w:val="18"/>
                <w:color w:val="auto"/>
              </w:rPr>
              <w:t>4,203</w:t>
            </w:r>
          </w:p>
        </w:tc>
        <w:tc>
          <w:tcPr>
            <w:tcW w:w="14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8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8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Insurance settlement proceeds</w:t>
            </w: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00" w:type="dxa"/>
            <w:vAlign w:val="bottom"/>
            <w:tcBorders>
              <w:bottom w:val="single" w:sz="8" w:color="FFC080"/>
            </w:tcBorders>
            <w:shd w:val="clear" w:color="auto" w:fill="FFC080"/>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FFC080"/>
            </w:tcBorders>
            <w:shd w:val="clear" w:color="auto" w:fill="FFC080"/>
          </w:tcPr>
          <w:p>
            <w:pPr>
              <w:spacing w:after="0"/>
              <w:rPr>
                <w:sz w:val="19"/>
                <w:szCs w:val="19"/>
                <w:color w:val="auto"/>
              </w:rPr>
            </w:pPr>
          </w:p>
        </w:tc>
        <w:tc>
          <w:tcPr>
            <w:tcW w:w="540" w:type="dxa"/>
            <w:vAlign w:val="bottom"/>
            <w:tcBorders>
              <w:bottom w:val="single" w:sz="8" w:color="auto"/>
            </w:tcBorders>
            <w:shd w:val="clear" w:color="auto" w:fill="FFC080"/>
          </w:tcPr>
          <w:p>
            <w:pPr>
              <w:spacing w:after="0"/>
              <w:rPr>
                <w:sz w:val="19"/>
                <w:szCs w:val="19"/>
                <w:color w:val="auto"/>
              </w:rPr>
            </w:pPr>
          </w:p>
        </w:tc>
        <w:tc>
          <w:tcPr>
            <w:tcW w:w="680" w:type="dxa"/>
            <w:vAlign w:val="bottom"/>
            <w:tcBorders>
              <w:bottom w:val="single" w:sz="8" w:color="auto"/>
            </w:tcBorders>
            <w:shd w:val="clear" w:color="auto" w:fill="FFC080"/>
          </w:tcPr>
          <w:p>
            <w:pPr>
              <w:jc w:val="right"/>
              <w:ind w:right="12"/>
              <w:spacing w:after="0"/>
              <w:rPr>
                <w:sz w:val="20"/>
                <w:szCs w:val="20"/>
                <w:color w:val="auto"/>
              </w:rPr>
            </w:pPr>
            <w:r>
              <w:rPr>
                <w:rFonts w:ascii="Arial" w:cs="Arial" w:eastAsia="Arial" w:hAnsi="Arial"/>
                <w:sz w:val="18"/>
                <w:szCs w:val="18"/>
                <w:color w:val="auto"/>
              </w:rPr>
              <w:t>22,844</w:t>
            </w:r>
          </w:p>
        </w:tc>
        <w:tc>
          <w:tcPr>
            <w:tcW w:w="120" w:type="dxa"/>
            <w:vAlign w:val="bottom"/>
            <w:tcBorders>
              <w:bottom w:val="single" w:sz="8" w:color="FFC080"/>
            </w:tcBorders>
            <w:shd w:val="clear" w:color="auto" w:fill="FFC080"/>
          </w:tcPr>
          <w:p>
            <w:pPr>
              <w:spacing w:after="0"/>
              <w:rPr>
                <w:sz w:val="19"/>
                <w:szCs w:val="19"/>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FFC080"/>
            </w:tcBorders>
            <w:shd w:val="clear" w:color="auto" w:fill="FFC080"/>
          </w:tcPr>
          <w:p>
            <w:pPr>
              <w:spacing w:after="0"/>
              <w:rPr>
                <w:sz w:val="19"/>
                <w:szCs w:val="19"/>
                <w:color w:val="auto"/>
              </w:rPr>
            </w:pPr>
          </w:p>
        </w:tc>
        <w:tc>
          <w:tcPr>
            <w:tcW w:w="240" w:type="dxa"/>
            <w:vAlign w:val="bottom"/>
            <w:tcBorders>
              <w:bottom w:val="single" w:sz="8" w:color="auto"/>
            </w:tcBorders>
            <w:shd w:val="clear" w:color="auto" w:fill="FFC080"/>
          </w:tcPr>
          <w:p>
            <w:pPr>
              <w:spacing w:after="0"/>
              <w:rPr>
                <w:sz w:val="19"/>
                <w:szCs w:val="19"/>
                <w:color w:val="auto"/>
              </w:rPr>
            </w:pPr>
          </w:p>
        </w:tc>
        <w:tc>
          <w:tcPr>
            <w:tcW w:w="1000" w:type="dxa"/>
            <w:vAlign w:val="bottom"/>
            <w:tcBorders>
              <w:bottom w:val="single" w:sz="8" w:color="auto"/>
            </w:tcBorders>
            <w:shd w:val="clear" w:color="auto" w:fill="FFC080"/>
          </w:tcPr>
          <w:p>
            <w:pPr>
              <w:jc w:val="right"/>
              <w:ind w:right="33"/>
              <w:spacing w:after="0"/>
              <w:rPr>
                <w:sz w:val="20"/>
                <w:szCs w:val="20"/>
                <w:color w:val="auto"/>
              </w:rPr>
            </w:pPr>
            <w:r>
              <w:rPr>
                <w:rFonts w:ascii="Arial" w:cs="Arial" w:eastAsia="Arial" w:hAnsi="Arial"/>
                <w:sz w:val="18"/>
                <w:szCs w:val="18"/>
                <w:color w:val="auto"/>
              </w:rPr>
              <w:t>17,339</w:t>
            </w:r>
          </w:p>
        </w:tc>
        <w:tc>
          <w:tcPr>
            <w:tcW w:w="100" w:type="dxa"/>
            <w:vAlign w:val="bottom"/>
            <w:tcBorders>
              <w:bottom w:val="single" w:sz="8" w:color="FFC080"/>
            </w:tcBorders>
            <w:shd w:val="clear" w:color="auto" w:fill="FFC080"/>
          </w:tcPr>
          <w:p>
            <w:pPr>
              <w:spacing w:after="0"/>
              <w:rPr>
                <w:sz w:val="19"/>
                <w:szCs w:val="19"/>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8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(5,505)</w:t>
            </w:r>
          </w:p>
        </w:tc>
        <w:tc>
          <w:tcPr>
            <w:tcW w:w="120" w:type="dxa"/>
            <w:vAlign w:val="bottom"/>
            <w:tcBorders>
              <w:bottom w:val="single" w:sz="8" w:color="FFC080"/>
            </w:tcBorders>
            <w:shd w:val="clear" w:color="auto" w:fill="FFC080"/>
          </w:tcPr>
          <w:p>
            <w:pPr>
              <w:spacing w:after="0"/>
              <w:rPr>
                <w:sz w:val="19"/>
                <w:szCs w:val="19"/>
                <w:color w:val="auto"/>
              </w:rPr>
            </w:pPr>
          </w:p>
        </w:tc>
        <w:tc>
          <w:tcPr>
            <w:tcW w:w="300" w:type="dxa"/>
            <w:vAlign w:val="bottom"/>
            <w:tcBorders>
              <w:bottom w:val="single" w:sz="8" w:color="auto"/>
            </w:tcBorders>
            <w:shd w:val="clear" w:color="auto" w:fill="FFC080"/>
          </w:tcPr>
          <w:p>
            <w:pPr>
              <w:spacing w:after="0"/>
              <w:rPr>
                <w:sz w:val="19"/>
                <w:szCs w:val="19"/>
                <w:color w:val="auto"/>
              </w:rPr>
            </w:pPr>
          </w:p>
        </w:tc>
        <w:tc>
          <w:tcPr>
            <w:tcW w:w="8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-31.7%</w:t>
            </w:r>
          </w:p>
        </w:tc>
      </w:tr>
      <w:tr>
        <w:trPr>
          <w:trHeight w:val="216"/>
        </w:trPr>
        <w:tc>
          <w:tcPr>
            <w:tcW w:w="20" w:type="dxa"/>
            <w:vAlign w:val="bottom"/>
          </w:tcPr>
          <w:p>
            <w:pPr>
              <w:spacing w:after="0"/>
              <w:rPr>
                <w:sz w:val="18"/>
                <w:szCs w:val="18"/>
                <w:color w:val="auto"/>
              </w:rPr>
            </w:pPr>
          </w:p>
        </w:tc>
        <w:tc>
          <w:tcPr>
            <w:tcW w:w="330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425.5%</w:t>
            </w:r>
          </w:p>
        </w:tc>
      </w:tr>
      <w:tr>
        <w:trPr>
          <w:trHeight w:val="250"/>
        </w:trPr>
        <w:tc>
          <w:tcPr>
            <w:tcW w:w="20" w:type="dxa"/>
            <w:vAlign w:val="bottom"/>
          </w:tcPr>
          <w:p>
            <w:pPr>
              <w:spacing w:after="0"/>
              <w:rPr>
                <w:sz w:val="21"/>
                <w:szCs w:val="21"/>
                <w:color w:val="auto"/>
              </w:rPr>
            </w:pPr>
          </w:p>
        </w:tc>
        <w:tc>
          <w:tcPr>
            <w:tcW w:w="330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FFC080"/>
            </w:tcBorders>
            <w:shd w:val="clear" w:color="auto" w:fill="FFC080"/>
          </w:tcPr>
          <w:p>
            <w:pPr>
              <w:spacing w:after="0"/>
              <w:rPr>
                <w:sz w:val="21"/>
                <w:szCs w:val="21"/>
                <w:color w:val="auto"/>
              </w:rPr>
            </w:pPr>
          </w:p>
        </w:tc>
        <w:tc>
          <w:tcPr>
            <w:tcW w:w="540" w:type="dxa"/>
            <w:vAlign w:val="bottom"/>
            <w:tcBorders>
              <w:bottom w:val="single" w:sz="8" w:color="auto"/>
            </w:tcBorders>
            <w:shd w:val="clear" w:color="auto" w:fill="FFC080"/>
          </w:tcPr>
          <w:p>
            <w:pPr>
              <w:spacing w:after="0"/>
              <w:rPr>
                <w:sz w:val="21"/>
                <w:szCs w:val="21"/>
                <w:color w:val="auto"/>
              </w:rPr>
            </w:pPr>
          </w:p>
        </w:tc>
        <w:tc>
          <w:tcPr>
            <w:tcW w:w="68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FFC080"/>
            </w:tcBorders>
            <w:shd w:val="clear" w:color="auto" w:fill="FFC080"/>
          </w:tcPr>
          <w:p>
            <w:pPr>
              <w:spacing w:after="0"/>
              <w:rPr>
                <w:sz w:val="21"/>
                <w:szCs w:val="21"/>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FFC080"/>
            </w:tcBorders>
            <w:shd w:val="clear" w:color="auto" w:fill="FFC080"/>
          </w:tcPr>
          <w:p>
            <w:pPr>
              <w:spacing w:after="0"/>
              <w:rPr>
                <w:sz w:val="21"/>
                <w:szCs w:val="21"/>
                <w:color w:val="auto"/>
              </w:rPr>
            </w:pPr>
          </w:p>
        </w:tc>
        <w:tc>
          <w:tcPr>
            <w:tcW w:w="240" w:type="dxa"/>
            <w:vAlign w:val="bottom"/>
            <w:tcBorders>
              <w:bottom w:val="single" w:sz="8" w:color="auto"/>
            </w:tcBorders>
            <w:shd w:val="clear" w:color="auto" w:fill="FFC080"/>
          </w:tcPr>
          <w:p>
            <w:pPr>
              <w:spacing w:after="0"/>
              <w:rPr>
                <w:sz w:val="21"/>
                <w:szCs w:val="21"/>
                <w:color w:val="auto"/>
              </w:rPr>
            </w:pPr>
          </w:p>
        </w:tc>
        <w:tc>
          <w:tcPr>
            <w:tcW w:w="1000" w:type="dxa"/>
            <w:vAlign w:val="bottom"/>
            <w:tcBorders>
              <w:bottom w:val="single" w:sz="8" w:color="auto"/>
            </w:tcBorders>
            <w:shd w:val="clear" w:color="auto" w:fill="FFC080"/>
          </w:tcPr>
          <w:p>
            <w:pPr>
              <w:jc w:val="right"/>
              <w:ind w:right="33"/>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FFC080"/>
            </w:tcBorders>
            <w:shd w:val="clear" w:color="auto" w:fill="FFC080"/>
          </w:tcPr>
          <w:p>
            <w:pPr>
              <w:spacing w:after="0"/>
              <w:rPr>
                <w:sz w:val="21"/>
                <w:szCs w:val="21"/>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FFC080"/>
            </w:tcBorders>
            <w:shd w:val="clear" w:color="auto" w:fill="FFC080"/>
          </w:tcPr>
          <w:p>
            <w:pPr>
              <w:spacing w:after="0"/>
              <w:rPr>
                <w:sz w:val="21"/>
                <w:szCs w:val="21"/>
                <w:color w:val="auto"/>
              </w:rPr>
            </w:pPr>
          </w:p>
        </w:tc>
        <w:tc>
          <w:tcPr>
            <w:tcW w:w="160" w:type="dxa"/>
            <w:vAlign w:val="bottom"/>
            <w:tcBorders>
              <w:bottom w:val="single" w:sz="8" w:color="auto"/>
            </w:tcBorders>
            <w:shd w:val="clear" w:color="auto" w:fill="FFC080"/>
          </w:tcPr>
          <w:p>
            <w:pPr>
              <w:spacing w:after="0"/>
              <w:rPr>
                <w:sz w:val="21"/>
                <w:szCs w:val="21"/>
                <w:color w:val="auto"/>
              </w:rPr>
            </w:pPr>
          </w:p>
        </w:tc>
        <w:tc>
          <w:tcPr>
            <w:tcW w:w="8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FFC080"/>
            </w:tcBorders>
            <w:shd w:val="clear" w:color="auto" w:fill="FFC080"/>
          </w:tcPr>
          <w:p>
            <w:pPr>
              <w:spacing w:after="0"/>
              <w:rPr>
                <w:sz w:val="21"/>
                <w:szCs w:val="21"/>
                <w:color w:val="auto"/>
              </w:rPr>
            </w:pPr>
          </w:p>
        </w:tc>
        <w:tc>
          <w:tcPr>
            <w:tcW w:w="300" w:type="dxa"/>
            <w:vAlign w:val="bottom"/>
            <w:tcBorders>
              <w:bottom w:val="single" w:sz="8" w:color="auto"/>
            </w:tcBorders>
            <w:shd w:val="clear" w:color="auto" w:fill="FFC080"/>
          </w:tcPr>
          <w:p>
            <w:pPr>
              <w:spacing w:after="0"/>
              <w:rPr>
                <w:sz w:val="21"/>
                <w:szCs w:val="21"/>
                <w:color w:val="auto"/>
              </w:rPr>
            </w:pPr>
          </w:p>
        </w:tc>
        <w:tc>
          <w:tcPr>
            <w:tcW w:w="8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-124.2%</w:t>
            </w:r>
          </w:p>
        </w:tc>
      </w:tr>
      <w:tr>
        <w:trPr>
          <w:trHeight w:val="216"/>
        </w:trPr>
        <w:tc>
          <w:tcPr>
            <w:tcW w:w="20" w:type="dxa"/>
            <w:vAlign w:val="bottom"/>
          </w:tcPr>
          <w:p>
            <w:pPr>
              <w:spacing w:after="0"/>
              <w:rPr>
                <w:sz w:val="18"/>
                <w:szCs w:val="18"/>
                <w:color w:val="auto"/>
              </w:rPr>
            </w:pPr>
          </w:p>
        </w:tc>
        <w:tc>
          <w:tcPr>
            <w:tcW w:w="330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1,476.4%</w:t>
            </w:r>
          </w:p>
        </w:tc>
      </w:tr>
      <w:tr>
        <w:trPr>
          <w:trHeight w:val="250"/>
        </w:trPr>
        <w:tc>
          <w:tcPr>
            <w:tcW w:w="20" w:type="dxa"/>
            <w:vAlign w:val="bottom"/>
          </w:tcPr>
          <w:p>
            <w:pPr>
              <w:spacing w:after="0"/>
              <w:rPr>
                <w:sz w:val="21"/>
                <w:szCs w:val="21"/>
                <w:color w:val="auto"/>
              </w:rPr>
            </w:pPr>
          </w:p>
        </w:tc>
        <w:tc>
          <w:tcPr>
            <w:tcW w:w="3300" w:type="dxa"/>
            <w:vAlign w:val="bottom"/>
            <w:tcBorders>
              <w:bottom w:val="single" w:sz="8" w:color="FFC080"/>
            </w:tcBorders>
            <w:shd w:val="clear" w:color="auto" w:fill="FFC080"/>
          </w:tcPr>
          <w:p>
            <w:pPr>
              <w:ind w:left="48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FFC080"/>
            </w:tcBorders>
            <w:shd w:val="clear" w:color="auto" w:fill="FFC080"/>
          </w:tcPr>
          <w:p>
            <w:pPr>
              <w:spacing w:after="0"/>
              <w:rPr>
                <w:sz w:val="21"/>
                <w:szCs w:val="21"/>
                <w:color w:val="auto"/>
              </w:rPr>
            </w:pPr>
          </w:p>
        </w:tc>
        <w:tc>
          <w:tcPr>
            <w:tcW w:w="540" w:type="dxa"/>
            <w:vAlign w:val="bottom"/>
            <w:tcBorders>
              <w:bottom w:val="single" w:sz="8" w:color="auto"/>
            </w:tcBorders>
            <w:shd w:val="clear" w:color="auto" w:fill="FFC080"/>
          </w:tcPr>
          <w:p>
            <w:pPr>
              <w:spacing w:after="0"/>
              <w:rPr>
                <w:sz w:val="21"/>
                <w:szCs w:val="21"/>
                <w:color w:val="auto"/>
              </w:rPr>
            </w:pPr>
          </w:p>
        </w:tc>
        <w:tc>
          <w:tcPr>
            <w:tcW w:w="680" w:type="dxa"/>
            <w:vAlign w:val="bottom"/>
            <w:tcBorders>
              <w:bottom w:val="single" w:sz="8" w:color="auto"/>
            </w:tcBorders>
            <w:shd w:val="clear" w:color="auto" w:fill="FFC080"/>
          </w:tcPr>
          <w:p>
            <w:pPr>
              <w:jc w:val="right"/>
              <w:ind w:right="12"/>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FFC080"/>
            </w:tcBorders>
            <w:shd w:val="clear" w:color="auto" w:fill="FFC080"/>
          </w:tcPr>
          <w:p>
            <w:pPr>
              <w:spacing w:after="0"/>
              <w:rPr>
                <w:sz w:val="21"/>
                <w:szCs w:val="21"/>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FFC080"/>
            </w:tcBorders>
            <w:shd w:val="clear" w:color="auto" w:fill="FFC080"/>
          </w:tcPr>
          <w:p>
            <w:pPr>
              <w:spacing w:after="0"/>
              <w:rPr>
                <w:sz w:val="21"/>
                <w:szCs w:val="21"/>
                <w:color w:val="auto"/>
              </w:rPr>
            </w:pPr>
          </w:p>
        </w:tc>
        <w:tc>
          <w:tcPr>
            <w:tcW w:w="240" w:type="dxa"/>
            <w:vAlign w:val="bottom"/>
            <w:tcBorders>
              <w:bottom w:val="single" w:sz="8" w:color="auto"/>
            </w:tcBorders>
            <w:shd w:val="clear" w:color="auto" w:fill="FFC080"/>
          </w:tcPr>
          <w:p>
            <w:pPr>
              <w:spacing w:after="0"/>
              <w:rPr>
                <w:sz w:val="21"/>
                <w:szCs w:val="21"/>
                <w:color w:val="auto"/>
              </w:rPr>
            </w:pPr>
          </w:p>
        </w:tc>
        <w:tc>
          <w:tcPr>
            <w:tcW w:w="1000" w:type="dxa"/>
            <w:vAlign w:val="bottom"/>
            <w:tcBorders>
              <w:bottom w:val="single" w:sz="8" w:color="auto"/>
            </w:tcBorders>
            <w:shd w:val="clear" w:color="auto" w:fill="FFC080"/>
          </w:tcPr>
          <w:p>
            <w:pPr>
              <w:jc w:val="right"/>
              <w:ind w:right="33"/>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FFC080"/>
            </w:tcBorders>
            <w:shd w:val="clear" w:color="auto" w:fill="FFC080"/>
          </w:tcPr>
          <w:p>
            <w:pPr>
              <w:spacing w:after="0"/>
              <w:rPr>
                <w:sz w:val="21"/>
                <w:szCs w:val="21"/>
                <w:color w:val="auto"/>
              </w:rPr>
            </w:pPr>
          </w:p>
        </w:tc>
        <w:tc>
          <w:tcPr>
            <w:tcW w:w="13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FFC080"/>
            </w:tcBorders>
            <w:shd w:val="clear" w:color="auto" w:fill="FFC080"/>
          </w:tcPr>
          <w:p>
            <w:pPr>
              <w:spacing w:after="0"/>
              <w:rPr>
                <w:sz w:val="21"/>
                <w:szCs w:val="21"/>
                <w:color w:val="auto"/>
              </w:rPr>
            </w:pPr>
          </w:p>
        </w:tc>
        <w:tc>
          <w:tcPr>
            <w:tcW w:w="160" w:type="dxa"/>
            <w:vAlign w:val="bottom"/>
            <w:tcBorders>
              <w:bottom w:val="single" w:sz="8" w:color="auto"/>
            </w:tcBorders>
            <w:shd w:val="clear" w:color="auto" w:fill="FFC080"/>
          </w:tcPr>
          <w:p>
            <w:pPr>
              <w:spacing w:after="0"/>
              <w:rPr>
                <w:sz w:val="21"/>
                <w:szCs w:val="21"/>
                <w:color w:val="auto"/>
              </w:rPr>
            </w:pPr>
          </w:p>
        </w:tc>
        <w:tc>
          <w:tcPr>
            <w:tcW w:w="840" w:type="dxa"/>
            <w:vAlign w:val="bottom"/>
            <w:tcBorders>
              <w:bottom w:val="single" w:sz="8" w:color="auto"/>
            </w:tcBorders>
            <w:shd w:val="clear" w:color="auto" w:fill="FFC080"/>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FFC080"/>
            </w:tcBorders>
            <w:shd w:val="clear" w:color="auto" w:fill="FFC080"/>
          </w:tcPr>
          <w:p>
            <w:pPr>
              <w:spacing w:after="0"/>
              <w:rPr>
                <w:sz w:val="21"/>
                <w:szCs w:val="21"/>
                <w:color w:val="auto"/>
              </w:rPr>
            </w:pPr>
          </w:p>
        </w:tc>
        <w:tc>
          <w:tcPr>
            <w:tcW w:w="300" w:type="dxa"/>
            <w:vAlign w:val="bottom"/>
            <w:tcBorders>
              <w:bottom w:val="single" w:sz="8" w:color="auto"/>
            </w:tcBorders>
            <w:shd w:val="clear" w:color="auto" w:fill="FFC080"/>
          </w:tcPr>
          <w:p>
            <w:pPr>
              <w:spacing w:after="0"/>
              <w:rPr>
                <w:sz w:val="21"/>
                <w:szCs w:val="21"/>
                <w:color w:val="auto"/>
              </w:rPr>
            </w:pPr>
          </w:p>
        </w:tc>
        <w:tc>
          <w:tcPr>
            <w:tcW w:w="8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20" w:type="dxa"/>
            <w:vAlign w:val="bottom"/>
          </w:tcPr>
          <w:p>
            <w:pPr>
              <w:spacing w:after="0"/>
              <w:rPr>
                <w:sz w:val="20"/>
                <w:szCs w:val="20"/>
                <w:color w:val="auto"/>
              </w:rPr>
            </w:pPr>
          </w:p>
        </w:tc>
        <w:tc>
          <w:tcPr>
            <w:tcW w:w="330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-8255</wp:posOffset>
            </wp:positionV>
            <wp:extent cx="49314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-143510</wp:posOffset>
            </wp:positionV>
            <wp:extent cx="4931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Not Meaningful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revenue was $41.3 million for the year ended December 31, 2010 compared to $31.5 million for the comparable period. Revenue during 2010 increased approximately $9.8 million, or 31% from the comparable period. The increase in revenue was primarily the result of increases in sales volume in our professional, personal, premium and tabletop products which collectively increased $8.5 million. NetStreams products added an additional revenue of approximately $2.1 million. These increases in revenue were partially offset by reductions in media cart revenue and increased expenditures on sales programs and incentives. The revenue from professional products increased by approximately 27% even though the share of professional products in our total revenue declined to approximately 63% in 2010, from approximately 67% during the comparable period. Revenue from personal and premium conferencing products increased by approximately 44% and 132%, respectively, during 2010.</w:t>
      </w:r>
    </w:p>
    <w:p>
      <w:pPr>
        <w:spacing w:after="0" w:line="146" w:lineRule="exact"/>
        <w:rPr>
          <w:sz w:val="20"/>
          <w:szCs w:val="20"/>
          <w:color w:val="auto"/>
        </w:rPr>
      </w:pPr>
    </w:p>
    <w:p>
      <w:pPr>
        <w:ind w:right="80"/>
        <w:spacing w:after="0" w:line="215" w:lineRule="auto"/>
        <w:rPr>
          <w:sz w:val="20"/>
          <w:szCs w:val="20"/>
          <w:color w:val="auto"/>
        </w:rPr>
      </w:pPr>
      <w:r>
        <w:rPr>
          <w:rFonts w:ascii="Arial" w:cs="Arial" w:eastAsia="Arial" w:hAnsi="Arial"/>
          <w:sz w:val="21"/>
          <w:szCs w:val="21"/>
          <w:color w:val="auto"/>
        </w:rPr>
        <w:t>We evaluate, at each quarter-end, the inventory in the distribution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channel inventory at quarter-end. During 2010 and the comparable period the change in deferred revenue based on the movement of inventory in the channel was a recognition of revenue of $401,000 and $613,000,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gross profit during 2010 was approximately $24.6 million compared to approximately $16.8 million in the comparable period. Gross profit margins (“GPM”), or gross profit as a percentage of sales, were 59.7% and 53.3% in 2010 and the comparable period, respectively. The gross profit increase was mostly due to the significant increase in revenue from various product lines, additional revenue contributed from NetStreams products and the absence of inventory obsolescence costs in 2010. During the comparable period, gross profit was reduced by inventory obsolescence costs of approximately $1.8 million. The increase in gross profit in 2010 was partially offset by increased raw material and component costs.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Our profitability in the near-term continues to depend significantly on our revenues from professional conferencing products. We hold significant amounts of long-term inventory and if we are unable to sell our long-term inventory, profitability might be affected by inventory write-offs and price mark-downs.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02"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Operating profits (losses), or income from operations, is the surplus after operating expenses are deducted from gross profits. Operating expenses include sales &amp; marketing (“S&amp;M”) expenses, research and product development (“R&amp;D”) expenses and general and administrative (“G&amp;A”) expenses. Total operating expenses were approximately $22.8 million in 2010 compared to approximately $17.3 million during the comparable period. Following is a more detailed discussion of expenses related to sales and marketing, research and product development, general and administrative, and other items.</w:t>
      </w:r>
    </w:p>
    <w:p>
      <w:pPr>
        <w:spacing w:after="0" w:line="138"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b w:val="1"/>
          <w:bCs w:val="1"/>
          <w:u w:val="single" w:color="auto"/>
          <w:color w:val="auto"/>
        </w:rPr>
        <w:t>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trade shows, and other advertising and selling expenses. Total S&amp;M expenses were approximately $8.7 million in 2010 compared with approximately $6.8 million in the comparable period. As a percentage of revenue, S&amp;M expenses were 21.0% in 2010 compared with 21.7% in the comparable period. The increase in S&amp;M expenses in 2010 was approximately $1.9 million or 27% over the comparable period as a result of increased commissions to sales personnel and independent sales representatives and due to the absorption of sales personnel-related costs of NetStreams.</w:t>
      </w:r>
    </w:p>
    <w:p>
      <w:pPr>
        <w:spacing w:after="0" w:line="142"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u w:val="single" w:color="auto"/>
          <w:color w:val="auto"/>
        </w:rPr>
        <w:t>Research and Product Development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R&amp;D expenses include research and development, product line management, engineering services, and test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expenses, including employee-related costs, outside services, expensed materials, depreciation, and an allocation of overhead expenses. Total R&amp;D expenses were approximately $7.7 million in 2010 compared to approximately $7.4 million during the comparable period. As a percentage of revenue, R&amp;D expenses were 18.7% in 2010 compared to 23.5% in the comparable period. The increase in R&amp;D expenses was due to the absorption of NetStreams R&amp;D personnel which was partially offset by reductions in outsourced and project related expenses.</w:t>
      </w:r>
    </w:p>
    <w:p>
      <w:pPr>
        <w:spacing w:after="0" w:line="19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u w:val="single" w:color="auto"/>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administrative costs, including finance and human resources. Total G&amp;A expenses were approximately $6.4 million in 2010 compared with</w:t>
      </w:r>
    </w:p>
    <w:p>
      <w:pPr>
        <w:spacing w:after="0" w:line="225" w:lineRule="auto"/>
        <w:rPr>
          <w:sz w:val="20"/>
          <w:szCs w:val="20"/>
          <w:color w:val="auto"/>
        </w:rPr>
      </w:pPr>
      <w:r>
        <w:rPr>
          <w:rFonts w:ascii="Arial" w:cs="Arial" w:eastAsia="Arial" w:hAnsi="Arial"/>
          <w:sz w:val="17"/>
          <w:szCs w:val="17"/>
          <w:color w:val="auto"/>
        </w:rPr>
        <w:t xml:space="preserve">approximately $4.2 million in the comparable period. </w:t>
      </w:r>
      <w:r>
        <w:rPr>
          <w:rFonts w:ascii="Arial" w:cs="Arial" w:eastAsia="Arial" w:hAnsi="Arial"/>
          <w:sz w:val="20"/>
          <w:szCs w:val="20"/>
          <w:color w:val="auto"/>
        </w:rPr>
        <w:t>As a percentage of revenue, G&amp;A expenses were 15.6% in 2010 and 13.3% in the</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9"/>
          <w:szCs w:val="19"/>
          <w:color w:val="auto"/>
        </w:rPr>
        <w:t>comparable period. G&amp;A expenses in the comparable period included credits totalling $1.2 million for the reversal of accrued legal expenses in connection with the indemnification of a former ClearOne Officer and receipt of certain insurance settlement proceeds. G&amp;A expenses in 2010 included an accrual of $2.2 million of legal expenses in connection with the indemnification of a former ClearOne Officer. If the $1.2 million in credits in the comparable period and the $2.2 million accrual of legal expenses in 2010, as explained above, were excluded, G&amp;A expenses in 2010 and in the comparable period would be $4.2 million and $5.5 million respectively. The reduction in these "adjusted" G&amp;A expenses was primarily due to a decrease in stock-based compensation costs, salaries and bad debts expense and the absence of acquisition related transaction costs, partially offset by an increase in bonuses to executives and amortization expenses. Management believes that excluding the credits and accrual of legal expenses from GAAP results of G&amp;A expenses will provide investors with useful information to help them evaluate our operating results and objectives, and management does not believe that the excluded items are reflective of underlying performance.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u w:val="single" w:color="auto"/>
          <w:color w:val="auto"/>
        </w:rPr>
        <w:t>Insurance Settlement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We recognized income of $1.1 million received from our insurance company in settlement of a dispute over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under directors and officers liability insurance policies in the comparable period. (See section titled "Insurance Coverage Action" under Note 8 - Commitments and Contingencies to our Consolidated Financial Statements of our Form 10-K for the year ended June 30, 2009).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income taxes</w:t>
      </w:r>
    </w:p>
    <w:p>
      <w:pPr>
        <w:spacing w:after="0" w:line="20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tax benefit of approximately $681,000 during 2010 was primarily the result of a decrease in our unrecognized tax benefits liability due to the reversal of the liability related to the settlement with taxing authorities. This compared to a tax benefit of $507,000 during the comparable period. The tax benefit for the comparable period was primarily the result of federal research and development credits for that year.</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December 31, 2010, our cash and cash equivalents were approximately $11.4 million compared to $9.5 million as of December 31, 2009. Our working capital was $22.8 million and $16.3 million as of December 31, 2010 and December 31, 2009,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provided by operating activities were approximately $4.4 million during 2010 primarily due to net income of $2.4 million, an</w:t>
      </w:r>
    </w:p>
    <w:p>
      <w:pPr>
        <w:spacing w:after="0" w:line="1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increase in accrued liabilities of $3.0 million and a realization of inventories of $1.4 million partially offset by an increase in accounts receivable of $3.5 million. In the comparable period, net cash flows provided by operating activities were approximately $184,000 consisting primarily of write-off of inventory of $1.8 million, and depreciation and amortization of $816,000 partially offset by a decrease in accrued liabilities of $2.3 million.</w:t>
      </w:r>
    </w:p>
    <w:p>
      <w:pPr>
        <w:spacing w:after="0" w:line="159" w:lineRule="exact"/>
        <w:rPr>
          <w:sz w:val="20"/>
          <w:szCs w:val="20"/>
          <w:color w:val="auto"/>
        </w:rPr>
      </w:pPr>
    </w:p>
    <w:p>
      <w:pPr>
        <w:ind w:right="120"/>
        <w:spacing w:after="0"/>
        <w:rPr>
          <w:rFonts w:ascii="Arial" w:cs="Arial" w:eastAsia="Arial" w:hAnsi="Arial"/>
          <w:sz w:val="18"/>
          <w:szCs w:val="18"/>
          <w:color w:val="auto"/>
        </w:rPr>
      </w:pPr>
      <w:r>
        <w:rPr>
          <w:rFonts w:ascii="Arial" w:cs="Arial" w:eastAsia="Arial" w:hAnsi="Arial"/>
          <w:sz w:val="18"/>
          <w:szCs w:val="18"/>
          <w:color w:val="auto"/>
        </w:rPr>
        <w:t xml:space="preserve">Net cash flows used in investing activities were $449,000 during 2010 compared to net cash flows provided by investing activities of $6.9 million during the comparable period. The decrease in cash flows from investing activities of $7.3 million was primarily due to realization of marketable securities of $10.9 million in the comparable period offset by cash outflows due to the acquisition of NetStreams and purchases of property and equipment. During the comparable period, we acquired NetStreams, Inc. for $1.45 million cash consideration and assumed all of NetStreams' assets and liabilities, including $2 million in debt. Please refer to </w:t>
      </w:r>
      <w:hyperlink w:anchor="page46">
        <w:r>
          <w:rPr>
            <w:rFonts w:ascii="Arial" w:cs="Arial" w:eastAsia="Arial" w:hAnsi="Arial"/>
            <w:sz w:val="18"/>
            <w:szCs w:val="18"/>
            <w:u w:val="single" w:color="auto"/>
            <w:color w:val="0000EE"/>
          </w:rPr>
          <w:t>Note 3 - Business Combinations,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Consolidated Financial Statements (Part II, Item 8)</w:t>
      </w:r>
    </w:p>
    <w:p>
      <w:pPr>
        <w:spacing w:after="0" w:line="17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Net cash used in financing activities during 2010 totaled $2.0 million representing repayment of debt assumed in the acquisition of NetStreams. This compared to net cash provided by financing activities of $121,000 in the comparable period, which consist of proceeds from the issuance of common stock upon exercise of stock options.</w:t>
      </w:r>
    </w:p>
    <w:p>
      <w:pPr>
        <w:spacing w:after="0" w:line="16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comparable period we paid approximately $675,000 in income taxes while we received net refunds of approximately $221,000 in income taxes during 2010.</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raise additional capital when needed to meet our short and long-term financing needs. In addition to capital expenditures, we may use cash in the near future for selective infusions of technological, marketing or product manufacturing rights to broaden our product offerings, as well as acquisitions that may strategically fit our business and are accretive to performance.</w:t>
      </w:r>
    </w:p>
    <w:p>
      <w:pPr>
        <w:spacing w:after="0" w:line="176"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At December 31, 2010, we had open purchase orders related to our electronics manufacturing services providers and other contractual obligations of approximately $4.3 million, primarily related to inventory purchases.</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At December 31, 2010, we had inventories totaling $11.4 million out of which non-current inventory accounted for $2.6 million. This compares to total inventories of $12.6 million and non-current inventory of $6.4 million as of December 31, 2009. As our business prospects continue to improve, we expect to continue to reduce our non-current inventories and convert them into cash.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53" w:lineRule="auto"/>
        <w:rPr>
          <w:rFonts w:ascii="Arial" w:cs="Arial" w:eastAsia="Arial" w:hAnsi="Arial"/>
          <w:sz w:val="17"/>
          <w:szCs w:val="17"/>
          <w:color w:val="0000EE"/>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w:t>
      </w:r>
      <w:hyperlink w:anchor="page41">
        <w:r>
          <w:rPr>
            <w:rFonts w:ascii="Arial" w:cs="Arial" w:eastAsia="Arial" w:hAnsi="Arial"/>
            <w:sz w:val="17"/>
            <w:szCs w:val="17"/>
            <w:color w:val="auto"/>
          </w:rPr>
          <w:t xml:space="preserve">estimates we use are reasonable; however, actual results could differ from those estimates. Our significant accounting policies are described in </w:t>
        </w:r>
        <w:r>
          <w:rPr>
            <w:rFonts w:ascii="Arial" w:cs="Arial" w:eastAsia="Arial" w:hAnsi="Arial"/>
            <w:sz w:val="17"/>
            <w:szCs w:val="17"/>
            <w:u w:val="single" w:color="auto"/>
            <w:color w:val="0000EE"/>
          </w:rPr>
          <w:t>Note 2 -</w:t>
        </w:r>
      </w:hyperlink>
      <w:r>
        <w:rPr>
          <w:rFonts w:ascii="Arial" w:cs="Arial" w:eastAsia="Arial" w:hAnsi="Arial"/>
          <w:sz w:val="17"/>
          <w:szCs w:val="17"/>
          <w:color w:val="auto"/>
        </w:rPr>
        <w:t xml:space="preserve"> </w:t>
      </w:r>
      <w:hyperlink w:anchor="page41">
        <w:r>
          <w:rPr>
            <w:rFonts w:ascii="Arial" w:cs="Arial" w:eastAsia="Arial" w:hAnsi="Arial"/>
            <w:sz w:val="17"/>
            <w:szCs w:val="17"/>
            <w:u w:val="single" w:color="auto"/>
            <w:color w:val="0000EE"/>
          </w:rPr>
          <w:t>Summary of Significant Accounting Policies</w:t>
        </w:r>
        <w:r>
          <w:rPr>
            <w:rFonts w:ascii="Arial" w:cs="Arial" w:eastAsia="Arial" w:hAnsi="Arial"/>
            <w:sz w:val="17"/>
            <w:szCs w:val="17"/>
            <w:color w:val="0000EE"/>
          </w:rPr>
          <w:t xml:space="preserve"> </w:t>
        </w:r>
        <w:r>
          <w:rPr>
            <w:rFonts w:ascii="Arial" w:cs="Arial" w:eastAsia="Arial" w:hAnsi="Arial"/>
            <w:sz w:val="17"/>
            <w:szCs w:val="17"/>
            <w:color w:val="000000"/>
          </w:rPr>
          <w:t>to the Consolidated Financial Statements included in Part II, Item 8 of this report. We believe the following</w:t>
        </w:r>
      </w:hyperlink>
      <w:r>
        <w:rPr>
          <w:rFonts w:ascii="Arial" w:cs="Arial" w:eastAsia="Arial" w:hAnsi="Arial"/>
          <w:sz w:val="17"/>
          <w:szCs w:val="17"/>
          <w:color w:val="0000EE"/>
        </w:rPr>
        <w:t xml:space="preserve"> </w:t>
      </w:r>
      <w:r>
        <w:rPr>
          <w:rFonts w:ascii="Arial" w:cs="Arial" w:eastAsia="Arial" w:hAnsi="Arial"/>
          <w:sz w:val="17"/>
          <w:szCs w:val="17"/>
          <w:color w:val="000000"/>
        </w:rPr>
        <w:t>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35" w:lineRule="exact"/>
        <w:rPr>
          <w:sz w:val="20"/>
          <w:szCs w:val="20"/>
          <w:color w:val="auto"/>
        </w:rPr>
      </w:pPr>
    </w:p>
    <w:p>
      <w:pPr>
        <w:ind w:right="60" w:firstLine="8"/>
        <w:spacing w:after="0" w:line="243"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We evaluate, at each quarter-end,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1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8"/>
              </w:rPr>
              <w:t>December 31, 2010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1"/>
              </w:rPr>
              <w:t>December 31, 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FFC080"/>
          </w:tcPr>
          <w:p>
            <w:pPr>
              <w:jc w:val="right"/>
              <w:ind w:right="7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4,306</w:t>
            </w:r>
          </w:p>
        </w:tc>
        <w:tc>
          <w:tcPr>
            <w:tcW w:w="34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Deferred Gross Profit</w:t>
            </w:r>
          </w:p>
        </w:tc>
        <w:tc>
          <w:tcPr>
            <w:tcW w:w="240" w:type="dxa"/>
            <w:vAlign w:val="bottom"/>
            <w:shd w:val="clear" w:color="auto" w:fill="FFC080"/>
          </w:tcPr>
          <w:p>
            <w:pPr>
              <w:jc w:val="right"/>
              <w:ind w:right="17"/>
              <w:spacing w:after="0"/>
              <w:rPr>
                <w:sz w:val="20"/>
                <w:szCs w:val="20"/>
                <w:color w:val="auto"/>
              </w:rPr>
            </w:pPr>
            <w:r>
              <w:rPr>
                <w:rFonts w:ascii="Arial" w:cs="Arial" w:eastAsia="Arial" w:hAnsi="Arial"/>
                <w:sz w:val="18"/>
                <w:szCs w:val="18"/>
                <w:color w:val="auto"/>
              </w:rPr>
              <w:t>$</w:t>
            </w:r>
          </w:p>
        </w:tc>
        <w:tc>
          <w:tcPr>
            <w:tcW w:w="16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FFC080"/>
          </w:tcPr>
          <w:p>
            <w:pPr>
              <w:spacing w:after="0"/>
              <w:rPr>
                <w:sz w:val="20"/>
                <w:szCs w:val="20"/>
                <w:color w:val="auto"/>
              </w:rPr>
            </w:pPr>
          </w:p>
        </w:tc>
        <w:tc>
          <w:tcPr>
            <w:tcW w:w="100" w:type="dxa"/>
            <w:vAlign w:val="bottom"/>
            <w:shd w:val="clear" w:color="auto" w:fill="FFC080"/>
          </w:tcPr>
          <w:p>
            <w:pPr>
              <w:spacing w:after="0"/>
              <w:rPr>
                <w:sz w:val="20"/>
                <w:szCs w:val="20"/>
                <w:color w:val="auto"/>
              </w:rPr>
            </w:pPr>
          </w:p>
        </w:tc>
        <w:tc>
          <w:tcPr>
            <w:tcW w:w="240" w:type="dxa"/>
            <w:vAlign w:val="bottom"/>
            <w:shd w:val="clear" w:color="auto" w:fill="FFC080"/>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1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1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allocated the purchase price for the acquisition of NetStreams, Inc. on the basis of well 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$726,000 and $400,000 have been recorded as goodwill and intangible assets with indefinite useful life, respectively. In response to changes in industry, technology and competitive circumstances we might be required to exit or dispose of the business acquired through the NetStreams, Inc. acquisition, which could result in an impairment of goodwill and intangible assets.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16"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49" w:lineRule="exact"/>
        <w:rPr>
          <w:sz w:val="20"/>
          <w:szCs w:val="20"/>
          <w:color w:val="auto"/>
        </w:rPr>
      </w:pPr>
    </w:p>
    <w:p>
      <w:pPr>
        <w:ind w:right="2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To the extent we establish a valuation allowance in a period we must include and expense the allowance within the tax provision in the consolidated statement of operations. In accordance with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we analyzed our valuation allowance at December 31, 2010 and determined that based upon available evidence it is more likely than not that certain of our deferred tax assets related to capital loss carryovers and state research and development credits will not be realized and as such we have recorded a valuation allowance against these deferred tax assets in the amount of $944,000. The change in this valuation allowance resulted in a decrease in our income tax benefit for 2010 of $64,000. Please refer to </w:t>
      </w:r>
      <w:hyperlink w:anchor="page56">
        <w:r>
          <w:rPr>
            <w:rFonts w:ascii="Arial" w:cs="Arial" w:eastAsia="Arial" w:hAnsi="Arial"/>
            <w:sz w:val="17"/>
            <w:szCs w:val="17"/>
            <w:u w:val="single" w:color="auto"/>
            <w:color w:val="0000EE"/>
          </w:rPr>
          <w:t>Note 13 - Income Taxes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Consolidated Financial Statements (Part II, Item 8)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17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6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w:t>
      </w:r>
    </w:p>
    <w:p>
      <w:pPr>
        <w:spacing w:after="0" w:line="1" w:lineRule="exact"/>
        <w:rPr>
          <w:sz w:val="20"/>
          <w:szCs w:val="20"/>
          <w:color w:val="auto"/>
        </w:rPr>
      </w:pPr>
    </w:p>
    <w:p>
      <w:pPr>
        <w:jc w:val="both"/>
        <w:ind w:right="60"/>
        <w:spacing w:after="0" w:line="260"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December 2004, the FASB issued guidelines now contained under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76"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76"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2010, FASB issued Accounting Standards Update ("ASU") 2010 - 28 to update Topic 350 - Intangibles-Goodwill and Other. The update changes the way in which testing for goodwill impairment is done. When a reporting unit's carrying amount is zero or negative, the update requires the entity to perform Step 2 of the goodwill impairment test if it is more likely than not that a goodwill impairment exists. In determining whether it is more likely than not that a goodwill impaiment exists, an entity should consider whether there are any adverse qualitative factors indicating that an impairment may exist. The new requirements are effective and applicable to us with respect to financial reports commencing in the first quarter of 2011. We believe that our testing for goodwill impairment would not be affected by this change.</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 December 2010, FASB issued ASU 2010 - 29 to update Topic 805 - Business Combinations. This update has streamlined the way in which pro forma information for business combinations are reported. The amendments in the update specify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update has also expanded the supplemental disclosures required under Topic</w:t>
      </w:r>
    </w:p>
    <w:p>
      <w:pPr>
        <w:spacing w:after="0" w:line="1" w:lineRule="exact"/>
        <w:rPr>
          <w:sz w:val="20"/>
          <w:szCs w:val="20"/>
          <w:color w:val="auto"/>
        </w:rPr>
      </w:pPr>
    </w:p>
    <w:p>
      <w:pPr>
        <w:ind w:right="60" w:firstLine="8"/>
        <w:spacing w:after="0" w:line="243"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changes are effective and would be applicable to us for disclosures relating to any business combination occurring since the beginning of 2011. This update would have an impact on us only if we enter into any material business combinations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and is incorporated in this Item 8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2010.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9"/>
          <w:szCs w:val="19"/>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3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2010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assessment using those criteria, management concluded that the design and operation of our internal control over financial reporting are effective as of December 31, 2010.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2011 annual meeting of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2011 annual meeting of shareholders.</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2011 annual meeting of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2011 annual meeting of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2011 annual meeting of shareholders.</w:t>
      </w:r>
    </w:p>
    <w:p>
      <w:pPr>
        <w:spacing w:after="0" w:line="200" w:lineRule="exact"/>
        <w:rPr>
          <w:sz w:val="20"/>
          <w:szCs w:val="20"/>
          <w:color w:val="auto"/>
        </w:rPr>
      </w:pPr>
    </w:p>
    <w:p>
      <w:pPr>
        <w:spacing w:after="0" w:line="20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2" w:lineRule="exact"/>
        <w:rPr>
          <w:sz w:val="20"/>
          <w:szCs w:val="20"/>
          <w:color w:val="auto"/>
        </w:rPr>
      </w:pPr>
    </w:p>
    <w:p>
      <w:pPr>
        <w:ind w:left="360" w:right="60" w:hanging="352"/>
        <w:spacing w:after="0" w:line="262"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Financial Statements: Financial statements set forth under Part II, Item 8 of this Annual Report on Form 10-K are filed in a separate section of this Form 10-K. See "Index to Consolidated Financial Statements" on </w:t>
      </w:r>
      <w:hyperlink w:anchor="page34">
        <w:r>
          <w:rPr>
            <w:rFonts w:ascii="Arial" w:cs="Arial" w:eastAsia="Arial" w:hAnsi="Arial"/>
            <w:sz w:val="18"/>
            <w:szCs w:val="18"/>
            <w:u w:val="single" w:color="auto"/>
            <w:color w:val="0000EE"/>
          </w:rPr>
          <w:t>page F-1</w:t>
        </w:r>
      </w:hyperlink>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360" w:right="680" w:hanging="352"/>
        <w:spacing w:after="0" w:line="262"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5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5640" w:hanging="82"/>
        <w:spacing w:after="0"/>
        <w:tabs>
          <w:tab w:leader="none" w:pos="5640" w:val="left"/>
        </w:tabs>
        <w:numPr>
          <w:ilvl w:val="1"/>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 OF EXHIBITS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300"/>
              <w:spacing w:after="0"/>
              <w:rPr>
                <w:sz w:val="20"/>
                <w:szCs w:val="20"/>
                <w:color w:val="auto"/>
              </w:rPr>
            </w:pPr>
            <w:r>
              <w:rPr>
                <w:rFonts w:ascii="Arial" w:cs="Arial" w:eastAsia="Arial" w:hAnsi="Arial"/>
                <w:sz w:val="14"/>
                <w:szCs w:val="14"/>
                <w:b w:val="1"/>
                <w:bCs w:val="1"/>
                <w:color w:val="auto"/>
                <w:w w:val="92"/>
              </w:rPr>
              <w:t>Incorporated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100" w:type="dxa"/>
            <w:vAlign w:val="bottom"/>
            <w:gridSpan w:val="25"/>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Form</w:t>
            </w:r>
          </w:p>
        </w:tc>
        <w:tc>
          <w:tcPr>
            <w:tcW w:w="100" w:type="dxa"/>
            <w:vAlign w:val="bottom"/>
          </w:tcPr>
          <w:p>
            <w:pPr>
              <w:spacing w:after="0"/>
              <w:rPr>
                <w:sz w:val="9"/>
                <w:szCs w:val="9"/>
                <w:color w:val="auto"/>
              </w:rPr>
            </w:pPr>
          </w:p>
        </w:tc>
        <w:tc>
          <w:tcPr>
            <w:tcW w:w="1140" w:type="dxa"/>
            <w:vAlign w:val="bottom"/>
          </w:tcPr>
          <w:p>
            <w:pPr>
              <w:jc w:val="right"/>
              <w:ind w:right="85"/>
              <w:spacing w:after="0" w:line="108" w:lineRule="exact"/>
              <w:rPr>
                <w:sz w:val="20"/>
                <w:szCs w:val="20"/>
                <w:color w:val="auto"/>
              </w:rPr>
            </w:pPr>
            <w:r>
              <w:rPr>
                <w:rFonts w:ascii="Arial" w:cs="Arial" w:eastAsia="Arial" w:hAnsi="Arial"/>
                <w:sz w:val="12"/>
                <w:szCs w:val="12"/>
                <w:b w:val="1"/>
                <w:bCs w:val="1"/>
                <w:color w:val="auto"/>
              </w:rPr>
              <w:t>File Number</w:t>
            </w:r>
          </w:p>
        </w:tc>
        <w:tc>
          <w:tcPr>
            <w:tcW w:w="100" w:type="dxa"/>
            <w:vAlign w:val="bottom"/>
          </w:tcPr>
          <w:p>
            <w:pPr>
              <w:spacing w:after="0"/>
              <w:rPr>
                <w:sz w:val="9"/>
                <w:szCs w:val="9"/>
                <w:color w:val="auto"/>
              </w:rPr>
            </w:pPr>
          </w:p>
        </w:tc>
        <w:tc>
          <w:tcPr>
            <w:tcW w:w="720" w:type="dxa"/>
            <w:vAlign w:val="bottom"/>
            <w:gridSpan w:val="3"/>
          </w:tcPr>
          <w:p>
            <w:pPr>
              <w:ind w:left="80"/>
              <w:spacing w:after="0" w:line="108" w:lineRule="exact"/>
              <w:rPr>
                <w:sz w:val="20"/>
                <w:szCs w:val="20"/>
                <w:color w:val="auto"/>
              </w:rPr>
            </w:pPr>
            <w:r>
              <w:rPr>
                <w:rFonts w:ascii="Arial" w:cs="Arial" w:eastAsia="Arial" w:hAnsi="Arial"/>
                <w:sz w:val="12"/>
                <w:szCs w:val="12"/>
                <w:b w:val="1"/>
                <w:bCs w:val="1"/>
                <w:color w:val="auto"/>
              </w:rPr>
              <w:t>Exhibit</w:t>
            </w:r>
          </w:p>
        </w:tc>
        <w:tc>
          <w:tcPr>
            <w:tcW w:w="8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Filing Date</w:t>
            </w:r>
          </w:p>
        </w:tc>
        <w:tc>
          <w:tcPr>
            <w:tcW w:w="0" w:type="dxa"/>
            <w:vAlign w:val="bottom"/>
          </w:tcPr>
          <w:p>
            <w:pPr>
              <w:spacing w:after="0"/>
              <w:rPr>
                <w:sz w:val="1"/>
                <w:szCs w:val="1"/>
                <w:color w:val="auto"/>
              </w:rPr>
            </w:pPr>
          </w:p>
        </w:tc>
      </w:tr>
      <w:tr>
        <w:trPr>
          <w:trHeight w:val="123"/>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00" w:type="dxa"/>
            <w:vAlign w:val="bottom"/>
            <w:gridSpan w:val="25"/>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Herewith</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6340" w:type="dxa"/>
            <w:vAlign w:val="bottom"/>
            <w:tcBorders>
              <w:top w:val="single" w:sz="8" w:color="auto"/>
              <w:bottom w:val="single" w:sz="8" w:color="0000EE"/>
            </w:tcBorders>
            <w:gridSpan w:val="27"/>
          </w:tcPr>
          <w:p>
            <w:pPr>
              <w:spacing w:after="0" w:line="17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Agreement and Plan of Merger, dated as of November 3, 2009, by and among ClearOne</w:t>
              </w:r>
            </w:hyperlink>
          </w:p>
        </w:tc>
        <w:tc>
          <w:tcPr>
            <w:tcW w:w="160" w:type="dxa"/>
            <w:vAlign w:val="bottom"/>
            <w:tcBorders>
              <w:top w:val="single" w:sz="8" w:color="auto"/>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001-33660</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11/09/2009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Communications, Inc., Alta-Wasatch Acquisition Corporation, NetStreams, Inc., Austin</w:t>
              </w:r>
            </w:hyperlink>
          </w:p>
        </w:tc>
        <w:tc>
          <w:tcPr>
            <w:tcW w:w="1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Ventures VIII, L.P., and Kevin A. Reinis.</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6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Articles of Incorporation and amendments thereto</w:t>
              </w:r>
            </w:hyperlink>
          </w:p>
        </w:tc>
        <w:tc>
          <w:tcPr>
            <w:tcW w:w="2900" w:type="dxa"/>
            <w:vAlign w:val="bottom"/>
            <w:gridSpan w:val="19"/>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09/10/2008</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sz w:val="20"/>
                <w:szCs w:val="20"/>
                <w:color w:val="auto"/>
              </w:rPr>
            </w:pPr>
            <w:r>
              <w:rPr>
                <w:rFonts w:ascii="Arial" w:cs="Arial" w:eastAsia="Arial" w:hAnsi="Arial"/>
                <w:sz w:val="18"/>
                <w:szCs w:val="18"/>
                <w:color w:val="0000EE"/>
              </w:rPr>
              <w:t>Bylaws</w:t>
            </w: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59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Employment Separation Agreement between ClearOne Communications, Inc. and</w:t>
              </w:r>
            </w:hyperlink>
          </w:p>
        </w:tc>
        <w:tc>
          <w:tcPr>
            <w:tcW w:w="58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000-17219</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08/18/2005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Frances Flood, dated December 5, 2003</w:t>
              </w:r>
              <w:r>
                <w:rPr>
                  <w:rFonts w:ascii="Arial" w:cs="Arial" w:eastAsia="Arial" w:hAnsi="Arial"/>
                  <w:sz w:val="18"/>
                  <w:szCs w:val="18"/>
                  <w:color w:val="000000"/>
                </w:rPr>
                <w:t>*</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Employment Termination Agreement between ClearOne Communications, Inc. and Susie</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000-17219</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08/18/2005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Strohm, dated December 5, 2003</w:t>
              </w:r>
              <w:r>
                <w:rPr>
                  <w:rFonts w:ascii="Arial" w:cs="Arial" w:eastAsia="Arial" w:hAnsi="Arial"/>
                  <w:sz w:val="18"/>
                  <w:szCs w:val="18"/>
                  <w:color w:val="000000"/>
                </w:rPr>
                <w:t>*</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5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Joint Prosecution and Defense Agreement dated April 1, 2004 between ClearOne</w:t>
              </w:r>
            </w:hyperlink>
          </w:p>
        </w:tc>
        <w:tc>
          <w:tcPr>
            <w:tcW w:w="64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000-17219</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08/18/2005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Communications, Inc., Parsons Behle &amp; Latimer, Edward Dallin Bagley and Burbidge &amp;</w:t>
              </w:r>
            </w:hyperlink>
          </w:p>
        </w:tc>
        <w:tc>
          <w:tcPr>
            <w:tcW w:w="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Mitchell, and amendment thereto</w:t>
              </w:r>
            </w:hyperlink>
          </w:p>
        </w:tc>
        <w:tc>
          <w:tcPr>
            <w:tcW w:w="4100" w:type="dxa"/>
            <w:vAlign w:val="bottom"/>
            <w:gridSpan w:val="25"/>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1997 Employee Stock Purchase Plan</w:t>
              </w:r>
            </w:hyperlink>
          </w:p>
        </w:tc>
        <w:tc>
          <w:tcPr>
            <w:tcW w:w="3820" w:type="dxa"/>
            <w:vAlign w:val="bottom"/>
            <w:gridSpan w:val="23"/>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9"/>
              </w:rPr>
              <w:t>333-137859</w:t>
            </w:r>
          </w:p>
        </w:tc>
        <w:tc>
          <w:tcPr>
            <w:tcW w:w="6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10/06/2006</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1998 Stock Option Plan</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9"/>
              </w:rPr>
              <w:t>333-137859</w:t>
            </w:r>
          </w:p>
        </w:tc>
        <w:tc>
          <w:tcPr>
            <w:tcW w:w="6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10/06/2006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2007 Equity Incentive Plan</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5"/>
              </w:rPr>
              <w:t>S-8</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9"/>
              </w:rPr>
              <w:t>333-148789</w:t>
            </w:r>
          </w:p>
        </w:tc>
        <w:tc>
          <w:tcPr>
            <w:tcW w:w="6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01/22/2008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63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Office Lease between Edgewater Corporate Park, LLC and ClearOne Communications,</w:t>
              </w:r>
            </w:hyperlink>
          </w:p>
        </w:tc>
        <w:tc>
          <w:tcPr>
            <w:tcW w:w="1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000-17219</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09/14/2006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Inc. dated June 5, 2006</w:t>
              </w:r>
            </w:hyperlink>
          </w:p>
        </w:tc>
        <w:tc>
          <w:tcPr>
            <w:tcW w:w="4780" w:type="dxa"/>
            <w:vAlign w:val="bottom"/>
            <w:gridSpan w:val="29"/>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62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Compromise Agreement between ClearOne Communications UK Limited and Martin</w:t>
              </w:r>
            </w:hyperlink>
          </w:p>
        </w:tc>
        <w:tc>
          <w:tcPr>
            <w:tcW w:w="30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11/13/2007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Offwood dated August 13, 2007</w:t>
              </w:r>
              <w:r>
                <w:rPr>
                  <w:rFonts w:ascii="Arial" w:cs="Arial" w:eastAsia="Arial" w:hAnsi="Arial"/>
                  <w:sz w:val="18"/>
                  <w:szCs w:val="18"/>
                  <w:color w:val="000000"/>
                </w:rPr>
                <w:t>*</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Consulting Agreement between Edward D. Bagley and ClearOne Communications, Inc.</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09/17/2007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dated July 6, 2007</w:t>
              </w:r>
            </w:hyperlink>
          </w:p>
        </w:tc>
        <w:tc>
          <w:tcPr>
            <w:tcW w:w="5000" w:type="dxa"/>
            <w:vAlign w:val="bottom"/>
            <w:tcBorders>
              <w:top w:val="single" w:sz="8" w:color="0000EE"/>
            </w:tcBorders>
            <w:gridSpan w:val="25"/>
          </w:tcPr>
          <w:p>
            <w:pPr>
              <w:spacing w:after="0"/>
              <w:rPr>
                <w:sz w:val="17"/>
                <w:szCs w:val="17"/>
                <w:color w:val="auto"/>
              </w:rPr>
            </w:pPr>
          </w:p>
        </w:tc>
        <w:tc>
          <w:tcPr>
            <w:tcW w:w="1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7"/>
                <w:szCs w:val="17"/>
                <w:color w:val="auto"/>
              </w:rPr>
            </w:pPr>
          </w:p>
        </w:tc>
        <w:tc>
          <w:tcPr>
            <w:tcW w:w="6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Severance Agreement between ClearOne Communications, Inc. and Edward D. Bagley</w:t>
              </w:r>
            </w:hyperlink>
          </w:p>
        </w:tc>
        <w:tc>
          <w:tcPr>
            <w:tcW w:w="2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09/17/2007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dated July 6, 2007</w:t>
              </w:r>
              <w:r>
                <w:rPr>
                  <w:rFonts w:ascii="Arial" w:cs="Arial" w:eastAsia="Arial" w:hAnsi="Arial"/>
                  <w:sz w:val="18"/>
                  <w:szCs w:val="18"/>
                  <w:color w:val="000000"/>
                </w:rPr>
                <w:t>*</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w w:val="95"/>
              </w:rPr>
            </w:pPr>
            <w:hyperlink r:id="rId57">
              <w:r>
                <w:rPr>
                  <w:rFonts w:ascii="Arial" w:cs="Arial" w:eastAsia="Arial" w:hAnsi="Arial"/>
                  <w:sz w:val="18"/>
                  <w:szCs w:val="18"/>
                  <w:color w:val="0000EE"/>
                  <w:w w:val="95"/>
                </w:rPr>
                <w:t>Margin Loan Agreement between ClearOne Communications, Inc. and UBS Financial</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09/11/2008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Services, Inc. dated September 10, 2008</w:t>
              </w:r>
            </w:hyperlink>
          </w:p>
        </w:tc>
        <w:tc>
          <w:tcPr>
            <w:tcW w:w="28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7"/>
                <w:szCs w:val="17"/>
                <w:color w:val="auto"/>
              </w:rPr>
            </w:pPr>
          </w:p>
        </w:tc>
        <w:tc>
          <w:tcPr>
            <w:tcW w:w="62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Manufacturing Services Agreement between Flextronics Industrial, Ltd. and ClearOne</w:t>
              </w:r>
            </w:hyperlink>
          </w:p>
        </w:tc>
        <w:tc>
          <w:tcPr>
            <w:tcW w:w="2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10/13/2009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Communications, Inc. dated November 3, 2008</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Settlement and Release Agreement between ClearOne Communications, Inc. and Edward</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10/13/2009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Dallin Bagley dated October 7, 2009</w:t>
              </w:r>
            </w:hyperlink>
          </w:p>
        </w:tc>
        <w:tc>
          <w:tcPr>
            <w:tcW w:w="3840" w:type="dxa"/>
            <w:vAlign w:val="bottom"/>
            <w:gridSpan w:val="24"/>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Joinder to Loan and Security Agreement, dated as of November 3, 2009, by and between</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11/09/2009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ClearOne Communications, Inc. and Square 1 Bank.</w:t>
              </w:r>
            </w:hyperlink>
          </w:p>
        </w:tc>
        <w:tc>
          <w:tcPr>
            <w:tcW w:w="2600" w:type="dxa"/>
            <w:vAlign w:val="bottom"/>
            <w:tcBorders>
              <w:top w:val="single" w:sz="8" w:color="0000EE"/>
            </w:tcBorders>
            <w:gridSpan w:val="12"/>
          </w:tcPr>
          <w:p>
            <w:pPr>
              <w:spacing w:after="0"/>
              <w:rPr>
                <w:sz w:val="17"/>
                <w:szCs w:val="17"/>
                <w:color w:val="auto"/>
              </w:rPr>
            </w:pPr>
          </w:p>
        </w:tc>
        <w:tc>
          <w:tcPr>
            <w:tcW w:w="1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Seventh Amendment to Loan and Security Agreement, dated as of November 3, 2009, by</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0"/>
              </w:rPr>
              <w:t>001-33660</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11/09/2009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and between Square 1 Bank, ClearOne Communications, Inc., NetStreams Inc., and</w:t>
              </w:r>
            </w:hyperlink>
          </w:p>
        </w:tc>
        <w:tc>
          <w:tcPr>
            <w:tcW w:w="400" w:type="dxa"/>
            <w:vAlign w:val="bottom"/>
            <w:tcBorders>
              <w:top w:val="single" w:sz="8" w:color="0000EE"/>
            </w:tcBorders>
            <w:gridSpan w:val="9"/>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NetStreams, LLC.</w:t>
              </w:r>
            </w:hyperlink>
          </w:p>
        </w:tc>
        <w:tc>
          <w:tcPr>
            <w:tcW w:w="5160" w:type="dxa"/>
            <w:vAlign w:val="bottom"/>
            <w:gridSpan w:val="30"/>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Code of Ethics, approved by the Board of Directors on August 23, 2006</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right"/>
              <w:ind w:right="125"/>
              <w:spacing w:after="0" w:line="196" w:lineRule="exact"/>
              <w:rPr>
                <w:sz w:val="20"/>
                <w:szCs w:val="20"/>
                <w:color w:val="auto"/>
              </w:rPr>
            </w:pPr>
            <w:r>
              <w:rPr>
                <w:rFonts w:ascii="Arial" w:cs="Arial" w:eastAsia="Arial" w:hAnsi="Arial"/>
                <w:sz w:val="18"/>
                <w:szCs w:val="18"/>
                <w:color w:val="auto"/>
              </w:rPr>
              <w:t>000-17219</w:t>
            </w:r>
          </w:p>
        </w:tc>
        <w:tc>
          <w:tcPr>
            <w:tcW w:w="68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14.1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0"/>
              </w:rPr>
              <w:t>09/14/2006</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51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Subsidiaries of the registrant</w:t>
            </w:r>
          </w:p>
        </w:tc>
        <w:tc>
          <w:tcPr>
            <w:tcW w:w="132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7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sz w:val="20"/>
                <w:szCs w:val="20"/>
                <w:color w:val="auto"/>
              </w:rPr>
            </w:pPr>
            <w:r>
              <w:rPr>
                <w:rFonts w:ascii="Arial" w:cs="Arial" w:eastAsia="Arial" w:hAnsi="Arial"/>
                <w:sz w:val="18"/>
                <w:szCs w:val="18"/>
                <w:color w:val="0000EE"/>
              </w:rPr>
              <w:t>Consent of Jones Simkins P.C., Independent Registered Public Accounting Firm</w:t>
            </w: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Section 302 Certification of Chief Executive Officer</w:t>
            </w:r>
          </w:p>
        </w:tc>
        <w:tc>
          <w:tcPr>
            <w:tcW w:w="2000" w:type="dxa"/>
            <w:vAlign w:val="bottom"/>
            <w:tcBorders>
              <w:top w:val="single" w:sz="8" w:color="0000EE"/>
            </w:tcBorders>
            <w:gridSpan w:val="3"/>
          </w:tcPr>
          <w:p>
            <w:pPr>
              <w:spacing w:after="0"/>
              <w:rPr>
                <w:sz w:val="17"/>
                <w:szCs w:val="17"/>
                <w:color w:val="auto"/>
              </w:rPr>
            </w:pPr>
          </w:p>
        </w:tc>
        <w:tc>
          <w:tcPr>
            <w:tcW w:w="72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sz w:val="20"/>
                <w:szCs w:val="20"/>
                <w:color w:val="auto"/>
              </w:rPr>
            </w:pPr>
            <w:r>
              <w:rPr>
                <w:rFonts w:ascii="Arial" w:cs="Arial" w:eastAsia="Arial" w:hAnsi="Arial"/>
                <w:sz w:val="18"/>
                <w:szCs w:val="18"/>
                <w:color w:val="0000EE"/>
              </w:rPr>
              <w:t>Section 302 Certification of Chief Financial Officer</w:t>
            </w: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14"/>
            <w:shd w:val="clear" w:color="auto" w:fill="0000EE"/>
          </w:tcPr>
          <w:p>
            <w:pPr>
              <w:spacing w:after="0" w:line="20" w:lineRule="exact"/>
              <w:rPr>
                <w:sz w:val="1"/>
                <w:szCs w:val="1"/>
                <w:color w:val="auto"/>
              </w:rPr>
            </w:pPr>
          </w:p>
        </w:tc>
        <w:tc>
          <w:tcPr>
            <w:tcW w:w="2780" w:type="dxa"/>
            <w:vAlign w:val="bottom"/>
            <w:gridSpan w:val="1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37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Section 906 Certification of Chief Executive Officer</w:t>
            </w:r>
          </w:p>
        </w:tc>
        <w:tc>
          <w:tcPr>
            <w:tcW w:w="272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6500" w:type="dxa"/>
            <w:vAlign w:val="bottom"/>
            <w:gridSpan w:val="32"/>
          </w:tcPr>
          <w:p>
            <w:pPr>
              <w:spacing w:after="0" w:line="196" w:lineRule="exact"/>
              <w:rPr>
                <w:sz w:val="20"/>
                <w:szCs w:val="20"/>
                <w:color w:val="auto"/>
              </w:rPr>
            </w:pPr>
            <w:r>
              <w:rPr>
                <w:rFonts w:ascii="Arial" w:cs="Arial" w:eastAsia="Arial" w:hAnsi="Arial"/>
                <w:sz w:val="18"/>
                <w:szCs w:val="18"/>
                <w:color w:val="0000EE"/>
              </w:rPr>
              <w:t>Section 906 Certification of Chief Financial Officer</w:t>
            </w:r>
          </w:p>
        </w:tc>
        <w:tc>
          <w:tcPr>
            <w:tcW w:w="100" w:type="dxa"/>
            <w:vAlign w:val="bottom"/>
          </w:tcPr>
          <w:p>
            <w:pPr>
              <w:spacing w:after="0"/>
              <w:rPr>
                <w:sz w:val="17"/>
                <w:szCs w:val="17"/>
                <w:color w:val="auto"/>
              </w:rPr>
            </w:pPr>
          </w:p>
        </w:tc>
        <w:tc>
          <w:tcPr>
            <w:tcW w:w="8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rPr>
              <w:t>X</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gridSpan w:val="3"/>
          </w:tcPr>
          <w:p>
            <w:pPr>
              <w:spacing w:after="0" w:line="195" w:lineRule="exact"/>
              <w:rPr>
                <w:sz w:val="20"/>
                <w:szCs w:val="20"/>
                <w:color w:val="auto"/>
              </w:rPr>
            </w:pPr>
            <w:r>
              <w:rPr>
                <w:rFonts w:ascii="Arial" w:cs="Arial" w:eastAsia="Arial" w:hAnsi="Arial"/>
                <w:sz w:val="18"/>
                <w:szCs w:val="18"/>
                <w:color w:val="auto"/>
                <w:w w:val="99"/>
              </w:rPr>
              <w:t>____________</w:t>
            </w: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80" w:type="dxa"/>
            <w:vAlign w:val="bottom"/>
            <w:gridSpan w:val="34"/>
          </w:tcPr>
          <w:p>
            <w:pPr>
              <w:spacing w:after="0"/>
              <w:rPr>
                <w:sz w:val="20"/>
                <w:szCs w:val="20"/>
                <w:color w:val="auto"/>
              </w:rPr>
            </w:pPr>
            <w:r>
              <w:rPr>
                <w:rFonts w:ascii="Arial" w:cs="Arial" w:eastAsia="Arial" w:hAnsi="Arial"/>
                <w:sz w:val="18"/>
                <w:szCs w:val="18"/>
                <w:color w:val="auto"/>
              </w:rPr>
              <w:t>*Constitutes a management contract or compensatory plan or arrangement.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5880" w:type="dxa"/>
            <w:vAlign w:val="bottom"/>
            <w:gridSpan w:val="19"/>
          </w:tcPr>
          <w:p>
            <w:pPr>
              <w:jc w:val="right"/>
              <w:ind w:right="600"/>
              <w:spacing w:after="0"/>
              <w:rPr>
                <w:sz w:val="20"/>
                <w:szCs w:val="20"/>
                <w:color w:val="auto"/>
              </w:rPr>
            </w:pPr>
            <w:r>
              <w:rPr>
                <w:rFonts w:ascii="Arial" w:cs="Arial" w:eastAsia="Arial" w:hAnsi="Arial"/>
                <w:sz w:val="14"/>
                <w:szCs w:val="14"/>
                <w:b w:val="1"/>
                <w:bCs w:val="1"/>
                <w:color w:val="auto"/>
              </w:rPr>
              <w:t>- 30 -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w:t>
      </w:r>
      <w:r>
        <w:rPr>
          <w:rFonts w:ascii="Arial" w:cs="Arial" w:eastAsia="Arial" w:hAnsi="Arial"/>
          <w:sz w:val="12"/>
          <w:szCs w:val="12"/>
          <w:i w:val="1"/>
          <w:iCs w:val="1"/>
          <w:color w:val="auto"/>
        </w:rPr>
        <w:t>EYNEP</w:t>
      </w:r>
      <w:r>
        <w:rPr>
          <w:rFonts w:ascii="Arial" w:cs="Arial" w:eastAsia="Arial" w:hAnsi="Arial"/>
          <w:sz w:val="18"/>
          <w:szCs w:val="18"/>
          <w:color w:val="auto"/>
        </w:rPr>
        <w:t xml:space="preserve"> </w:t>
      </w:r>
      <w:r>
        <w:rPr>
          <w:rFonts w:ascii="Arial" w:cs="Arial" w:eastAsia="Arial" w:hAnsi="Arial"/>
          <w:sz w:val="18"/>
          <w:szCs w:val="18"/>
          <w:i w:val="1"/>
          <w:iCs w:val="1"/>
          <w:color w:val="auto"/>
        </w:rPr>
        <w:t>H</w:t>
      </w:r>
      <w:r>
        <w:rPr>
          <w:rFonts w:ascii="Arial" w:cs="Arial" w:eastAsia="Arial" w:hAnsi="Arial"/>
          <w:sz w:val="12"/>
          <w:szCs w:val="12"/>
          <w:i w:val="1"/>
          <w:iCs w:val="1"/>
          <w:color w:val="auto"/>
        </w:rPr>
        <w:t>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789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(Principal Executive Officer), and</w:t>
      </w:r>
    </w:p>
    <w:p>
      <w:pPr>
        <w:spacing w:after="0" w:line="234" w:lineRule="auto"/>
        <w:rPr>
          <w:sz w:val="20"/>
          <w:szCs w:val="20"/>
          <w:color w:val="auto"/>
        </w:rPr>
      </w:pPr>
      <w:r>
        <w:rPr>
          <w:rFonts w:ascii="Arial" w:cs="Arial" w:eastAsia="Arial" w:hAnsi="Arial"/>
          <w:sz w:val="18"/>
          <w:szCs w:val="18"/>
          <w:color w:val="auto"/>
        </w:rPr>
        <w:t>Chairman of the Board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3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118" w:right="479" w:bottom="1440" w:gutter="0" w:footer="0" w:header="0"/>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w:t>
      </w:r>
      <w:r>
        <w:rPr>
          <w:rFonts w:ascii="Arial" w:cs="Arial" w:eastAsia="Arial" w:hAnsi="Arial"/>
          <w:sz w:val="12"/>
          <w:szCs w:val="12"/>
          <w:i w:val="1"/>
          <w:iCs w:val="1"/>
          <w:color w:val="auto"/>
        </w:rPr>
        <w:t>EYNEP</w:t>
      </w:r>
      <w:r>
        <w:rPr>
          <w:rFonts w:ascii="Arial" w:cs="Arial" w:eastAsia="Arial" w:hAnsi="Arial"/>
          <w:sz w:val="18"/>
          <w:szCs w:val="18"/>
          <w:color w:val="auto"/>
        </w:rPr>
        <w:t xml:space="preserve"> </w:t>
      </w:r>
      <w:r>
        <w:rPr>
          <w:rFonts w:ascii="Arial" w:cs="Arial" w:eastAsia="Arial" w:hAnsi="Arial"/>
          <w:sz w:val="18"/>
          <w:szCs w:val="18"/>
          <w:i w:val="1"/>
          <w:iCs w:val="1"/>
          <w:color w:val="auto"/>
        </w:rPr>
        <w:t>H</w:t>
      </w:r>
      <w:r>
        <w:rPr>
          <w:rFonts w:ascii="Arial" w:cs="Arial" w:eastAsia="Arial" w:hAnsi="Arial"/>
          <w:sz w:val="12"/>
          <w:szCs w:val="12"/>
          <w:i w:val="1"/>
          <w:iCs w:val="1"/>
          <w:color w:val="auto"/>
        </w:rPr>
        <w:t>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878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(Principal Executive Officer), and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rPr>
          <w:sz w:val="20"/>
          <w:szCs w:val="20"/>
          <w:color w:val="auto"/>
        </w:rPr>
      </w:pPr>
      <w:r>
        <w:rPr>
          <w:rFonts w:ascii="Arial" w:cs="Arial" w:eastAsia="Arial" w:hAnsi="Arial"/>
          <w:sz w:val="18"/>
          <w:szCs w:val="18"/>
          <w:color w:val="auto"/>
        </w:rPr>
        <w:t>March 30, 2011</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 B</w:t>
      </w:r>
      <w:r>
        <w:rPr>
          <w:rFonts w:ascii="Arial" w:cs="Arial" w:eastAsia="Arial" w:hAnsi="Arial"/>
          <w:sz w:val="12"/>
          <w:szCs w:val="12"/>
          <w:i w:val="1"/>
          <w:iCs w:val="1"/>
          <w:color w:val="auto"/>
        </w:rPr>
        <w:t>RYAN</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2"/>
          <w:szCs w:val="12"/>
          <w:i w:val="1"/>
          <w:iCs w:val="1"/>
          <w:color w:val="auto"/>
        </w:rPr>
        <w:t>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878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E.Bryan Bagley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w:t>
      </w:r>
      <w:r>
        <w:rPr>
          <w:rFonts w:ascii="Arial" w:cs="Arial" w:eastAsia="Arial" w:hAnsi="Arial"/>
          <w:sz w:val="12"/>
          <w:szCs w:val="12"/>
          <w:i w:val="1"/>
          <w:iCs w:val="1"/>
          <w:color w:val="auto"/>
        </w:rPr>
        <w:t>ARRY</w:t>
      </w:r>
      <w:r>
        <w:rPr>
          <w:rFonts w:ascii="Arial" w:cs="Arial" w:eastAsia="Arial" w:hAnsi="Arial"/>
          <w:sz w:val="18"/>
          <w:szCs w:val="18"/>
          <w:color w:val="auto"/>
        </w:rPr>
        <w:t xml:space="preserve"> </w:t>
      </w:r>
      <w:r>
        <w:rPr>
          <w:rFonts w:ascii="Arial" w:cs="Arial" w:eastAsia="Arial" w:hAnsi="Arial"/>
          <w:sz w:val="18"/>
          <w:szCs w:val="18"/>
          <w:i w:val="1"/>
          <w:iCs w:val="1"/>
          <w:color w:val="auto"/>
        </w:rPr>
        <w:t>R. H</w:t>
      </w:r>
      <w:r>
        <w:rPr>
          <w:rFonts w:ascii="Arial" w:cs="Arial" w:eastAsia="Arial" w:hAnsi="Arial"/>
          <w:sz w:val="12"/>
          <w:szCs w:val="12"/>
          <w:i w:val="1"/>
          <w:iCs w:val="1"/>
          <w:color w:val="auto"/>
        </w:rPr>
        <w:t>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9878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2"/>
          <w:szCs w:val="12"/>
          <w:i w:val="1"/>
          <w:iCs w:val="1"/>
          <w:color w:val="auto"/>
        </w:rPr>
        <w:t>S</w:t>
      </w:r>
      <w:r>
        <w:rPr>
          <w:rFonts w:ascii="Arial" w:cs="Arial" w:eastAsia="Arial" w:hAnsi="Arial"/>
          <w:sz w:val="18"/>
          <w:szCs w:val="18"/>
          <w:i w:val="1"/>
          <w:iCs w:val="1"/>
          <w:color w:val="auto"/>
        </w:rPr>
        <w:t>/ N</w:t>
      </w:r>
      <w:r>
        <w:rPr>
          <w:rFonts w:ascii="Arial" w:cs="Arial" w:eastAsia="Arial" w:hAnsi="Arial"/>
          <w:sz w:val="12"/>
          <w:szCs w:val="12"/>
          <w:i w:val="1"/>
          <w:iCs w:val="1"/>
          <w:color w:val="auto"/>
        </w:rPr>
        <w:t>ARSI</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359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Finance (Principal Financial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w:t>
      </w:r>
      <w:r>
        <w:rPr>
          <w:rFonts w:ascii="Arial" w:cs="Arial" w:eastAsia="Arial" w:hAnsi="Arial"/>
          <w:sz w:val="12"/>
          <w:szCs w:val="12"/>
          <w:i w:val="1"/>
          <w:iCs w:val="1"/>
          <w:color w:val="auto"/>
        </w:rPr>
        <w:t>RAD</w:t>
      </w:r>
      <w:r>
        <w:rPr>
          <w:rFonts w:ascii="Arial" w:cs="Arial" w:eastAsia="Arial" w:hAnsi="Arial"/>
          <w:sz w:val="18"/>
          <w:szCs w:val="18"/>
          <w:color w:val="auto"/>
        </w:rPr>
        <w:t xml:space="preserve"> </w:t>
      </w:r>
      <w:r>
        <w:rPr>
          <w:rFonts w:ascii="Arial" w:cs="Arial" w:eastAsia="Arial" w:hAnsi="Arial"/>
          <w:sz w:val="18"/>
          <w:szCs w:val="18"/>
          <w:i w:val="1"/>
          <w:iCs w:val="1"/>
          <w:color w:val="auto"/>
        </w:rPr>
        <w:t>R. B</w:t>
      </w:r>
      <w:r>
        <w:rPr>
          <w:rFonts w:ascii="Arial" w:cs="Arial" w:eastAsia="Arial" w:hAnsi="Arial"/>
          <w:sz w:val="12"/>
          <w:szCs w:val="12"/>
          <w:i w:val="1"/>
          <w:iCs w:val="1"/>
          <w:color w:val="auto"/>
        </w:rPr>
        <w:t>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359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R. Baldwin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w:t>
      </w:r>
      <w:r>
        <w:rPr>
          <w:rFonts w:ascii="Arial" w:cs="Arial" w:eastAsia="Arial" w:hAnsi="Arial"/>
          <w:sz w:val="12"/>
          <w:szCs w:val="12"/>
          <w:i w:val="1"/>
          <w:iCs w:val="1"/>
          <w:color w:val="auto"/>
        </w:rPr>
        <w:t>COTT</w:t>
      </w:r>
      <w:r>
        <w:rPr>
          <w:rFonts w:ascii="Arial" w:cs="Arial" w:eastAsia="Arial" w:hAnsi="Arial"/>
          <w:sz w:val="18"/>
          <w:szCs w:val="18"/>
          <w:color w:val="auto"/>
        </w:rPr>
        <w:t xml:space="preserve"> </w:t>
      </w:r>
      <w:r>
        <w:rPr>
          <w:rFonts w:ascii="Arial" w:cs="Arial" w:eastAsia="Arial" w:hAnsi="Arial"/>
          <w:sz w:val="18"/>
          <w:szCs w:val="18"/>
          <w:i w:val="1"/>
          <w:iCs w:val="1"/>
          <w:color w:val="auto"/>
        </w:rPr>
        <w:t>M. H</w:t>
      </w:r>
      <w:r>
        <w:rPr>
          <w:rFonts w:ascii="Arial" w:cs="Arial" w:eastAsia="Arial" w:hAnsi="Arial"/>
          <w:sz w:val="12"/>
          <w:szCs w:val="12"/>
          <w:i w:val="1"/>
          <w:iCs w:val="1"/>
          <w:color w:val="auto"/>
        </w:rPr>
        <w:t>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359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M. Huntsman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202" w:lineRule="exact"/>
        <w:rPr>
          <w:sz w:val="20"/>
          <w:szCs w:val="20"/>
          <w:color w:val="auto"/>
        </w:rPr>
      </w:pPr>
    </w:p>
    <w:p>
      <w:pPr>
        <w:sectPr>
          <w:pgSz w:w="11900" w:h="16838" w:orient="portrait"/>
          <w:cols w:equalWidth="0" w:num="2">
            <w:col w:w="5920" w:space="720"/>
            <w:col w:w="4540"/>
          </w:cols>
          <w:pgMar w:left="240" w:top="118" w:right="47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type w:val="continuous"/>
        </w:sectPr>
      </w:pPr>
    </w:p>
    <w:bookmarkStart w:id="33" w:name="page34"/>
    <w:bookmarkEnd w:id="33"/>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40" w:type="dxa"/>
            <w:vAlign w:val="bottom"/>
            <w:gridSpan w:val="8"/>
          </w:tcPr>
          <w:p>
            <w:pPr>
              <w:jc w:val="center"/>
              <w:ind w:right="234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40" w:type="dxa"/>
            <w:vAlign w:val="bottom"/>
            <w:gridSpan w:val="8"/>
          </w:tcPr>
          <w:p>
            <w:pPr>
              <w:jc w:val="center"/>
              <w:ind w:right="232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4"/>
            <w:shd w:val="clear" w:color="auto" w:fill="FFC080"/>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 – Jones Simkins, P.C.</w:t>
              </w:r>
            </w:hyperlink>
          </w:p>
        </w:tc>
        <w:tc>
          <w:tcPr>
            <w:tcW w:w="820" w:type="dxa"/>
            <w:vAlign w:val="bottom"/>
            <w:shd w:val="clear" w:color="auto" w:fill="FFC080"/>
          </w:tcPr>
          <w:p>
            <w:pPr>
              <w:jc w:val="center"/>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Borders>
              <w:top w:val="single" w:sz="8" w:color="0000EE"/>
            </w:tcBorders>
            <w:gridSpan w:val="9"/>
          </w:tcPr>
          <w:p>
            <w:pPr>
              <w:spacing w:after="0" w:line="17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Consolidated Balance Sheets as of December 31, 2010 and December 31, 2009</w:t>
              </w:r>
            </w:hyperlink>
          </w:p>
        </w:tc>
        <w:tc>
          <w:tcPr>
            <w:tcW w:w="4780" w:type="dxa"/>
            <w:vAlign w:val="bottom"/>
            <w:tcBorders>
              <w:top w:val="single" w:sz="8" w:color="FFC080"/>
            </w:tcBorders>
            <w:gridSpan w:val="5"/>
          </w:tcPr>
          <w:p>
            <w:pPr>
              <w:spacing w:after="0"/>
              <w:rPr>
                <w:sz w:val="15"/>
                <w:szCs w:val="15"/>
                <w:color w:val="auto"/>
              </w:rPr>
            </w:pPr>
          </w:p>
        </w:tc>
        <w:tc>
          <w:tcPr>
            <w:tcW w:w="820" w:type="dxa"/>
            <w:vAlign w:val="bottom"/>
            <w:tcBorders>
              <w:top w:val="single" w:sz="8" w:color="FFC080"/>
            </w:tcBorders>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4"/>
            <w:shd w:val="clear" w:color="auto" w:fill="FFC080"/>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Statements of Operations and Comprehensive Income for the year ended December 31, 2010, six months ended December 31, 2009</w:t>
              </w:r>
            </w:hyperlink>
          </w:p>
        </w:tc>
        <w:tc>
          <w:tcPr>
            <w:tcW w:w="820" w:type="dxa"/>
            <w:vAlign w:val="bottom"/>
            <w:shd w:val="clear" w:color="auto" w:fill="FFC080"/>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shd w:val="clear" w:color="auto" w:fill="FFC080"/>
          </w:tcPr>
          <w:p>
            <w:pPr>
              <w:spacing w:after="0"/>
              <w:rPr>
                <w:sz w:val="17"/>
                <w:szCs w:val="17"/>
                <w:color w:val="auto"/>
              </w:rPr>
            </w:pPr>
          </w:p>
        </w:tc>
        <w:tc>
          <w:tcPr>
            <w:tcW w:w="10320" w:type="dxa"/>
            <w:vAlign w:val="bottom"/>
            <w:tcBorders>
              <w:top w:val="single" w:sz="8" w:color="0000EE"/>
            </w:tcBorders>
            <w:gridSpan w:val="12"/>
            <w:shd w:val="clear" w:color="auto" w:fill="FFC08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and fiscal year ended June 30, 2009</w:t>
              </w:r>
            </w:hyperlink>
          </w:p>
        </w:tc>
        <w:tc>
          <w:tcPr>
            <w:tcW w:w="100" w:type="dxa"/>
            <w:vAlign w:val="bottom"/>
            <w:tcBorders>
              <w:top w:val="single" w:sz="8" w:color="FFC080"/>
            </w:tcBorders>
            <w:shd w:val="clear" w:color="auto" w:fill="FFC080"/>
          </w:tcPr>
          <w:p>
            <w:pPr>
              <w:spacing w:after="0"/>
              <w:rPr>
                <w:sz w:val="17"/>
                <w:szCs w:val="17"/>
                <w:color w:val="auto"/>
              </w:rPr>
            </w:pPr>
          </w:p>
        </w:tc>
        <w:tc>
          <w:tcPr>
            <w:tcW w:w="820" w:type="dxa"/>
            <w:vAlign w:val="bottom"/>
            <w:tcBorders>
              <w:top w:val="single" w:sz="8" w:color="FFC080"/>
            </w:tcBorders>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FFC080"/>
            </w:tcBorders>
            <w:shd w:val="clear" w:color="auto" w:fill="FFC080"/>
          </w:tcPr>
          <w:p>
            <w:pPr>
              <w:spacing w:after="0" w:line="20" w:lineRule="exact"/>
              <w:rPr>
                <w:sz w:val="1"/>
                <w:szCs w:val="1"/>
                <w:color w:val="auto"/>
              </w:rPr>
            </w:pPr>
          </w:p>
        </w:tc>
        <w:tc>
          <w:tcPr>
            <w:tcW w:w="620" w:type="dxa"/>
            <w:vAlign w:val="bottom"/>
            <w:tcBorders>
              <w:top w:val="single" w:sz="8" w:color="0000EE"/>
            </w:tcBorders>
            <w:shd w:val="clear" w:color="auto" w:fill="FFC080"/>
          </w:tcPr>
          <w:p>
            <w:pPr>
              <w:spacing w:after="0" w:line="20" w:lineRule="exact"/>
              <w:rPr>
                <w:sz w:val="1"/>
                <w:szCs w:val="1"/>
                <w:color w:val="auto"/>
              </w:rPr>
            </w:pPr>
          </w:p>
        </w:tc>
        <w:tc>
          <w:tcPr>
            <w:tcW w:w="300" w:type="dxa"/>
            <w:vAlign w:val="bottom"/>
            <w:tcBorders>
              <w:top w:val="single" w:sz="8" w:color="0000EE"/>
            </w:tcBorders>
            <w:shd w:val="clear" w:color="auto" w:fill="FFC080"/>
          </w:tcPr>
          <w:p>
            <w:pPr>
              <w:spacing w:after="0" w:line="20" w:lineRule="exact"/>
              <w:rPr>
                <w:sz w:val="1"/>
                <w:szCs w:val="1"/>
                <w:color w:val="auto"/>
              </w:rPr>
            </w:pPr>
          </w:p>
        </w:tc>
        <w:tc>
          <w:tcPr>
            <w:tcW w:w="540" w:type="dxa"/>
            <w:vAlign w:val="bottom"/>
            <w:tcBorders>
              <w:top w:val="single" w:sz="8" w:color="0000EE"/>
            </w:tcBorders>
            <w:shd w:val="clear" w:color="auto" w:fill="FFC080"/>
          </w:tcPr>
          <w:p>
            <w:pPr>
              <w:spacing w:after="0" w:line="20" w:lineRule="exact"/>
              <w:rPr>
                <w:sz w:val="1"/>
                <w:szCs w:val="1"/>
                <w:color w:val="auto"/>
              </w:rPr>
            </w:pPr>
          </w:p>
        </w:tc>
        <w:tc>
          <w:tcPr>
            <w:tcW w:w="1100" w:type="dxa"/>
            <w:vAlign w:val="bottom"/>
            <w:tcBorders>
              <w:top w:val="single" w:sz="8" w:color="0000EE"/>
            </w:tcBorders>
            <w:shd w:val="clear" w:color="auto" w:fill="FFC080"/>
          </w:tcPr>
          <w:p>
            <w:pPr>
              <w:spacing w:after="0" w:line="20" w:lineRule="exact"/>
              <w:rPr>
                <w:sz w:val="1"/>
                <w:szCs w:val="1"/>
                <w:color w:val="auto"/>
              </w:rPr>
            </w:pPr>
          </w:p>
        </w:tc>
        <w:tc>
          <w:tcPr>
            <w:tcW w:w="420" w:type="dxa"/>
            <w:vAlign w:val="bottom"/>
            <w:tcBorders>
              <w:top w:val="single" w:sz="8" w:color="FFC080"/>
            </w:tcBorders>
            <w:shd w:val="clear" w:color="auto" w:fill="FFC080"/>
          </w:tcPr>
          <w:p>
            <w:pPr>
              <w:spacing w:after="0" w:line="20" w:lineRule="exact"/>
              <w:rPr>
                <w:sz w:val="1"/>
                <w:szCs w:val="1"/>
                <w:color w:val="auto"/>
              </w:rPr>
            </w:pPr>
          </w:p>
        </w:tc>
        <w:tc>
          <w:tcPr>
            <w:tcW w:w="220" w:type="dxa"/>
            <w:vAlign w:val="bottom"/>
            <w:tcBorders>
              <w:top w:val="single" w:sz="8" w:color="FFC080"/>
            </w:tcBorders>
            <w:shd w:val="clear" w:color="auto" w:fill="FFC080"/>
          </w:tcPr>
          <w:p>
            <w:pPr>
              <w:spacing w:after="0" w:line="20" w:lineRule="exact"/>
              <w:rPr>
                <w:sz w:val="1"/>
                <w:szCs w:val="1"/>
                <w:color w:val="auto"/>
              </w:rPr>
            </w:pPr>
          </w:p>
        </w:tc>
        <w:tc>
          <w:tcPr>
            <w:tcW w:w="234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2240" w:type="dxa"/>
            <w:vAlign w:val="bottom"/>
            <w:tcBorders>
              <w:top w:val="single" w:sz="8" w:color="FFC080"/>
            </w:tcBorders>
            <w:shd w:val="clear" w:color="auto" w:fill="FFC080"/>
          </w:tcPr>
          <w:p>
            <w:pPr>
              <w:spacing w:after="0" w:line="20" w:lineRule="exact"/>
              <w:rPr>
                <w:sz w:val="1"/>
                <w:szCs w:val="1"/>
                <w:color w:val="auto"/>
              </w:rPr>
            </w:pPr>
          </w:p>
        </w:tc>
        <w:tc>
          <w:tcPr>
            <w:tcW w:w="2180" w:type="dxa"/>
            <w:vAlign w:val="bottom"/>
            <w:tcBorders>
              <w:top w:val="single" w:sz="8" w:color="FFC080"/>
            </w:tcBorders>
            <w:shd w:val="clear" w:color="auto" w:fill="FFC080"/>
          </w:tcPr>
          <w:p>
            <w:pPr>
              <w:spacing w:after="0" w:line="20" w:lineRule="exact"/>
              <w:rPr>
                <w:sz w:val="1"/>
                <w:szCs w:val="1"/>
                <w:color w:val="auto"/>
              </w:rPr>
            </w:pPr>
          </w:p>
        </w:tc>
        <w:tc>
          <w:tcPr>
            <w:tcW w:w="200" w:type="dxa"/>
            <w:vAlign w:val="bottom"/>
            <w:tcBorders>
              <w:top w:val="single" w:sz="8" w:color="FFC080"/>
            </w:tcBorders>
            <w:shd w:val="clear" w:color="auto" w:fill="FFC080"/>
          </w:tcPr>
          <w:p>
            <w:pPr>
              <w:spacing w:after="0" w:line="20" w:lineRule="exact"/>
              <w:rPr>
                <w:sz w:val="1"/>
                <w:szCs w:val="1"/>
                <w:color w:val="auto"/>
              </w:rPr>
            </w:pPr>
          </w:p>
        </w:tc>
        <w:tc>
          <w:tcPr>
            <w:tcW w:w="6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82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4"/>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Consolidated Statements of Shareholders' Equity for the year ended December 31, 2010, six months ended December 31, 2009 and fiscal year</w:t>
              </w:r>
            </w:hyperlink>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ended June 30, 2009</w:t>
              </w:r>
            </w:hyperlink>
          </w:p>
        </w:tc>
        <w:tc>
          <w:tcPr>
            <w:tcW w:w="3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80" w:type="dxa"/>
            <w:vAlign w:val="bottom"/>
            <w:gridSpan w:val="14"/>
            <w:shd w:val="clear" w:color="auto" w:fill="FFC080"/>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Consolidated Statements of Cash Flows for the year ended December 31, 2010, six months ended December 31, 2009 and fiscal year ended June</w:t>
              </w:r>
            </w:hyperlink>
          </w:p>
        </w:tc>
        <w:tc>
          <w:tcPr>
            <w:tcW w:w="820" w:type="dxa"/>
            <w:vAlign w:val="bottom"/>
            <w:shd w:val="clear" w:color="auto" w:fill="FFC080"/>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Borders>
              <w:top w:val="single" w:sz="8" w:color="0000EE"/>
            </w:tcBorders>
            <w:gridSpan w:val="3"/>
            <w:shd w:val="clear" w:color="auto" w:fill="FFC080"/>
          </w:tcPr>
          <w:p>
            <w:pPr>
              <w:ind w:left="16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30, 2009</w:t>
              </w:r>
            </w:hyperlink>
          </w:p>
        </w:tc>
        <w:tc>
          <w:tcPr>
            <w:tcW w:w="540" w:type="dxa"/>
            <w:vAlign w:val="bottom"/>
            <w:tcBorders>
              <w:top w:val="single" w:sz="8" w:color="0000EE"/>
            </w:tcBorders>
            <w:shd w:val="clear" w:color="auto" w:fill="FFC080"/>
          </w:tcPr>
          <w:p>
            <w:pPr>
              <w:spacing w:after="0"/>
              <w:rPr>
                <w:sz w:val="17"/>
                <w:szCs w:val="17"/>
                <w:color w:val="auto"/>
              </w:rPr>
            </w:pPr>
          </w:p>
        </w:tc>
        <w:tc>
          <w:tcPr>
            <w:tcW w:w="1100" w:type="dxa"/>
            <w:vAlign w:val="bottom"/>
            <w:tcBorders>
              <w:top w:val="single" w:sz="8" w:color="0000EE"/>
            </w:tcBorders>
            <w:shd w:val="clear" w:color="auto" w:fill="FFC080"/>
          </w:tcPr>
          <w:p>
            <w:pPr>
              <w:spacing w:after="0"/>
              <w:rPr>
                <w:sz w:val="17"/>
                <w:szCs w:val="17"/>
                <w:color w:val="auto"/>
              </w:rPr>
            </w:pPr>
          </w:p>
        </w:tc>
        <w:tc>
          <w:tcPr>
            <w:tcW w:w="420" w:type="dxa"/>
            <w:vAlign w:val="bottom"/>
            <w:tcBorders>
              <w:top w:val="single" w:sz="8" w:color="0000EE"/>
            </w:tcBorders>
            <w:shd w:val="clear" w:color="auto" w:fill="FFC080"/>
          </w:tcPr>
          <w:p>
            <w:pPr>
              <w:spacing w:after="0"/>
              <w:rPr>
                <w:sz w:val="17"/>
                <w:szCs w:val="17"/>
                <w:color w:val="auto"/>
              </w:rPr>
            </w:pPr>
          </w:p>
        </w:tc>
        <w:tc>
          <w:tcPr>
            <w:tcW w:w="220" w:type="dxa"/>
            <w:vAlign w:val="bottom"/>
            <w:tcBorders>
              <w:top w:val="single" w:sz="8" w:color="0000EE"/>
            </w:tcBorders>
            <w:shd w:val="clear" w:color="auto" w:fill="FFC080"/>
          </w:tcPr>
          <w:p>
            <w:pPr>
              <w:spacing w:after="0"/>
              <w:rPr>
                <w:sz w:val="17"/>
                <w:szCs w:val="17"/>
                <w:color w:val="auto"/>
              </w:rPr>
            </w:pPr>
          </w:p>
        </w:tc>
        <w:tc>
          <w:tcPr>
            <w:tcW w:w="2340" w:type="dxa"/>
            <w:vAlign w:val="bottom"/>
            <w:tcBorders>
              <w:top w:val="single" w:sz="8" w:color="0000EE"/>
            </w:tcBorders>
            <w:shd w:val="clear" w:color="auto" w:fill="FFC080"/>
          </w:tcPr>
          <w:p>
            <w:pPr>
              <w:spacing w:after="0"/>
              <w:rPr>
                <w:sz w:val="17"/>
                <w:szCs w:val="17"/>
                <w:color w:val="auto"/>
              </w:rPr>
            </w:pPr>
          </w:p>
        </w:tc>
        <w:tc>
          <w:tcPr>
            <w:tcW w:w="100" w:type="dxa"/>
            <w:vAlign w:val="bottom"/>
            <w:tcBorders>
              <w:top w:val="single" w:sz="8" w:color="0000EE"/>
            </w:tcBorders>
            <w:shd w:val="clear" w:color="auto" w:fill="FFC080"/>
          </w:tcPr>
          <w:p>
            <w:pPr>
              <w:spacing w:after="0"/>
              <w:rPr>
                <w:sz w:val="17"/>
                <w:szCs w:val="17"/>
                <w:color w:val="auto"/>
              </w:rPr>
            </w:pPr>
          </w:p>
        </w:tc>
        <w:tc>
          <w:tcPr>
            <w:tcW w:w="2240" w:type="dxa"/>
            <w:vAlign w:val="bottom"/>
            <w:tcBorders>
              <w:top w:val="single" w:sz="8" w:color="0000EE"/>
            </w:tcBorders>
            <w:shd w:val="clear" w:color="auto" w:fill="FFC080"/>
          </w:tcPr>
          <w:p>
            <w:pPr>
              <w:spacing w:after="0"/>
              <w:rPr>
                <w:sz w:val="17"/>
                <w:szCs w:val="17"/>
                <w:color w:val="auto"/>
              </w:rPr>
            </w:pPr>
          </w:p>
        </w:tc>
        <w:tc>
          <w:tcPr>
            <w:tcW w:w="2180" w:type="dxa"/>
            <w:vAlign w:val="bottom"/>
            <w:tcBorders>
              <w:top w:val="single" w:sz="8" w:color="0000EE"/>
            </w:tcBorders>
            <w:shd w:val="clear" w:color="auto" w:fill="FFC080"/>
          </w:tcPr>
          <w:p>
            <w:pPr>
              <w:spacing w:after="0"/>
              <w:rPr>
                <w:sz w:val="17"/>
                <w:szCs w:val="17"/>
                <w:color w:val="auto"/>
              </w:rPr>
            </w:pPr>
          </w:p>
        </w:tc>
        <w:tc>
          <w:tcPr>
            <w:tcW w:w="200" w:type="dxa"/>
            <w:vAlign w:val="bottom"/>
            <w:tcBorders>
              <w:top w:val="single" w:sz="8" w:color="0000EE"/>
            </w:tcBorders>
            <w:shd w:val="clear" w:color="auto" w:fill="FFC080"/>
          </w:tcPr>
          <w:p>
            <w:pPr>
              <w:spacing w:after="0"/>
              <w:rPr>
                <w:sz w:val="17"/>
                <w:szCs w:val="17"/>
                <w:color w:val="auto"/>
              </w:rPr>
            </w:pPr>
          </w:p>
        </w:tc>
        <w:tc>
          <w:tcPr>
            <w:tcW w:w="60" w:type="dxa"/>
            <w:vAlign w:val="bottom"/>
            <w:tcBorders>
              <w:top w:val="single" w:sz="8" w:color="FFC080"/>
            </w:tcBorders>
            <w:shd w:val="clear" w:color="auto" w:fill="FFC080"/>
          </w:tcPr>
          <w:p>
            <w:pPr>
              <w:spacing w:after="0"/>
              <w:rPr>
                <w:sz w:val="17"/>
                <w:szCs w:val="17"/>
                <w:color w:val="auto"/>
              </w:rPr>
            </w:pPr>
          </w:p>
        </w:tc>
        <w:tc>
          <w:tcPr>
            <w:tcW w:w="100" w:type="dxa"/>
            <w:vAlign w:val="bottom"/>
            <w:tcBorders>
              <w:top w:val="single" w:sz="8" w:color="FFC080"/>
            </w:tcBorders>
            <w:shd w:val="clear" w:color="auto" w:fill="FFC080"/>
          </w:tcPr>
          <w:p>
            <w:pPr>
              <w:spacing w:after="0"/>
              <w:rPr>
                <w:sz w:val="17"/>
                <w:szCs w:val="17"/>
                <w:color w:val="auto"/>
              </w:rPr>
            </w:pPr>
          </w:p>
        </w:tc>
        <w:tc>
          <w:tcPr>
            <w:tcW w:w="820" w:type="dxa"/>
            <w:vAlign w:val="bottom"/>
            <w:tcBorders>
              <w:top w:val="single" w:sz="8" w:color="FFC080"/>
            </w:tcBorders>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FFC080"/>
            </w:tcBorders>
            <w:shd w:val="clear" w:color="auto" w:fill="FFC080"/>
          </w:tcPr>
          <w:p>
            <w:pPr>
              <w:spacing w:after="0" w:line="20" w:lineRule="exact"/>
              <w:rPr>
                <w:sz w:val="1"/>
                <w:szCs w:val="1"/>
                <w:color w:val="auto"/>
              </w:rPr>
            </w:pPr>
          </w:p>
        </w:tc>
        <w:tc>
          <w:tcPr>
            <w:tcW w:w="620" w:type="dxa"/>
            <w:vAlign w:val="bottom"/>
            <w:tcBorders>
              <w:top w:val="single" w:sz="8" w:color="0000EE"/>
            </w:tcBorders>
            <w:shd w:val="clear" w:color="auto" w:fill="FFC080"/>
          </w:tcPr>
          <w:p>
            <w:pPr>
              <w:spacing w:after="0" w:line="20" w:lineRule="exact"/>
              <w:rPr>
                <w:sz w:val="1"/>
                <w:szCs w:val="1"/>
                <w:color w:val="auto"/>
              </w:rPr>
            </w:pPr>
          </w:p>
        </w:tc>
        <w:tc>
          <w:tcPr>
            <w:tcW w:w="300" w:type="dxa"/>
            <w:vAlign w:val="bottom"/>
            <w:tcBorders>
              <w:top w:val="single" w:sz="8" w:color="FFC080"/>
            </w:tcBorders>
            <w:shd w:val="clear" w:color="auto" w:fill="FFC080"/>
          </w:tcPr>
          <w:p>
            <w:pPr>
              <w:spacing w:after="0" w:line="20" w:lineRule="exact"/>
              <w:rPr>
                <w:sz w:val="1"/>
                <w:szCs w:val="1"/>
                <w:color w:val="auto"/>
              </w:rPr>
            </w:pPr>
          </w:p>
        </w:tc>
        <w:tc>
          <w:tcPr>
            <w:tcW w:w="540" w:type="dxa"/>
            <w:vAlign w:val="bottom"/>
            <w:tcBorders>
              <w:top w:val="single" w:sz="8" w:color="FFC080"/>
            </w:tcBorders>
            <w:shd w:val="clear" w:color="auto" w:fill="FFC080"/>
          </w:tcPr>
          <w:p>
            <w:pPr>
              <w:spacing w:after="0" w:line="20" w:lineRule="exact"/>
              <w:rPr>
                <w:sz w:val="1"/>
                <w:szCs w:val="1"/>
                <w:color w:val="auto"/>
              </w:rPr>
            </w:pPr>
          </w:p>
        </w:tc>
        <w:tc>
          <w:tcPr>
            <w:tcW w:w="1100" w:type="dxa"/>
            <w:vAlign w:val="bottom"/>
            <w:tcBorders>
              <w:top w:val="single" w:sz="8" w:color="FFC080"/>
            </w:tcBorders>
            <w:shd w:val="clear" w:color="auto" w:fill="FFC080"/>
          </w:tcPr>
          <w:p>
            <w:pPr>
              <w:spacing w:after="0" w:line="20" w:lineRule="exact"/>
              <w:rPr>
                <w:sz w:val="1"/>
                <w:szCs w:val="1"/>
                <w:color w:val="auto"/>
              </w:rPr>
            </w:pPr>
          </w:p>
        </w:tc>
        <w:tc>
          <w:tcPr>
            <w:tcW w:w="420" w:type="dxa"/>
            <w:vAlign w:val="bottom"/>
            <w:tcBorders>
              <w:top w:val="single" w:sz="8" w:color="FFC080"/>
            </w:tcBorders>
            <w:shd w:val="clear" w:color="auto" w:fill="FFC080"/>
          </w:tcPr>
          <w:p>
            <w:pPr>
              <w:spacing w:after="0" w:line="20" w:lineRule="exact"/>
              <w:rPr>
                <w:sz w:val="1"/>
                <w:szCs w:val="1"/>
                <w:color w:val="auto"/>
              </w:rPr>
            </w:pPr>
          </w:p>
        </w:tc>
        <w:tc>
          <w:tcPr>
            <w:tcW w:w="220" w:type="dxa"/>
            <w:vAlign w:val="bottom"/>
            <w:tcBorders>
              <w:top w:val="single" w:sz="8" w:color="FFC080"/>
            </w:tcBorders>
            <w:shd w:val="clear" w:color="auto" w:fill="FFC080"/>
          </w:tcPr>
          <w:p>
            <w:pPr>
              <w:spacing w:after="0" w:line="20" w:lineRule="exact"/>
              <w:rPr>
                <w:sz w:val="1"/>
                <w:szCs w:val="1"/>
                <w:color w:val="auto"/>
              </w:rPr>
            </w:pPr>
          </w:p>
        </w:tc>
        <w:tc>
          <w:tcPr>
            <w:tcW w:w="234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2240" w:type="dxa"/>
            <w:vAlign w:val="bottom"/>
            <w:tcBorders>
              <w:top w:val="single" w:sz="8" w:color="FFC080"/>
            </w:tcBorders>
            <w:shd w:val="clear" w:color="auto" w:fill="FFC080"/>
          </w:tcPr>
          <w:p>
            <w:pPr>
              <w:spacing w:after="0" w:line="20" w:lineRule="exact"/>
              <w:rPr>
                <w:sz w:val="1"/>
                <w:szCs w:val="1"/>
                <w:color w:val="auto"/>
              </w:rPr>
            </w:pPr>
          </w:p>
        </w:tc>
        <w:tc>
          <w:tcPr>
            <w:tcW w:w="2180" w:type="dxa"/>
            <w:vAlign w:val="bottom"/>
            <w:tcBorders>
              <w:top w:val="single" w:sz="8" w:color="FFC080"/>
            </w:tcBorders>
            <w:shd w:val="clear" w:color="auto" w:fill="FFC080"/>
          </w:tcPr>
          <w:p>
            <w:pPr>
              <w:spacing w:after="0" w:line="20" w:lineRule="exact"/>
              <w:rPr>
                <w:sz w:val="1"/>
                <w:szCs w:val="1"/>
                <w:color w:val="auto"/>
              </w:rPr>
            </w:pPr>
          </w:p>
        </w:tc>
        <w:tc>
          <w:tcPr>
            <w:tcW w:w="200" w:type="dxa"/>
            <w:vAlign w:val="bottom"/>
            <w:tcBorders>
              <w:top w:val="single" w:sz="8" w:color="FFC080"/>
            </w:tcBorders>
            <w:shd w:val="clear" w:color="auto" w:fill="FFC080"/>
          </w:tcPr>
          <w:p>
            <w:pPr>
              <w:spacing w:after="0" w:line="20" w:lineRule="exact"/>
              <w:rPr>
                <w:sz w:val="1"/>
                <w:szCs w:val="1"/>
                <w:color w:val="auto"/>
              </w:rPr>
            </w:pPr>
          </w:p>
        </w:tc>
        <w:tc>
          <w:tcPr>
            <w:tcW w:w="6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82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3140" w:type="dxa"/>
            <w:vAlign w:val="bottom"/>
            <w:tcBorders>
              <w:bottom w:val="single" w:sz="8" w:color="0000EE"/>
            </w:tcBorders>
            <w:gridSpan w:val="6"/>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Notes to Consolidated Financial Statements</w:t>
              </w:r>
            </w:hyperlink>
          </w:p>
        </w:tc>
        <w:tc>
          <w:tcPr>
            <w:tcW w:w="7440" w:type="dxa"/>
            <w:vAlign w:val="bottom"/>
            <w:gridSpan w:val="8"/>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3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have audited the accompanying consolidated balance sheets of ClearOne Communications, Inc. and subsidiaries (the Company) as of December 31, 2010 and 2009, and the related consolidated statements of operations and comprehensive income, shareholders’ equity, and cash flows for the year ended December 31, 2010, six months ended December 31, 2009 and year ended June 30, 2009. The Company’s management is responsible for these financial statements. Our responsibility is to express an opinion on these financial statements based on our audits.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December 31, 2010 and 2009, and the results of its operations and its cash flows for the year ended December 31, 2010, six months ended December 31, 2009 and year ended June 30, 2009 in conformity with accounting principles generally accepted in the United States of America.</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J</w:t>
      </w:r>
      <w:r>
        <w:rPr>
          <w:rFonts w:ascii="Arial" w:cs="Arial" w:eastAsia="Arial" w:hAnsi="Arial"/>
          <w:sz w:val="12"/>
          <w:szCs w:val="12"/>
          <w:i w:val="1"/>
          <w:iCs w:val="1"/>
          <w:u w:val="single" w:color="auto"/>
          <w:color w:val="auto"/>
        </w:rPr>
        <w:t>ONES</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S</w:t>
      </w:r>
      <w:r>
        <w:rPr>
          <w:rFonts w:ascii="Arial" w:cs="Arial" w:eastAsia="Arial" w:hAnsi="Arial"/>
          <w:sz w:val="12"/>
          <w:szCs w:val="12"/>
          <w:i w:val="1"/>
          <w:iCs w:val="1"/>
          <w:u w:val="single" w:color="auto"/>
          <w:color w:val="auto"/>
        </w:rPr>
        <w:t>IMKINS</w:t>
      </w:r>
      <w:r>
        <w:rPr>
          <w:rFonts w:ascii="Arial" w:cs="Arial" w:eastAsia="Arial" w:hAnsi="Arial"/>
          <w:sz w:val="18"/>
          <w:szCs w:val="18"/>
          <w:i w:val="1"/>
          <w:iCs w:val="1"/>
          <w:u w:val="single" w:color="auto"/>
          <w:color w:val="auto"/>
        </w:rPr>
        <w:t>,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3"/>
              </w:rPr>
              <w:t>December 31, 2010</w:t>
            </w:r>
          </w:p>
        </w:tc>
        <w:tc>
          <w:tcPr>
            <w:tcW w:w="10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ind w:left="30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FFC080"/>
          </w:tcPr>
          <w:p>
            <w:pPr>
              <w:spacing w:after="0"/>
              <w:rPr>
                <w:sz w:val="18"/>
                <w:szCs w:val="18"/>
                <w:color w:val="auto"/>
              </w:rPr>
            </w:pPr>
          </w:p>
        </w:tc>
        <w:tc>
          <w:tcPr>
            <w:tcW w:w="100" w:type="dxa"/>
            <w:vAlign w:val="bottom"/>
            <w:tcBorders>
              <w:top w:val="single" w:sz="8" w:color="auto"/>
            </w:tcBorders>
            <w:shd w:val="clear" w:color="auto" w:fill="FFC080"/>
          </w:tcPr>
          <w:p>
            <w:pPr>
              <w:spacing w:after="0"/>
              <w:rPr>
                <w:sz w:val="18"/>
                <w:szCs w:val="18"/>
                <w:color w:val="auto"/>
              </w:rPr>
            </w:pPr>
          </w:p>
        </w:tc>
        <w:tc>
          <w:tcPr>
            <w:tcW w:w="124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00" w:type="dxa"/>
            <w:vAlign w:val="bottom"/>
            <w:tcBorders>
              <w:top w:val="single" w:sz="8" w:color="auto"/>
            </w:tcBorders>
            <w:shd w:val="clear" w:color="auto" w:fill="FFC080"/>
          </w:tcPr>
          <w:p>
            <w:pPr>
              <w:spacing w:after="0"/>
              <w:rPr>
                <w:sz w:val="18"/>
                <w:szCs w:val="18"/>
                <w:color w:val="auto"/>
              </w:rPr>
            </w:pPr>
          </w:p>
        </w:tc>
        <w:tc>
          <w:tcPr>
            <w:tcW w:w="1260" w:type="dxa"/>
            <w:vAlign w:val="bottom"/>
            <w:tcBorders>
              <w:top w:val="single" w:sz="8" w:color="auto"/>
            </w:tcBorders>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11,431</w:t>
            </w:r>
          </w:p>
        </w:tc>
        <w:tc>
          <w:tcPr>
            <w:tcW w:w="20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9,494</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9"/>
              </w:rPr>
              <w:t>Receivables, net of allowance for doubtful accounts of $206 and $103,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6,236</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4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6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2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inventory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3,246</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4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6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43,981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3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6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FC080"/>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maturities of long term-debt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4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4,306</w:t>
            </w:r>
          </w:p>
        </w:tc>
        <w:tc>
          <w:tcPr>
            <w:tcW w:w="10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6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4,707</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2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4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60" w:type="dxa"/>
            <w:vAlign w:val="bottom"/>
            <w:tcBorders>
              <w:bottom w:val="single" w:sz="8" w:color="auto"/>
            </w:tcBorders>
            <w:shd w:val="clear" w:color="auto" w:fill="FFC080"/>
          </w:tcPr>
          <w:p>
            <w:pPr>
              <w:jc w:val="right"/>
              <w:ind w:right="10"/>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2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8,929,439 and 8,929,134</w:t>
            </w:r>
          </w:p>
        </w:tc>
        <w:tc>
          <w:tcPr>
            <w:tcW w:w="18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24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26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FFC080"/>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shd w:val="clear" w:color="auto" w:fill="FFC080"/>
          </w:tcPr>
          <w:p>
            <w:pPr>
              <w:spacing w:after="0"/>
              <w:rPr>
                <w:sz w:val="20"/>
                <w:szCs w:val="20"/>
                <w:color w:val="auto"/>
              </w:rPr>
            </w:pPr>
          </w:p>
        </w:tc>
        <w:tc>
          <w:tcPr>
            <w:tcW w:w="100" w:type="dxa"/>
            <w:vAlign w:val="bottom"/>
            <w:shd w:val="clear" w:color="auto" w:fill="FFC080"/>
          </w:tcPr>
          <w:p>
            <w:pPr>
              <w:spacing w:after="0"/>
              <w:rPr>
                <w:sz w:val="20"/>
                <w:szCs w:val="20"/>
                <w:color w:val="auto"/>
              </w:rPr>
            </w:pP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shd w:val="clear" w:color="auto" w:fill="FFC080"/>
          </w:tcPr>
          <w:p>
            <w:pPr>
              <w:spacing w:after="0"/>
              <w:rPr>
                <w:sz w:val="20"/>
                <w:szCs w:val="20"/>
                <w:color w:val="auto"/>
              </w:rPr>
            </w:pPr>
          </w:p>
        </w:tc>
        <w:tc>
          <w:tcPr>
            <w:tcW w:w="100" w:type="dxa"/>
            <w:vAlign w:val="bottom"/>
            <w:shd w:val="clear" w:color="auto" w:fill="FFC080"/>
          </w:tcPr>
          <w:p>
            <w:pPr>
              <w:spacing w:after="0"/>
              <w:rPr>
                <w:sz w:val="20"/>
                <w:szCs w:val="20"/>
                <w:color w:val="auto"/>
              </w:rPr>
            </w:pP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shd w:val="clear" w:color="auto" w:fill="FFC08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FFC080"/>
            </w:tcBorders>
            <w:shd w:val="clear" w:color="auto" w:fill="FFC080"/>
          </w:tcPr>
          <w:p>
            <w:pPr>
              <w:spacing w:after="0"/>
              <w:rPr>
                <w:sz w:val="19"/>
                <w:szCs w:val="19"/>
                <w:color w:val="auto"/>
              </w:rPr>
            </w:pPr>
          </w:p>
        </w:tc>
        <w:tc>
          <w:tcPr>
            <w:tcW w:w="100" w:type="dxa"/>
            <w:vAlign w:val="bottom"/>
            <w:tcBorders>
              <w:bottom w:val="single" w:sz="8" w:color="auto"/>
            </w:tcBorders>
            <w:shd w:val="clear" w:color="auto" w:fill="FFC080"/>
          </w:tcPr>
          <w:p>
            <w:pPr>
              <w:spacing w:after="0"/>
              <w:rPr>
                <w:sz w:val="19"/>
                <w:szCs w:val="19"/>
                <w:color w:val="auto"/>
              </w:rPr>
            </w:pPr>
          </w:p>
        </w:tc>
        <w:tc>
          <w:tcPr>
            <w:tcW w:w="126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(9,721)</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31,735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FFC080"/>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43,981</w:t>
            </w:r>
          </w:p>
        </w:tc>
        <w:tc>
          <w:tcPr>
            <w:tcW w:w="20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rPr>
              <w:t>41,575</w:t>
            </w:r>
          </w:p>
        </w:tc>
        <w:tc>
          <w:tcPr>
            <w:tcW w:w="80" w:type="dxa"/>
            <w:vAlign w:val="bottom"/>
            <w:shd w:val="clear" w:color="auto" w:fill="FFC08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FFC080"/>
            </w:tcBorders>
            <w:shd w:val="clear" w:color="auto" w:fill="FFC080"/>
          </w:tcPr>
          <w:p>
            <w:pPr>
              <w:spacing w:after="0" w:line="20" w:lineRule="exact"/>
              <w:rPr>
                <w:sz w:val="1"/>
                <w:szCs w:val="1"/>
                <w:color w:val="auto"/>
              </w:rPr>
            </w:pPr>
          </w:p>
        </w:tc>
        <w:tc>
          <w:tcPr>
            <w:tcW w:w="18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5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See accompanying 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118" w:right="10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left="800" w:right="1600"/>
        <w:spacing w:after="0" w:line="254"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471"/>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251"/>
              <w:spacing w:after="0"/>
              <w:rPr>
                <w:sz w:val="20"/>
                <w:szCs w:val="20"/>
                <w:color w:val="auto"/>
              </w:rPr>
            </w:pPr>
            <w:r>
              <w:rPr>
                <w:rFonts w:ascii="Arial" w:cs="Arial" w:eastAsia="Arial" w:hAnsi="Arial"/>
                <w:sz w:val="14"/>
                <w:szCs w:val="14"/>
                <w:b w:val="1"/>
                <w:bCs w:val="1"/>
                <w:color w:val="auto"/>
                <w:w w:val="95"/>
              </w:rPr>
              <w:t>December 31, 2010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 2009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40" w:type="dxa"/>
            <w:vAlign w:val="bottom"/>
            <w:tcBorders>
              <w:top w:val="single" w:sz="8" w:color="auto"/>
            </w:tcBorders>
            <w:shd w:val="clear" w:color="auto" w:fill="FFC080"/>
          </w:tcPr>
          <w:p>
            <w:pPr>
              <w:spacing w:after="0"/>
              <w:rPr>
                <w:sz w:val="12"/>
                <w:szCs w:val="12"/>
                <w:color w:val="auto"/>
              </w:rPr>
            </w:pPr>
          </w:p>
        </w:tc>
        <w:tc>
          <w:tcPr>
            <w:tcW w:w="1560" w:type="dxa"/>
            <w:vAlign w:val="bottom"/>
            <w:tcBorders>
              <w:top w:val="single" w:sz="8" w:color="auto"/>
            </w:tcBorders>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40" w:type="dxa"/>
            <w:vAlign w:val="bottom"/>
            <w:tcBorders>
              <w:top w:val="single" w:sz="8" w:color="auto"/>
            </w:tcBorders>
            <w:shd w:val="clear" w:color="auto" w:fill="FFC080"/>
          </w:tcPr>
          <w:p>
            <w:pPr>
              <w:spacing w:after="0"/>
              <w:rPr>
                <w:sz w:val="12"/>
                <w:szCs w:val="12"/>
                <w:color w:val="auto"/>
              </w:rPr>
            </w:pPr>
          </w:p>
        </w:tc>
        <w:tc>
          <w:tcPr>
            <w:tcW w:w="1400" w:type="dxa"/>
            <w:vAlign w:val="bottom"/>
            <w:tcBorders>
              <w:top w:val="single" w:sz="8" w:color="auto"/>
            </w:tcBorders>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0" w:type="dxa"/>
            <w:vAlign w:val="bottom"/>
            <w:tcBorders>
              <w:top w:val="single" w:sz="8" w:color="auto"/>
            </w:tcBorders>
            <w:shd w:val="clear" w:color="auto" w:fill="FFC080"/>
          </w:tcPr>
          <w:p>
            <w:pPr>
              <w:spacing w:after="0"/>
              <w:rPr>
                <w:sz w:val="12"/>
                <w:szCs w:val="12"/>
                <w:color w:val="auto"/>
              </w:rPr>
            </w:pPr>
          </w:p>
        </w:tc>
        <w:tc>
          <w:tcPr>
            <w:tcW w:w="1000" w:type="dxa"/>
            <w:vAlign w:val="bottom"/>
            <w:tcBorders>
              <w:top w:val="single" w:sz="8" w:color="auto"/>
            </w:tcBorders>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41,284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16,836</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560" w:type="dxa"/>
            <w:vAlign w:val="bottom"/>
            <w:tcBorders>
              <w:bottom w:val="single" w:sz="8" w:color="auto"/>
            </w:tcBorders>
            <w:shd w:val="clear" w:color="auto" w:fill="FFC080"/>
          </w:tcPr>
          <w:p>
            <w:pPr>
              <w:jc w:val="right"/>
              <w:ind w:right="31"/>
              <w:spacing w:after="0"/>
              <w:rPr>
                <w:sz w:val="20"/>
                <w:szCs w:val="20"/>
                <w:color w:val="auto"/>
              </w:rPr>
            </w:pPr>
            <w:r>
              <w:rPr>
                <w:rFonts w:ascii="Arial" w:cs="Arial" w:eastAsia="Arial" w:hAnsi="Arial"/>
                <w:sz w:val="18"/>
                <w:szCs w:val="18"/>
                <w:color w:val="auto"/>
              </w:rPr>
              <w:t>16,643</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4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7,276</w:t>
            </w:r>
          </w:p>
        </w:tc>
        <w:tc>
          <w:tcPr>
            <w:tcW w:w="8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0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15,323</w:t>
            </w:r>
          </w:p>
        </w:tc>
        <w:tc>
          <w:tcPr>
            <w:tcW w:w="10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24,641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20,377</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5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40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0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8,685</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7,739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6,420</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2,900</w:t>
            </w: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Insurance settlement proceeds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FFC080"/>
            </w:tcBorders>
            <w:shd w:val="clear" w:color="auto" w:fill="FFC080"/>
          </w:tcPr>
          <w:p>
            <w:pPr>
              <w:ind w:left="1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560" w:type="dxa"/>
            <w:vAlign w:val="bottom"/>
            <w:tcBorders>
              <w:bottom w:val="single" w:sz="8" w:color="auto"/>
            </w:tcBorders>
            <w:shd w:val="clear" w:color="auto" w:fill="FFC080"/>
          </w:tcPr>
          <w:p>
            <w:pPr>
              <w:jc w:val="right"/>
              <w:ind w:right="31"/>
              <w:spacing w:after="0"/>
              <w:rPr>
                <w:sz w:val="20"/>
                <w:szCs w:val="20"/>
                <w:color w:val="auto"/>
              </w:rPr>
            </w:pPr>
            <w:r>
              <w:rPr>
                <w:rFonts w:ascii="Arial" w:cs="Arial" w:eastAsia="Arial" w:hAnsi="Arial"/>
                <w:sz w:val="18"/>
                <w:szCs w:val="18"/>
                <w:color w:val="auto"/>
              </w:rPr>
              <w:t>22,844</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4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9,597</w:t>
            </w:r>
          </w:p>
        </w:tc>
        <w:tc>
          <w:tcPr>
            <w:tcW w:w="8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0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17,601</w:t>
            </w:r>
          </w:p>
        </w:tc>
        <w:tc>
          <w:tcPr>
            <w:tcW w:w="10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1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FFC080"/>
            </w:tcBorders>
            <w:shd w:val="clear" w:color="auto" w:fill="FFC080"/>
          </w:tcPr>
          <w:p>
            <w:pPr>
              <w:ind w:left="1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56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4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0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FFC080"/>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2,374</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FFC080"/>
          </w:tcPr>
          <w:p>
            <w:pPr>
              <w:spacing w:after="0"/>
              <w:rPr>
                <w:sz w:val="22"/>
                <w:szCs w:val="22"/>
                <w:color w:val="auto"/>
              </w:rPr>
            </w:pP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FFC080"/>
          </w:tcPr>
          <w:p>
            <w:pPr>
              <w:spacing w:after="0"/>
              <w:rPr>
                <w:sz w:val="22"/>
                <w:szCs w:val="22"/>
                <w:color w:val="auto"/>
              </w:rPr>
            </w:pPr>
          </w:p>
        </w:tc>
        <w:tc>
          <w:tcPr>
            <w:tcW w:w="100" w:type="dxa"/>
            <w:vAlign w:val="bottom"/>
            <w:shd w:val="clear" w:color="auto" w:fill="FFC080"/>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tcBorders>
              <w:top w:val="single" w:sz="8" w:color="FFC080"/>
            </w:tcBorders>
          </w:tcPr>
          <w:p>
            <w:pPr>
              <w:spacing w:after="0"/>
              <w:rPr>
                <w:sz w:val="12"/>
                <w:szCs w:val="12"/>
                <w:color w:val="auto"/>
              </w:rPr>
            </w:pPr>
          </w:p>
        </w:tc>
        <w:tc>
          <w:tcPr>
            <w:tcW w:w="140" w:type="dxa"/>
            <w:vAlign w:val="bottom"/>
            <w:tcBorders>
              <w:top w:val="single" w:sz="8" w:color="FFC080"/>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80" w:type="dxa"/>
            <w:vAlign w:val="bottom"/>
            <w:tcBorders>
              <w:top w:val="single" w:sz="8" w:color="FFC080"/>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FFC080"/>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FFC080"/>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2"/>
              </w:rPr>
              <w:t>Unrealized gain (loss) on marketable securities, net of taxes of 0, 2, and</w:t>
            </w:r>
          </w:p>
        </w:tc>
        <w:tc>
          <w:tcPr>
            <w:tcW w:w="14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56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40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00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Borders>
              <w:bottom w:val="single" w:sz="8" w:color="FFC080"/>
            </w:tcBorders>
            <w:shd w:val="clear" w:color="auto" w:fill="FFC080"/>
          </w:tcPr>
          <w:p>
            <w:pPr>
              <w:ind w:left="140"/>
              <w:spacing w:after="0"/>
              <w:rPr>
                <w:sz w:val="20"/>
                <w:szCs w:val="20"/>
                <w:color w:val="auto"/>
              </w:rPr>
            </w:pPr>
            <w:r>
              <w:rPr>
                <w:rFonts w:ascii="Arial" w:cs="Arial" w:eastAsia="Arial" w:hAnsi="Arial"/>
                <w:sz w:val="18"/>
                <w:szCs w:val="18"/>
                <w:color w:val="auto"/>
              </w:rPr>
              <w:t>($415), respectively</w:t>
            </w:r>
          </w:p>
        </w:tc>
        <w:tc>
          <w:tcPr>
            <w:tcW w:w="140" w:type="dxa"/>
            <w:vAlign w:val="bottom"/>
            <w:tcBorders>
              <w:bottom w:val="single" w:sz="8" w:color="FFC080"/>
            </w:tcBorders>
            <w:shd w:val="clear" w:color="auto" w:fill="FFC080"/>
          </w:tcPr>
          <w:p>
            <w:pPr>
              <w:spacing w:after="0"/>
              <w:rPr>
                <w:sz w:val="20"/>
                <w:szCs w:val="20"/>
                <w:color w:val="auto"/>
              </w:rPr>
            </w:pPr>
          </w:p>
        </w:tc>
        <w:tc>
          <w:tcPr>
            <w:tcW w:w="140" w:type="dxa"/>
            <w:vAlign w:val="bottom"/>
            <w:tcBorders>
              <w:bottom w:val="single" w:sz="8" w:color="auto"/>
            </w:tcBorders>
            <w:shd w:val="clear" w:color="auto" w:fill="FFC080"/>
          </w:tcPr>
          <w:p>
            <w:pPr>
              <w:spacing w:after="0"/>
              <w:rPr>
                <w:sz w:val="20"/>
                <w:szCs w:val="20"/>
                <w:color w:val="auto"/>
              </w:rPr>
            </w:pPr>
          </w:p>
        </w:tc>
        <w:tc>
          <w:tcPr>
            <w:tcW w:w="1560" w:type="dxa"/>
            <w:vAlign w:val="bottom"/>
            <w:tcBorders>
              <w:bottom w:val="single" w:sz="8" w:color="auto"/>
            </w:tcBorders>
            <w:shd w:val="clear" w:color="auto" w:fill="FFC080"/>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FC080"/>
            </w:tcBorders>
            <w:shd w:val="clear" w:color="auto" w:fill="FFC080"/>
          </w:tcPr>
          <w:p>
            <w:pPr>
              <w:spacing w:after="0"/>
              <w:rPr>
                <w:sz w:val="20"/>
                <w:szCs w:val="20"/>
                <w:color w:val="auto"/>
              </w:rPr>
            </w:pPr>
          </w:p>
        </w:tc>
        <w:tc>
          <w:tcPr>
            <w:tcW w:w="140" w:type="dxa"/>
            <w:vAlign w:val="bottom"/>
            <w:tcBorders>
              <w:bottom w:val="single" w:sz="8" w:color="auto"/>
            </w:tcBorders>
            <w:shd w:val="clear" w:color="auto" w:fill="FFC080"/>
          </w:tcPr>
          <w:p>
            <w:pPr>
              <w:spacing w:after="0"/>
              <w:rPr>
                <w:sz w:val="20"/>
                <w:szCs w:val="20"/>
                <w:color w:val="auto"/>
              </w:rPr>
            </w:pPr>
          </w:p>
        </w:tc>
        <w:tc>
          <w:tcPr>
            <w:tcW w:w="1480" w:type="dxa"/>
            <w:vAlign w:val="bottom"/>
            <w:tcBorders>
              <w:bottom w:val="single" w:sz="8" w:color="auto"/>
            </w:tcBorders>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FFC080"/>
            </w:tcBorders>
            <w:shd w:val="clear" w:color="auto" w:fill="FFC080"/>
          </w:tcPr>
          <w:p>
            <w:pPr>
              <w:spacing w:after="0"/>
              <w:rPr>
                <w:sz w:val="20"/>
                <w:szCs w:val="20"/>
                <w:color w:val="auto"/>
              </w:rPr>
            </w:pPr>
          </w:p>
        </w:tc>
        <w:tc>
          <w:tcPr>
            <w:tcW w:w="120" w:type="dxa"/>
            <w:vAlign w:val="bottom"/>
            <w:tcBorders>
              <w:bottom w:val="single" w:sz="8" w:color="auto"/>
            </w:tcBorders>
            <w:shd w:val="clear" w:color="auto" w:fill="FFC080"/>
          </w:tcPr>
          <w:p>
            <w:pPr>
              <w:spacing w:after="0"/>
              <w:rPr>
                <w:sz w:val="20"/>
                <w:szCs w:val="20"/>
                <w:color w:val="auto"/>
              </w:rPr>
            </w:pPr>
          </w:p>
        </w:tc>
        <w:tc>
          <w:tcPr>
            <w:tcW w:w="10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auto"/>
            </w:tcBorders>
            <w:shd w:val="clear" w:color="auto" w:fill="FFC080"/>
          </w:tcPr>
          <w:p>
            <w:pPr>
              <w:spacing w:after="0"/>
              <w:rPr>
                <w:sz w:val="20"/>
                <w:szCs w:val="20"/>
                <w:color w:val="auto"/>
              </w:rPr>
            </w:pPr>
          </w:p>
        </w:tc>
        <w:tc>
          <w:tcPr>
            <w:tcW w:w="100" w:type="dxa"/>
            <w:vAlign w:val="bottom"/>
            <w:tcBorders>
              <w:bottom w:val="single" w:sz="8" w:color="FFC080"/>
            </w:tcBorders>
            <w:shd w:val="clear" w:color="auto" w:fill="FFC08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56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140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0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0.27</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FFC080"/>
          </w:tcPr>
          <w:p>
            <w:pPr>
              <w:spacing w:after="0"/>
              <w:rPr>
                <w:sz w:val="18"/>
                <w:szCs w:val="18"/>
                <w:color w:val="auto"/>
              </w:rPr>
            </w:pP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FC080"/>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60" w:type="dxa"/>
            <w:vAlign w:val="bottom"/>
            <w:shd w:val="clear" w:color="auto" w:fill="FFC080"/>
          </w:tcPr>
          <w:p>
            <w:pPr>
              <w:jc w:val="right"/>
              <w:ind w:right="31"/>
              <w:spacing w:after="0"/>
              <w:rPr>
                <w:sz w:val="20"/>
                <w:szCs w:val="20"/>
                <w:color w:val="auto"/>
              </w:rPr>
            </w:pPr>
            <w:r>
              <w:rPr>
                <w:rFonts w:ascii="Arial" w:cs="Arial" w:eastAsia="Arial" w:hAnsi="Arial"/>
                <w:sz w:val="18"/>
                <w:szCs w:val="18"/>
                <w:color w:val="auto"/>
              </w:rPr>
              <w:t>8,929,305</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8,928,970</w:t>
            </w:r>
          </w:p>
        </w:tc>
        <w:tc>
          <w:tcPr>
            <w:tcW w:w="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9,213,731</w:t>
            </w:r>
          </w:p>
        </w:tc>
        <w:tc>
          <w:tcPr>
            <w:tcW w:w="10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8,942,929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9,045,842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9,338,320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5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See accompanying notes to consolidated financial statements</w:t>
        </w:r>
      </w:hyperlink>
    </w:p>
    <w:p>
      <w:pPr>
        <w:spacing w:after="0" w:line="392"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07"/>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27"/>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27"/>
              <w:spacing w:after="0" w:line="149"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shd w:val="clear" w:color="auto" w:fill="FFC080"/>
          </w:tcPr>
          <w:p>
            <w:pPr>
              <w:spacing w:after="0"/>
              <w:rPr>
                <w:sz w:val="12"/>
                <w:szCs w:val="12"/>
                <w:color w:val="auto"/>
              </w:rPr>
            </w:pPr>
          </w:p>
        </w:tc>
        <w:tc>
          <w:tcPr>
            <w:tcW w:w="106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7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98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16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12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14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Balances at June 30, 2008</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10,228,902</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44,618</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(12,372)</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31,562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FC080"/>
          </w:tcPr>
          <w:p>
            <w:pPr>
              <w:spacing w:after="0" w:line="149" w:lineRule="exact"/>
              <w:rPr>
                <w:sz w:val="20"/>
                <w:szCs w:val="20"/>
                <w:color w:val="auto"/>
              </w:rPr>
            </w:pPr>
            <w:r>
              <w:rPr>
                <w:rFonts w:ascii="Arial" w:cs="Arial" w:eastAsia="Arial" w:hAnsi="Arial"/>
                <w:sz w:val="14"/>
                <w:szCs w:val="14"/>
                <w:color w:val="auto"/>
              </w:rPr>
              <w:t>Stock buy back program</w:t>
            </w:r>
          </w:p>
        </w:tc>
        <w:tc>
          <w:tcPr>
            <w:tcW w:w="1060" w:type="dxa"/>
            <w:vAlign w:val="bottom"/>
            <w:shd w:val="clear" w:color="auto" w:fill="FFC080"/>
          </w:tcPr>
          <w:p>
            <w:pPr>
              <w:jc w:val="right"/>
              <w:ind w:right="8"/>
              <w:spacing w:after="0" w:line="149" w:lineRule="exact"/>
              <w:rPr>
                <w:sz w:val="20"/>
                <w:szCs w:val="20"/>
                <w:color w:val="auto"/>
              </w:rPr>
            </w:pPr>
            <w:r>
              <w:rPr>
                <w:rFonts w:ascii="Arial" w:cs="Arial" w:eastAsia="Arial" w:hAnsi="Arial"/>
                <w:sz w:val="14"/>
                <w:szCs w:val="14"/>
                <w:color w:val="auto"/>
              </w:rPr>
              <w:t>(1,342,620)</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820" w:type="dxa"/>
            <w:vAlign w:val="bottom"/>
            <w:gridSpan w:val="2"/>
            <w:shd w:val="clear" w:color="auto" w:fill="FFC080"/>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080" w:type="dxa"/>
            <w:vAlign w:val="bottom"/>
            <w:gridSpan w:val="2"/>
            <w:shd w:val="clear" w:color="auto" w:fill="FFC080"/>
          </w:tcPr>
          <w:p>
            <w:pPr>
              <w:jc w:val="right"/>
              <w:ind w:right="60"/>
              <w:spacing w:after="0" w:line="149" w:lineRule="exact"/>
              <w:rPr>
                <w:sz w:val="20"/>
                <w:szCs w:val="20"/>
                <w:color w:val="auto"/>
              </w:rPr>
            </w:pPr>
            <w:r>
              <w:rPr>
                <w:rFonts w:ascii="Arial" w:cs="Arial" w:eastAsia="Arial" w:hAnsi="Arial"/>
                <w:sz w:val="14"/>
                <w:szCs w:val="14"/>
                <w:color w:val="auto"/>
              </w:rPr>
              <w:t>(6,767)</w:t>
            </w:r>
          </w:p>
        </w:tc>
        <w:tc>
          <w:tcPr>
            <w:tcW w:w="12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160" w:type="dxa"/>
            <w:vAlign w:val="bottom"/>
            <w:shd w:val="clear" w:color="auto" w:fill="FFC080"/>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12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140" w:type="dxa"/>
            <w:vAlign w:val="bottom"/>
            <w:shd w:val="clear" w:color="auto" w:fill="FFC080"/>
          </w:tcPr>
          <w:p>
            <w:pPr>
              <w:jc w:val="right"/>
              <w:spacing w:after="0" w:line="149" w:lineRule="exact"/>
              <w:rPr>
                <w:sz w:val="20"/>
                <w:szCs w:val="20"/>
                <w:color w:val="auto"/>
              </w:rPr>
            </w:pPr>
            <w:r>
              <w:rPr>
                <w:rFonts w:ascii="Arial" w:cs="Arial" w:eastAsia="Arial" w:hAnsi="Arial"/>
                <w:sz w:val="14"/>
                <w:szCs w:val="14"/>
                <w:color w:val="auto"/>
              </w:rPr>
              <w:t>(6,768)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40,799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FC080"/>
          </w:tcPr>
          <w:p>
            <w:pPr>
              <w:spacing w:after="0" w:line="149" w:lineRule="exact"/>
              <w:rPr>
                <w:sz w:val="20"/>
                <w:szCs w:val="20"/>
                <w:color w:val="auto"/>
              </w:rPr>
            </w:pPr>
            <w:r>
              <w:rPr>
                <w:rFonts w:ascii="Arial" w:cs="Arial" w:eastAsia="Arial" w:hAnsi="Arial"/>
                <w:sz w:val="14"/>
                <w:szCs w:val="14"/>
                <w:color w:val="auto"/>
              </w:rPr>
              <w:t>Compensation cost associated with ASC Topic 718</w:t>
            </w:r>
          </w:p>
        </w:tc>
        <w:tc>
          <w:tcPr>
            <w:tcW w:w="1060" w:type="dxa"/>
            <w:vAlign w:val="bottom"/>
            <w:shd w:val="clear" w:color="auto" w:fill="FFC080"/>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820" w:type="dxa"/>
            <w:vAlign w:val="bottom"/>
            <w:gridSpan w:val="2"/>
            <w:shd w:val="clear" w:color="auto" w:fill="FFC080"/>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080" w:type="dxa"/>
            <w:vAlign w:val="bottom"/>
            <w:gridSpan w:val="2"/>
            <w:shd w:val="clear" w:color="auto" w:fill="FFC080"/>
          </w:tcPr>
          <w:p>
            <w:pPr>
              <w:jc w:val="right"/>
              <w:ind w:right="100"/>
              <w:spacing w:after="0" w:line="149" w:lineRule="exact"/>
              <w:rPr>
                <w:sz w:val="20"/>
                <w:szCs w:val="20"/>
                <w:color w:val="auto"/>
              </w:rPr>
            </w:pPr>
            <w:r>
              <w:rPr>
                <w:rFonts w:ascii="Arial" w:cs="Arial" w:eastAsia="Arial" w:hAnsi="Arial"/>
                <w:sz w:val="14"/>
                <w:szCs w:val="14"/>
                <w:color w:val="auto"/>
              </w:rPr>
              <w:t>625</w:t>
            </w:r>
          </w:p>
        </w:tc>
        <w:tc>
          <w:tcPr>
            <w:tcW w:w="12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160" w:type="dxa"/>
            <w:vAlign w:val="bottom"/>
            <w:shd w:val="clear" w:color="auto" w:fill="FFC080"/>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12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14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FC080"/>
          </w:tcPr>
          <w:p>
            <w:pPr>
              <w:spacing w:after="0" w:line="149" w:lineRule="exact"/>
              <w:rPr>
                <w:sz w:val="20"/>
                <w:szCs w:val="20"/>
                <w:color w:val="auto"/>
              </w:rPr>
            </w:pPr>
            <w:r>
              <w:rPr>
                <w:rFonts w:ascii="Arial" w:cs="Arial" w:eastAsia="Arial" w:hAnsi="Arial"/>
                <w:sz w:val="14"/>
                <w:szCs w:val="14"/>
                <w:color w:val="auto"/>
              </w:rPr>
              <w:t>Unrealized gain on marketable securities, net of tax</w:t>
            </w:r>
          </w:p>
        </w:tc>
        <w:tc>
          <w:tcPr>
            <w:tcW w:w="1060" w:type="dxa"/>
            <w:vAlign w:val="bottom"/>
            <w:shd w:val="clear" w:color="auto" w:fill="FFC080"/>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820" w:type="dxa"/>
            <w:vAlign w:val="bottom"/>
            <w:gridSpan w:val="2"/>
            <w:shd w:val="clear" w:color="auto" w:fill="FFC080"/>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080" w:type="dxa"/>
            <w:vAlign w:val="bottom"/>
            <w:gridSpan w:val="2"/>
            <w:shd w:val="clear" w:color="auto" w:fill="FFC080"/>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160" w:type="dxa"/>
            <w:vAlign w:val="bottom"/>
            <w:shd w:val="clear" w:color="auto" w:fill="FFC080"/>
          </w:tcPr>
          <w:p>
            <w:pPr>
              <w:jc w:val="right"/>
              <w:ind w:right="27"/>
              <w:spacing w:after="0" w:line="149" w:lineRule="exact"/>
              <w:rPr>
                <w:sz w:val="20"/>
                <w:szCs w:val="20"/>
                <w:color w:val="auto"/>
              </w:rPr>
            </w:pPr>
            <w:r>
              <w:rPr>
                <w:rFonts w:ascii="Arial" w:cs="Arial" w:eastAsia="Arial" w:hAnsi="Arial"/>
                <w:sz w:val="14"/>
                <w:szCs w:val="14"/>
                <w:color w:val="auto"/>
              </w:rPr>
              <w:t>700</w:t>
            </w: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12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14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FFC080"/>
          </w:tcPr>
          <w:p>
            <w:pPr>
              <w:spacing w:after="0" w:line="149" w:lineRule="exact"/>
              <w:rPr>
                <w:sz w:val="20"/>
                <w:szCs w:val="20"/>
                <w:color w:val="auto"/>
              </w:rPr>
            </w:pPr>
            <w:r>
              <w:rPr>
                <w:rFonts w:ascii="Arial" w:cs="Arial" w:eastAsia="Arial" w:hAnsi="Arial"/>
                <w:sz w:val="14"/>
                <w:szCs w:val="14"/>
                <w:color w:val="auto"/>
              </w:rPr>
              <w:t>Balances at June 30, 2009</w:t>
            </w:r>
          </w:p>
        </w:tc>
        <w:tc>
          <w:tcPr>
            <w:tcW w:w="1060" w:type="dxa"/>
            <w:vAlign w:val="bottom"/>
            <w:shd w:val="clear" w:color="auto" w:fill="FFC080"/>
          </w:tcPr>
          <w:p>
            <w:pPr>
              <w:jc w:val="right"/>
              <w:ind w:right="68"/>
              <w:spacing w:after="0" w:line="149" w:lineRule="exact"/>
              <w:rPr>
                <w:sz w:val="20"/>
                <w:szCs w:val="20"/>
                <w:color w:val="auto"/>
              </w:rPr>
            </w:pPr>
            <w:r>
              <w:rPr>
                <w:rFonts w:ascii="Arial" w:cs="Arial" w:eastAsia="Arial" w:hAnsi="Arial"/>
                <w:sz w:val="14"/>
                <w:szCs w:val="14"/>
                <w:color w:val="auto"/>
              </w:rPr>
              <w:t>8,928,802</w:t>
            </w:r>
          </w:p>
        </w:tc>
        <w:tc>
          <w:tcPr>
            <w:tcW w:w="220" w:type="dxa"/>
            <w:vAlign w:val="bottom"/>
            <w:gridSpan w:val="2"/>
            <w:shd w:val="clear" w:color="auto" w:fill="FFC080"/>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FFC080"/>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FFC080"/>
          </w:tcPr>
          <w:p>
            <w:pPr>
              <w:spacing w:after="0"/>
              <w:rPr>
                <w:sz w:val="12"/>
                <w:szCs w:val="12"/>
                <w:color w:val="auto"/>
              </w:rPr>
            </w:pPr>
          </w:p>
        </w:tc>
        <w:tc>
          <w:tcPr>
            <w:tcW w:w="280" w:type="dxa"/>
            <w:vAlign w:val="bottom"/>
            <w:gridSpan w:val="2"/>
            <w:shd w:val="clear" w:color="auto" w:fill="FFC080"/>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FFC080"/>
          </w:tcPr>
          <w:p>
            <w:pPr>
              <w:jc w:val="right"/>
              <w:ind w:right="100"/>
              <w:spacing w:after="0" w:line="149" w:lineRule="exact"/>
              <w:rPr>
                <w:sz w:val="20"/>
                <w:szCs w:val="20"/>
                <w:color w:val="auto"/>
              </w:rPr>
            </w:pPr>
            <w:r>
              <w:rPr>
                <w:rFonts w:ascii="Arial" w:cs="Arial" w:eastAsia="Arial" w:hAnsi="Arial"/>
                <w:sz w:val="14"/>
                <w:szCs w:val="14"/>
                <w:color w:val="auto"/>
              </w:rPr>
              <w:t>38,616</w:t>
            </w:r>
          </w:p>
        </w:tc>
        <w:tc>
          <w:tcPr>
            <w:tcW w:w="200" w:type="dxa"/>
            <w:vAlign w:val="bottom"/>
            <w:gridSpan w:val="2"/>
            <w:shd w:val="clear" w:color="auto" w:fill="FFC080"/>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FFC080"/>
          </w:tcPr>
          <w:p>
            <w:pPr>
              <w:jc w:val="right"/>
              <w:ind w:right="27"/>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FFC080"/>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FFC080"/>
          </w:tcPr>
          <w:p>
            <w:pPr>
              <w:jc w:val="right"/>
              <w:spacing w:after="0" w:line="149" w:lineRule="exact"/>
              <w:rPr>
                <w:sz w:val="20"/>
                <w:szCs w:val="20"/>
                <w:color w:val="auto"/>
              </w:rPr>
            </w:pPr>
            <w:r>
              <w:rPr>
                <w:rFonts w:ascii="Arial" w:cs="Arial" w:eastAsia="Arial" w:hAnsi="Arial"/>
                <w:sz w:val="14"/>
                <w:szCs w:val="14"/>
                <w:color w:val="auto"/>
              </w:rPr>
              <w:t>(10,145)</w:t>
            </w:r>
          </w:p>
        </w:tc>
        <w:tc>
          <w:tcPr>
            <w:tcW w:w="220" w:type="dxa"/>
            <w:vAlign w:val="bottom"/>
            <w:gridSpan w:val="2"/>
            <w:shd w:val="clear" w:color="auto" w:fill="FFC080"/>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28,486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4"/>
                <w:szCs w:val="14"/>
                <w:color w:val="auto"/>
              </w:rPr>
              <w:t>Compensation cost associated with ASC Topic 718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FC080"/>
          </w:tcPr>
          <w:p>
            <w:pPr>
              <w:spacing w:after="0"/>
              <w:rPr>
                <w:sz w:val="20"/>
                <w:szCs w:val="20"/>
                <w:color w:val="auto"/>
              </w:rPr>
            </w:pPr>
            <w:r>
              <w:rPr>
                <w:rFonts w:ascii="Arial" w:cs="Arial" w:eastAsia="Arial" w:hAnsi="Arial"/>
                <w:sz w:val="14"/>
                <w:szCs w:val="14"/>
                <w:color w:val="auto"/>
              </w:rPr>
              <w:t>Employee Stock Purchase Plan</w:t>
            </w:r>
          </w:p>
        </w:tc>
        <w:tc>
          <w:tcPr>
            <w:tcW w:w="1060" w:type="dxa"/>
            <w:vAlign w:val="bottom"/>
            <w:shd w:val="clear" w:color="auto" w:fill="FFC080"/>
          </w:tcPr>
          <w:p>
            <w:pPr>
              <w:jc w:val="right"/>
              <w:ind w:right="6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8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160" w:type="dxa"/>
            <w:vAlign w:val="bottom"/>
            <w:shd w:val="clear" w:color="auto" w:fill="FFC080"/>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120" w:type="dxa"/>
            <w:vAlign w:val="bottom"/>
            <w:shd w:val="clear" w:color="auto" w:fill="FFC080"/>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140" w:type="dxa"/>
            <w:vAlign w:val="bottom"/>
            <w:shd w:val="clear" w:color="auto" w:fill="FFC080"/>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4"/>
                <w:szCs w:val="14"/>
                <w:color w:val="auto"/>
              </w:rPr>
              <w:t>Unrealized loss on marketable securities, net of tax</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FFC080"/>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shd w:val="clear" w:color="auto" w:fill="FFC080"/>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820" w:type="dxa"/>
            <w:vAlign w:val="bottom"/>
            <w:gridSpan w:val="2"/>
            <w:shd w:val="clear" w:color="auto" w:fill="FFC080"/>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080" w:type="dxa"/>
            <w:vAlign w:val="bottom"/>
            <w:gridSpan w:val="2"/>
            <w:shd w:val="clear" w:color="auto" w:fill="FFC080"/>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1160" w:type="dxa"/>
            <w:vAlign w:val="bottom"/>
            <w:shd w:val="clear" w:color="auto" w:fill="FFC080"/>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12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424</w:t>
            </w:r>
          </w:p>
        </w:tc>
        <w:tc>
          <w:tcPr>
            <w:tcW w:w="12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140" w:type="dxa"/>
            <w:vAlign w:val="bottom"/>
            <w:shd w:val="clear" w:color="auto" w:fill="FFC080"/>
          </w:tcPr>
          <w:p>
            <w:pPr>
              <w:jc w:val="right"/>
              <w:ind w:right="28"/>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FFC08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gridSpan w:val="2"/>
          </w:tcPr>
          <w:p>
            <w:pPr>
              <w:spacing w:after="0"/>
              <w:rPr>
                <w:sz w:val="20"/>
                <w:szCs w:val="20"/>
                <w:color w:val="auto"/>
              </w:rPr>
            </w:pPr>
            <w:r>
              <w:rPr>
                <w:rFonts w:ascii="Arial" w:cs="Arial" w:eastAsia="Arial" w:hAnsi="Arial"/>
                <w:sz w:val="14"/>
                <w:szCs w:val="14"/>
                <w:color w:val="auto"/>
              </w:rPr>
              <w:t>Balances at December 31, 2009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8,929,134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38,810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(9,721)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29,098</w:t>
            </w:r>
          </w:p>
        </w:tc>
        <w:tc>
          <w:tcPr>
            <w:tcW w:w="0" w:type="dxa"/>
            <w:vAlign w:val="bottom"/>
          </w:tcPr>
          <w:p>
            <w:pPr>
              <w:spacing w:after="0"/>
              <w:rPr>
                <w:sz w:val="1"/>
                <w:szCs w:val="1"/>
                <w:color w:val="auto"/>
              </w:rPr>
            </w:pPr>
          </w:p>
        </w:tc>
      </w:tr>
      <w:tr>
        <w:trPr>
          <w:trHeight w:val="224"/>
        </w:trPr>
        <w:tc>
          <w:tcPr>
            <w:tcW w:w="3900" w:type="dxa"/>
            <w:vAlign w:val="bottom"/>
            <w:gridSpan w:val="2"/>
          </w:tcPr>
          <w:p>
            <w:pPr>
              <w:spacing w:after="0"/>
              <w:rPr>
                <w:sz w:val="20"/>
                <w:szCs w:val="20"/>
                <w:color w:val="auto"/>
              </w:rPr>
            </w:pPr>
            <w:r>
              <w:rPr>
                <w:rFonts w:ascii="Arial" w:cs="Arial" w:eastAsia="Arial" w:hAnsi="Arial"/>
                <w:sz w:val="14"/>
                <w:szCs w:val="14"/>
                <w:color w:val="auto"/>
              </w:rPr>
              <w:t>Compensation cost associated with ASC Topic 718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FC080"/>
          </w:tcPr>
          <w:p>
            <w:pPr>
              <w:spacing w:after="0"/>
              <w:rPr>
                <w:sz w:val="20"/>
                <w:szCs w:val="20"/>
                <w:color w:val="auto"/>
              </w:rPr>
            </w:pPr>
            <w:r>
              <w:rPr>
                <w:rFonts w:ascii="Arial" w:cs="Arial" w:eastAsia="Arial" w:hAnsi="Arial"/>
                <w:sz w:val="14"/>
                <w:szCs w:val="14"/>
                <w:color w:val="auto"/>
              </w:rPr>
              <w:t>Employee Stock Purchase Plan</w:t>
            </w:r>
          </w:p>
        </w:tc>
        <w:tc>
          <w:tcPr>
            <w:tcW w:w="1060" w:type="dxa"/>
            <w:vAlign w:val="bottom"/>
            <w:shd w:val="clear" w:color="auto" w:fill="FFC080"/>
          </w:tcPr>
          <w:p>
            <w:pPr>
              <w:jc w:val="right"/>
              <w:ind w:right="6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8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160" w:type="dxa"/>
            <w:vAlign w:val="bottom"/>
            <w:shd w:val="clear" w:color="auto" w:fill="FFC080"/>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120" w:type="dxa"/>
            <w:vAlign w:val="bottom"/>
            <w:shd w:val="clear" w:color="auto" w:fill="FFC080"/>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140" w:type="dxa"/>
            <w:vAlign w:val="bottom"/>
            <w:shd w:val="clear" w:color="auto" w:fill="FFC080"/>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27"/>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FFC080"/>
          </w:tcPr>
          <w:p>
            <w:pPr>
              <w:spacing w:after="0"/>
              <w:rPr>
                <w:sz w:val="20"/>
                <w:szCs w:val="20"/>
                <w:color w:val="auto"/>
              </w:rPr>
            </w:pPr>
            <w:r>
              <w:rPr>
                <w:rFonts w:ascii="Arial" w:cs="Arial" w:eastAsia="Arial" w:hAnsi="Arial"/>
                <w:sz w:val="14"/>
                <w:szCs w:val="14"/>
                <w:color w:val="auto"/>
              </w:rPr>
              <w:t>Balances at December 31, 2010</w:t>
            </w:r>
          </w:p>
        </w:tc>
        <w:tc>
          <w:tcPr>
            <w:tcW w:w="1060" w:type="dxa"/>
            <w:vAlign w:val="bottom"/>
            <w:shd w:val="clear" w:color="auto" w:fill="FFC080"/>
          </w:tcPr>
          <w:p>
            <w:pPr>
              <w:jc w:val="right"/>
              <w:ind w:right="68"/>
              <w:spacing w:after="0"/>
              <w:rPr>
                <w:sz w:val="20"/>
                <w:szCs w:val="20"/>
                <w:color w:val="auto"/>
              </w:rPr>
            </w:pPr>
            <w:r>
              <w:rPr>
                <w:rFonts w:ascii="Arial" w:cs="Arial" w:eastAsia="Arial" w:hAnsi="Arial"/>
                <w:sz w:val="14"/>
                <w:szCs w:val="14"/>
                <w:color w:val="auto"/>
              </w:rPr>
              <w:t>8,929,439</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FFC080"/>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FFC080"/>
          </w:tcPr>
          <w:p>
            <w:pPr>
              <w:spacing w:after="0"/>
              <w:rPr>
                <w:sz w:val="20"/>
                <w:szCs w:val="20"/>
                <w:color w:val="auto"/>
              </w:rPr>
            </w:pP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FC080"/>
          </w:tcPr>
          <w:p>
            <w:pPr>
              <w:jc w:val="right"/>
              <w:ind w:right="100"/>
              <w:spacing w:after="0"/>
              <w:rPr>
                <w:sz w:val="20"/>
                <w:szCs w:val="20"/>
                <w:color w:val="auto"/>
              </w:rPr>
            </w:pPr>
            <w:r>
              <w:rPr>
                <w:rFonts w:ascii="Arial" w:cs="Arial" w:eastAsia="Arial" w:hAnsi="Arial"/>
                <w:sz w:val="14"/>
                <w:szCs w:val="14"/>
                <w:color w:val="auto"/>
              </w:rPr>
              <w:t>39,073</w:t>
            </w:r>
          </w:p>
        </w:tc>
        <w:tc>
          <w:tcPr>
            <w:tcW w:w="200" w:type="dxa"/>
            <w:vAlign w:val="bottom"/>
            <w:gridSpan w:val="2"/>
            <w:shd w:val="clear" w:color="auto" w:fill="FFC080"/>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FC080"/>
          </w:tcPr>
          <w:p>
            <w:pPr>
              <w:jc w:val="right"/>
              <w:ind w:right="27"/>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FC080"/>
          </w:tcPr>
          <w:p>
            <w:pPr>
              <w:jc w:val="right"/>
              <w:spacing w:after="0"/>
              <w:rPr>
                <w:sz w:val="20"/>
                <w:szCs w:val="20"/>
                <w:color w:val="auto"/>
              </w:rPr>
            </w:pPr>
            <w:r>
              <w:rPr>
                <w:rFonts w:ascii="Arial" w:cs="Arial" w:eastAsia="Arial" w:hAnsi="Arial"/>
                <w:sz w:val="14"/>
                <w:szCs w:val="14"/>
                <w:color w:val="auto"/>
              </w:rPr>
              <w:t>(7,347)</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FC080"/>
          </w:tcPr>
          <w:p>
            <w:pPr>
              <w:jc w:val="right"/>
              <w:ind w:right="28"/>
              <w:spacing w:after="0"/>
              <w:rPr>
                <w:sz w:val="20"/>
                <w:szCs w:val="20"/>
                <w:color w:val="auto"/>
              </w:rPr>
            </w:pPr>
            <w:r>
              <w:rPr>
                <w:rFonts w:ascii="Arial" w:cs="Arial" w:eastAsia="Arial" w:hAnsi="Arial"/>
                <w:sz w:val="14"/>
                <w:szCs w:val="14"/>
                <w:color w:val="auto"/>
              </w:rPr>
              <w:t>31,735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FC080"/>
            </w:tcBorders>
            <w:shd w:val="clear" w:color="auto" w:fill="FFC08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See accompanying 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340"/>
              <w:spacing w:after="0"/>
              <w:rPr>
                <w:sz w:val="20"/>
                <w:szCs w:val="20"/>
                <w:color w:val="auto"/>
              </w:rPr>
            </w:pPr>
            <w:r>
              <w:rPr>
                <w:rFonts w:ascii="Arial" w:cs="Arial" w:eastAsia="Arial" w:hAnsi="Arial"/>
                <w:sz w:val="14"/>
                <w:szCs w:val="14"/>
                <w:b w:val="1"/>
                <w:bCs w:val="1"/>
                <w:color w:val="auto"/>
                <w:w w:val="99"/>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ind w:right="300"/>
              <w:spacing w:after="0"/>
              <w:rPr>
                <w:sz w:val="20"/>
                <w:szCs w:val="20"/>
                <w:color w:val="auto"/>
              </w:rPr>
            </w:pPr>
            <w:r>
              <w:rPr>
                <w:rFonts w:ascii="Arial" w:cs="Arial" w:eastAsia="Arial" w:hAnsi="Arial"/>
                <w:sz w:val="14"/>
                <w:szCs w:val="14"/>
                <w:b w:val="1"/>
                <w:bCs w:val="1"/>
                <w:color w:val="auto"/>
                <w:w w:val="98"/>
              </w:rPr>
              <w:t>December 31, 2009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40"/>
              <w:spacing w:after="0"/>
              <w:rPr>
                <w:sz w:val="20"/>
                <w:szCs w:val="20"/>
                <w:color w:val="auto"/>
              </w:rPr>
            </w:pPr>
            <w:r>
              <w:rPr>
                <w:rFonts w:ascii="Arial" w:cs="Arial" w:eastAsia="Arial" w:hAnsi="Arial"/>
                <w:sz w:val="14"/>
                <w:szCs w:val="14"/>
                <w:b w:val="1"/>
                <w:bCs w:val="1"/>
                <w:color w:val="auto"/>
                <w:w w:val="94"/>
              </w:rPr>
              <w:t>June 30,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FFC080"/>
          </w:tcPr>
          <w:p>
            <w:pPr>
              <w:spacing w:after="0"/>
              <w:rPr>
                <w:sz w:val="17"/>
                <w:szCs w:val="17"/>
                <w:color w:val="auto"/>
              </w:rPr>
            </w:pPr>
          </w:p>
        </w:tc>
        <w:tc>
          <w:tcPr>
            <w:tcW w:w="1560" w:type="dxa"/>
            <w:vAlign w:val="bottom"/>
            <w:tcBorders>
              <w:top w:val="single" w:sz="8" w:color="auto"/>
            </w:tcBorders>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60" w:type="dxa"/>
            <w:vAlign w:val="bottom"/>
            <w:tcBorders>
              <w:top w:val="single" w:sz="8" w:color="auto"/>
            </w:tcBorders>
            <w:shd w:val="clear" w:color="auto" w:fill="FFC080"/>
          </w:tcPr>
          <w:p>
            <w:pPr>
              <w:spacing w:after="0"/>
              <w:rPr>
                <w:sz w:val="17"/>
                <w:szCs w:val="17"/>
                <w:color w:val="auto"/>
              </w:rPr>
            </w:pPr>
          </w:p>
        </w:tc>
        <w:tc>
          <w:tcPr>
            <w:tcW w:w="1640" w:type="dxa"/>
            <w:vAlign w:val="bottom"/>
            <w:tcBorders>
              <w:top w:val="single" w:sz="8" w:color="auto"/>
            </w:tcBorders>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60" w:type="dxa"/>
            <w:vAlign w:val="bottom"/>
            <w:tcBorders>
              <w:top w:val="single" w:sz="8" w:color="auto"/>
            </w:tcBorders>
            <w:shd w:val="clear" w:color="auto" w:fill="FFC080"/>
          </w:tcPr>
          <w:p>
            <w:pPr>
              <w:spacing w:after="0"/>
              <w:rPr>
                <w:sz w:val="17"/>
                <w:szCs w:val="17"/>
                <w:color w:val="auto"/>
              </w:rPr>
            </w:pPr>
          </w:p>
        </w:tc>
        <w:tc>
          <w:tcPr>
            <w:tcW w:w="1200" w:type="dxa"/>
            <w:vAlign w:val="bottom"/>
            <w:tcBorders>
              <w:top w:val="single" w:sz="8" w:color="auto"/>
            </w:tcBorders>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160"/>
              <w:spacing w:after="0"/>
              <w:rPr>
                <w:sz w:val="20"/>
                <w:szCs w:val="20"/>
                <w:color w:val="auto"/>
              </w:rPr>
            </w:pPr>
            <w:r>
              <w:rPr>
                <w:rFonts w:ascii="Arial" w:cs="Arial" w:eastAsia="Arial" w:hAnsi="Arial"/>
                <w:sz w:val="16"/>
                <w:szCs w:val="16"/>
                <w:color w:val="auto"/>
              </w:rPr>
              <w:t>Adjustments to reconcile net income to net cash provided by (used in) operations:</w:t>
            </w:r>
          </w:p>
        </w:tc>
        <w:tc>
          <w:tcPr>
            <w:tcW w:w="180" w:type="dxa"/>
            <w:vAlign w:val="bottom"/>
            <w:shd w:val="clear" w:color="auto" w:fill="FFC080"/>
          </w:tcPr>
          <w:p>
            <w:pPr>
              <w:spacing w:after="0"/>
              <w:rPr>
                <w:sz w:val="17"/>
                <w:szCs w:val="17"/>
                <w:color w:val="auto"/>
              </w:rPr>
            </w:pPr>
          </w:p>
        </w:tc>
        <w:tc>
          <w:tcPr>
            <w:tcW w:w="156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8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48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FFC080"/>
          </w:tcPr>
          <w:p>
            <w:pPr>
              <w:spacing w:after="0"/>
              <w:rPr>
                <w:sz w:val="17"/>
                <w:szCs w:val="17"/>
                <w:color w:val="auto"/>
              </w:rPr>
            </w:pPr>
          </w:p>
        </w:tc>
        <w:tc>
          <w:tcPr>
            <w:tcW w:w="156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8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480"/>
              <w:spacing w:after="0"/>
              <w:rPr>
                <w:sz w:val="20"/>
                <w:szCs w:val="20"/>
                <w:color w:val="auto"/>
              </w:rPr>
            </w:pPr>
            <w:r>
              <w:rPr>
                <w:rFonts w:ascii="Arial" w:cs="Arial" w:eastAsia="Arial" w:hAnsi="Arial"/>
                <w:sz w:val="16"/>
                <w:szCs w:val="16"/>
                <w:color w:val="auto"/>
              </w:rPr>
              <w:t>Increase (decrease) in reserves against inventory</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40"/>
              <w:spacing w:after="0"/>
              <w:rPr>
                <w:sz w:val="20"/>
                <w:szCs w:val="20"/>
                <w:color w:val="auto"/>
              </w:rPr>
            </w:pPr>
            <w:r>
              <w:rPr>
                <w:rFonts w:ascii="Arial" w:cs="Arial" w:eastAsia="Arial" w:hAnsi="Arial"/>
                <w:sz w:val="16"/>
                <w:szCs w:val="16"/>
                <w:color w:val="auto"/>
              </w:rPr>
              <w:t>(104 )</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80"/>
              <w:spacing w:after="0"/>
              <w:rPr>
                <w:sz w:val="20"/>
                <w:szCs w:val="20"/>
                <w:color w:val="auto"/>
              </w:rPr>
            </w:pPr>
            <w:r>
              <w:rPr>
                <w:rFonts w:ascii="Arial" w:cs="Arial" w:eastAsia="Arial" w:hAnsi="Arial"/>
                <w:sz w:val="16"/>
                <w:szCs w:val="16"/>
                <w:color w:val="auto"/>
              </w:rPr>
              <w:t>Write-off of note receivable</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480"/>
              <w:spacing w:after="0"/>
              <w:rPr>
                <w:sz w:val="20"/>
                <w:szCs w:val="20"/>
                <w:color w:val="auto"/>
              </w:rPr>
            </w:pPr>
            <w:r>
              <w:rPr>
                <w:rFonts w:ascii="Arial" w:cs="Arial" w:eastAsia="Arial" w:hAnsi="Arial"/>
                <w:sz w:val="16"/>
                <w:szCs w:val="16"/>
                <w:color w:val="auto"/>
              </w:rPr>
              <w:t>Gain on sale of marketable securities</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480"/>
              <w:spacing w:after="0"/>
              <w:rPr>
                <w:sz w:val="20"/>
                <w:szCs w:val="20"/>
                <w:color w:val="auto"/>
              </w:rPr>
            </w:pPr>
            <w:r>
              <w:rPr>
                <w:rFonts w:ascii="Arial" w:cs="Arial" w:eastAsia="Arial" w:hAnsi="Arial"/>
                <w:sz w:val="16"/>
                <w:szCs w:val="16"/>
                <w:color w:val="auto"/>
              </w:rPr>
              <w:t>Loss (gain) on disposal of assets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FFC080"/>
          </w:tcPr>
          <w:p>
            <w:pPr>
              <w:spacing w:after="0"/>
              <w:rPr>
                <w:sz w:val="17"/>
                <w:szCs w:val="17"/>
                <w:color w:val="auto"/>
              </w:rPr>
            </w:pPr>
          </w:p>
        </w:tc>
        <w:tc>
          <w:tcPr>
            <w:tcW w:w="156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8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(3,483 )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800"/>
              <w:spacing w:after="0"/>
              <w:rPr>
                <w:sz w:val="20"/>
                <w:szCs w:val="20"/>
                <w:color w:val="auto"/>
              </w:rPr>
            </w:pPr>
            <w:r>
              <w:rPr>
                <w:rFonts w:ascii="Arial" w:cs="Arial" w:eastAsia="Arial" w:hAnsi="Arial"/>
                <w:sz w:val="16"/>
                <w:szCs w:val="16"/>
                <w:color w:val="auto"/>
              </w:rPr>
              <w:t>Deposit, bond for preliminary injunction</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8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80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40"/>
              <w:spacing w:after="0"/>
              <w:rPr>
                <w:sz w:val="20"/>
                <w:szCs w:val="20"/>
                <w:color w:val="auto"/>
              </w:rPr>
            </w:pPr>
            <w:r>
              <w:rPr>
                <w:rFonts w:ascii="Arial" w:cs="Arial" w:eastAsia="Arial" w:hAnsi="Arial"/>
                <w:sz w:val="16"/>
                <w:szCs w:val="16"/>
                <w:color w:val="auto"/>
              </w:rPr>
              <w:t>(137 )</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80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8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80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3,041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800"/>
              <w:spacing w:after="0"/>
              <w:rPr>
                <w:sz w:val="20"/>
                <w:szCs w:val="20"/>
                <w:color w:val="auto"/>
              </w:rPr>
            </w:pPr>
            <w:r>
              <w:rPr>
                <w:rFonts w:ascii="Arial" w:cs="Arial" w:eastAsia="Arial" w:hAnsi="Arial"/>
                <w:sz w:val="16"/>
                <w:szCs w:val="16"/>
                <w:color w:val="auto"/>
              </w:rPr>
              <w:t>Deferred product revenue</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40"/>
              <w:spacing w:after="0"/>
              <w:rPr>
                <w:sz w:val="20"/>
                <w:szCs w:val="20"/>
                <w:color w:val="auto"/>
              </w:rPr>
            </w:pPr>
            <w:r>
              <w:rPr>
                <w:rFonts w:ascii="Arial" w:cs="Arial" w:eastAsia="Arial" w:hAnsi="Arial"/>
                <w:sz w:val="16"/>
                <w:szCs w:val="16"/>
                <w:color w:val="auto"/>
              </w:rPr>
              <w:t>(401 )</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80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FFC080"/>
            </w:tcBorders>
            <w:shd w:val="clear" w:color="auto" w:fill="FFC080"/>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bottom w:val="single" w:sz="8" w:color="auto"/>
            </w:tcBorders>
            <w:shd w:val="clear" w:color="auto" w:fill="FFC080"/>
          </w:tcPr>
          <w:p>
            <w:pPr>
              <w:spacing w:after="0"/>
              <w:rPr>
                <w:sz w:val="18"/>
                <w:szCs w:val="18"/>
                <w:color w:val="auto"/>
              </w:rPr>
            </w:pPr>
          </w:p>
        </w:tc>
        <w:tc>
          <w:tcPr>
            <w:tcW w:w="1680" w:type="dxa"/>
            <w:vAlign w:val="bottom"/>
            <w:tcBorders>
              <w:bottom w:val="single" w:sz="8" w:color="auto"/>
            </w:tcBorders>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4,386</w:t>
            </w:r>
          </w:p>
        </w:tc>
        <w:tc>
          <w:tcPr>
            <w:tcW w:w="12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6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2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FFC080"/>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FFC080"/>
          </w:tcPr>
          <w:p>
            <w:pPr>
              <w:spacing w:after="0"/>
              <w:rPr>
                <w:sz w:val="17"/>
                <w:szCs w:val="17"/>
                <w:color w:val="auto"/>
              </w:rPr>
            </w:pPr>
          </w:p>
        </w:tc>
        <w:tc>
          <w:tcPr>
            <w:tcW w:w="156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Acquisition of NetStreams, Inc. (net of cash acquired)</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Escrow proceeds received pursuant to NetStreams acquisition</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(799 )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6"/>
                <w:szCs w:val="16"/>
                <w:color w:val="auto"/>
              </w:rPr>
              <w:t>Sale of marketable securities</w:t>
            </w:r>
          </w:p>
        </w:tc>
        <w:tc>
          <w:tcPr>
            <w:tcW w:w="180" w:type="dxa"/>
            <w:vAlign w:val="bottom"/>
            <w:tcBorders>
              <w:bottom w:val="single" w:sz="8" w:color="auto"/>
            </w:tcBorders>
            <w:shd w:val="clear" w:color="auto" w:fill="FFC080"/>
          </w:tcPr>
          <w:p>
            <w:pPr>
              <w:spacing w:after="0"/>
              <w:rPr>
                <w:sz w:val="18"/>
                <w:szCs w:val="18"/>
                <w:color w:val="auto"/>
              </w:rPr>
            </w:pPr>
          </w:p>
        </w:tc>
        <w:tc>
          <w:tcPr>
            <w:tcW w:w="1680" w:type="dxa"/>
            <w:vAlign w:val="bottom"/>
            <w:tcBorders>
              <w:bottom w:val="single" w:sz="8" w:color="auto"/>
            </w:tcBorders>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64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20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17,356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640"/>
              <w:spacing w:after="0"/>
              <w:rPr>
                <w:sz w:val="20"/>
                <w:szCs w:val="20"/>
                <w:color w:val="auto"/>
              </w:rPr>
            </w:pPr>
            <w:r>
              <w:rPr>
                <w:rFonts w:ascii="Arial" w:cs="Arial" w:eastAsia="Arial" w:hAnsi="Arial"/>
                <w:sz w:val="16"/>
                <w:szCs w:val="16"/>
                <w:color w:val="auto"/>
              </w:rPr>
              <w:t>Net cash (used in) provided by investing activities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(449 )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6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56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6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20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Proceeds from the issuance of common stock - options</w:t>
            </w:r>
          </w:p>
        </w:tc>
        <w:tc>
          <w:tcPr>
            <w:tcW w:w="180" w:type="dxa"/>
            <w:vAlign w:val="bottom"/>
            <w:shd w:val="clear" w:color="auto" w:fill="FFC080"/>
          </w:tcPr>
          <w:p>
            <w:pPr>
              <w:spacing w:after="0"/>
              <w:rPr>
                <w:sz w:val="17"/>
                <w:szCs w:val="17"/>
                <w:color w:val="auto"/>
              </w:rPr>
            </w:pPr>
          </w:p>
        </w:tc>
        <w:tc>
          <w:tcPr>
            <w:tcW w:w="168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64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shd w:val="clear" w:color="auto" w:fill="FFC080"/>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Common stock purchased and retired</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6"/>
                <w:szCs w:val="16"/>
                <w:color w:val="auto"/>
              </w:rPr>
              <w:t>Principal payments on long-term debt</w:t>
            </w:r>
          </w:p>
        </w:tc>
        <w:tc>
          <w:tcPr>
            <w:tcW w:w="180" w:type="dxa"/>
            <w:vAlign w:val="bottom"/>
            <w:tcBorders>
              <w:bottom w:val="single" w:sz="8" w:color="auto"/>
            </w:tcBorders>
            <w:shd w:val="clear" w:color="auto" w:fill="FFC080"/>
          </w:tcPr>
          <w:p>
            <w:pPr>
              <w:spacing w:after="0"/>
              <w:rPr>
                <w:sz w:val="18"/>
                <w:szCs w:val="18"/>
                <w:color w:val="auto"/>
              </w:rPr>
            </w:pPr>
          </w:p>
        </w:tc>
        <w:tc>
          <w:tcPr>
            <w:tcW w:w="1680" w:type="dxa"/>
            <w:vAlign w:val="bottom"/>
            <w:tcBorders>
              <w:bottom w:val="single" w:sz="8" w:color="auto"/>
            </w:tcBorders>
            <w:gridSpan w:val="2"/>
            <w:shd w:val="clear" w:color="auto" w:fill="FFC080"/>
          </w:tcPr>
          <w:p>
            <w:pPr>
              <w:jc w:val="right"/>
              <w:ind w:right="60"/>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64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20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64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60" w:type="dxa"/>
            <w:vAlign w:val="bottom"/>
            <w:shd w:val="clear" w:color="auto" w:fill="FFC080"/>
          </w:tcPr>
          <w:p>
            <w:pPr>
              <w:spacing w:after="0"/>
              <w:rPr>
                <w:sz w:val="12"/>
                <w:szCs w:val="12"/>
                <w:color w:val="auto"/>
              </w:rPr>
            </w:pPr>
          </w:p>
        </w:tc>
        <w:tc>
          <w:tcPr>
            <w:tcW w:w="180" w:type="dxa"/>
            <w:vAlign w:val="bottom"/>
            <w:shd w:val="clear" w:color="auto" w:fill="FFC080"/>
          </w:tcPr>
          <w:p>
            <w:pPr>
              <w:spacing w:after="0"/>
              <w:rPr>
                <w:sz w:val="12"/>
                <w:szCs w:val="12"/>
                <w:color w:val="auto"/>
              </w:rPr>
            </w:pPr>
          </w:p>
        </w:tc>
        <w:tc>
          <w:tcPr>
            <w:tcW w:w="156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2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640" w:type="dxa"/>
            <w:vAlign w:val="bottom"/>
            <w:shd w:val="clear" w:color="auto" w:fill="FFC080"/>
          </w:tcPr>
          <w:p>
            <w:pPr>
              <w:spacing w:after="0"/>
              <w:rPr>
                <w:sz w:val="12"/>
                <w:szCs w:val="12"/>
                <w:color w:val="auto"/>
              </w:rPr>
            </w:pPr>
          </w:p>
        </w:tc>
        <w:tc>
          <w:tcPr>
            <w:tcW w:w="100" w:type="dxa"/>
            <w:vAlign w:val="bottom"/>
            <w:shd w:val="clear" w:color="auto" w:fill="FFC080"/>
          </w:tcPr>
          <w:p>
            <w:pPr>
              <w:spacing w:after="0"/>
              <w:rPr>
                <w:sz w:val="12"/>
                <w:szCs w:val="12"/>
                <w:color w:val="auto"/>
              </w:rPr>
            </w:pPr>
          </w:p>
        </w:tc>
        <w:tc>
          <w:tcPr>
            <w:tcW w:w="160" w:type="dxa"/>
            <w:vAlign w:val="bottom"/>
            <w:shd w:val="clear" w:color="auto" w:fill="FFC080"/>
          </w:tcPr>
          <w:p>
            <w:pPr>
              <w:spacing w:after="0"/>
              <w:rPr>
                <w:sz w:val="12"/>
                <w:szCs w:val="12"/>
                <w:color w:val="auto"/>
              </w:rPr>
            </w:pPr>
          </w:p>
        </w:tc>
        <w:tc>
          <w:tcPr>
            <w:tcW w:w="120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180" w:type="dxa"/>
            <w:vAlign w:val="bottom"/>
            <w:tcBorders>
              <w:bottom w:val="single" w:sz="8" w:color="auto"/>
            </w:tcBorders>
            <w:shd w:val="clear" w:color="auto" w:fill="FFC080"/>
          </w:tcPr>
          <w:p>
            <w:pPr>
              <w:spacing w:after="0"/>
              <w:rPr>
                <w:sz w:val="18"/>
                <w:szCs w:val="18"/>
                <w:color w:val="auto"/>
              </w:rPr>
            </w:pPr>
          </w:p>
        </w:tc>
        <w:tc>
          <w:tcPr>
            <w:tcW w:w="1680" w:type="dxa"/>
            <w:vAlign w:val="bottom"/>
            <w:tcBorders>
              <w:bottom w:val="single" w:sz="8" w:color="auto"/>
            </w:tcBorders>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9,494</w:t>
            </w:r>
          </w:p>
        </w:tc>
        <w:tc>
          <w:tcPr>
            <w:tcW w:w="12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64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9,801</w:t>
            </w:r>
          </w:p>
        </w:tc>
        <w:tc>
          <w:tcPr>
            <w:tcW w:w="10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auto"/>
            </w:tcBorders>
            <w:shd w:val="clear" w:color="auto" w:fill="FFC080"/>
          </w:tcPr>
          <w:p>
            <w:pPr>
              <w:spacing w:after="0"/>
              <w:rPr>
                <w:sz w:val="18"/>
                <w:szCs w:val="18"/>
                <w:color w:val="auto"/>
              </w:rPr>
            </w:pPr>
          </w:p>
        </w:tc>
        <w:tc>
          <w:tcPr>
            <w:tcW w:w="1200" w:type="dxa"/>
            <w:vAlign w:val="bottom"/>
            <w:tcBorders>
              <w:bottom w:val="single" w:sz="8" w:color="auto"/>
            </w:tcBorders>
            <w:shd w:val="clear" w:color="auto" w:fill="FFC080"/>
          </w:tcPr>
          <w:p>
            <w:pPr>
              <w:jc w:val="right"/>
              <w:ind w:right="20"/>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Arial" w:cs="Arial" w:eastAsia="Arial" w:hAnsi="Arial"/>
                <w:sz w:val="16"/>
                <w:szCs w:val="16"/>
                <w:color w:val="auto"/>
              </w:rPr>
              <w:t>Cash and cash equivalents at the end of the year</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20"/>
              <w:spacing w:after="0"/>
              <w:rPr>
                <w:sz w:val="20"/>
                <w:szCs w:val="20"/>
                <w:color w:val="auto"/>
              </w:rPr>
            </w:pPr>
            <w:r>
              <w:rPr>
                <w:rFonts w:ascii="Arial" w:cs="Arial" w:eastAsia="Arial" w:hAnsi="Arial"/>
                <w:sz w:val="16"/>
                <w:szCs w:val="16"/>
                <w:color w:val="auto"/>
              </w:rPr>
              <w:t>11,431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9,494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See accompanying 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60" w:type="dxa"/>
            <w:vAlign w:val="bottom"/>
          </w:tcPr>
          <w:p>
            <w:pPr>
              <w:jc w:val="right"/>
              <w:ind w:right="166"/>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December 31, 2010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December 31, 2009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spacing w:after="0"/>
              <w:rPr>
                <w:sz w:val="20"/>
                <w:szCs w:val="20"/>
                <w:color w:val="auto"/>
              </w:rPr>
            </w:pPr>
            <w:r>
              <w:rPr>
                <w:rFonts w:ascii="Arial" w:cs="Arial" w:eastAsia="Arial" w:hAnsi="Arial"/>
                <w:sz w:val="16"/>
                <w:szCs w:val="16"/>
                <w:color w:val="auto"/>
              </w:rPr>
              <w:t>Supplemental disclosure of cash flow information:</w:t>
            </w:r>
          </w:p>
        </w:tc>
        <w:tc>
          <w:tcPr>
            <w:tcW w:w="1460" w:type="dxa"/>
            <w:vAlign w:val="bottom"/>
            <w:tcBorders>
              <w:top w:val="single" w:sz="8" w:color="auto"/>
            </w:tcBorders>
            <w:shd w:val="clear" w:color="auto" w:fill="FFC080"/>
          </w:tcPr>
          <w:p>
            <w:pPr>
              <w:spacing w:after="0"/>
              <w:rPr>
                <w:sz w:val="17"/>
                <w:szCs w:val="17"/>
                <w:color w:val="auto"/>
              </w:rPr>
            </w:pPr>
          </w:p>
        </w:tc>
        <w:tc>
          <w:tcPr>
            <w:tcW w:w="260" w:type="dxa"/>
            <w:vAlign w:val="bottom"/>
            <w:tcBorders>
              <w:top w:val="single" w:sz="8" w:color="auto"/>
            </w:tcBorders>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480" w:type="dxa"/>
            <w:vAlign w:val="bottom"/>
            <w:tcBorders>
              <w:top w:val="single" w:sz="8" w:color="auto"/>
            </w:tcBorders>
            <w:shd w:val="clear" w:color="auto" w:fill="FFC080"/>
          </w:tcPr>
          <w:p>
            <w:pPr>
              <w:spacing w:after="0"/>
              <w:rPr>
                <w:sz w:val="17"/>
                <w:szCs w:val="17"/>
                <w:color w:val="auto"/>
              </w:rPr>
            </w:pPr>
          </w:p>
        </w:tc>
        <w:tc>
          <w:tcPr>
            <w:tcW w:w="220" w:type="dxa"/>
            <w:vAlign w:val="bottom"/>
            <w:tcBorders>
              <w:top w:val="single" w:sz="8" w:color="auto"/>
            </w:tcBorders>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60" w:type="dxa"/>
            <w:vAlign w:val="bottom"/>
            <w:tcBorders>
              <w:top w:val="single" w:sz="8" w:color="auto"/>
            </w:tcBorders>
            <w:shd w:val="clear" w:color="auto" w:fill="FFC080"/>
          </w:tcPr>
          <w:p>
            <w:pPr>
              <w:spacing w:after="0"/>
              <w:rPr>
                <w:sz w:val="17"/>
                <w:szCs w:val="17"/>
                <w:color w:val="auto"/>
              </w:rPr>
            </w:pPr>
          </w:p>
        </w:tc>
        <w:tc>
          <w:tcPr>
            <w:tcW w:w="1100" w:type="dxa"/>
            <w:vAlign w:val="bottom"/>
            <w:tcBorders>
              <w:top w:val="single" w:sz="8" w:color="auto"/>
            </w:tcBorders>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1460" w:type="dxa"/>
            <w:vAlign w:val="bottom"/>
          </w:tcPr>
          <w:p>
            <w:pPr>
              <w:jc w:val="right"/>
              <w:ind w:right="1306"/>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160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Cash paid for income taxes</w:t>
            </w:r>
          </w:p>
        </w:tc>
        <w:tc>
          <w:tcPr>
            <w:tcW w:w="1460" w:type="dxa"/>
            <w:vAlign w:val="bottom"/>
            <w:shd w:val="clear" w:color="auto" w:fill="FFC080"/>
          </w:tcPr>
          <w:p>
            <w:pPr>
              <w:spacing w:after="0"/>
              <w:rPr>
                <w:sz w:val="17"/>
                <w:szCs w:val="17"/>
                <w:color w:val="auto"/>
              </w:rPr>
            </w:pPr>
          </w:p>
        </w:tc>
        <w:tc>
          <w:tcPr>
            <w:tcW w:w="400" w:type="dxa"/>
            <w:vAlign w:val="bottom"/>
            <w:gridSpan w:val="2"/>
            <w:shd w:val="clear" w:color="auto" w:fill="FFC080"/>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FFC080"/>
          </w:tcPr>
          <w:p>
            <w:pPr>
              <w:spacing w:after="0"/>
              <w:rPr>
                <w:sz w:val="17"/>
                <w:szCs w:val="17"/>
                <w:color w:val="auto"/>
              </w:rPr>
            </w:pPr>
          </w:p>
        </w:tc>
        <w:tc>
          <w:tcPr>
            <w:tcW w:w="1480" w:type="dxa"/>
            <w:vAlign w:val="bottom"/>
            <w:shd w:val="clear" w:color="auto" w:fill="FFC080"/>
          </w:tcPr>
          <w:p>
            <w:pPr>
              <w:spacing w:after="0"/>
              <w:rPr>
                <w:sz w:val="17"/>
                <w:szCs w:val="17"/>
                <w:color w:val="auto"/>
              </w:rPr>
            </w:pPr>
          </w:p>
        </w:tc>
        <w:tc>
          <w:tcPr>
            <w:tcW w:w="34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200" w:type="dxa"/>
            <w:vAlign w:val="bottom"/>
            <w:gridSpan w:val="2"/>
            <w:shd w:val="clear" w:color="auto" w:fill="FFC080"/>
          </w:tcPr>
          <w:p>
            <w:pPr>
              <w:jc w:val="right"/>
              <w:ind w:right="100"/>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FFC080"/>
          </w:tcPr>
          <w:p>
            <w:pPr>
              <w:spacing w:after="0"/>
              <w:rPr>
                <w:sz w:val="20"/>
                <w:szCs w:val="20"/>
                <w:color w:val="auto"/>
              </w:rPr>
            </w:pPr>
            <w:r>
              <w:rPr>
                <w:rFonts w:ascii="Arial" w:cs="Arial" w:eastAsia="Arial" w:hAnsi="Arial"/>
                <w:sz w:val="16"/>
                <w:szCs w:val="16"/>
                <w:color w:val="auto"/>
              </w:rPr>
              <w:t>Supplemental disclosure of non-cash activities:</w:t>
            </w:r>
          </w:p>
        </w:tc>
        <w:tc>
          <w:tcPr>
            <w:tcW w:w="146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4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10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w w:val="98"/>
              </w:rPr>
              <w:t>Exchanged accounts receivable and prepaid expenses from a vendor with accounts</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ind w:left="480"/>
              <w:spacing w:after="0"/>
              <w:rPr>
                <w:sz w:val="20"/>
                <w:szCs w:val="20"/>
                <w:color w:val="auto"/>
              </w:rPr>
            </w:pPr>
            <w:r>
              <w:rPr>
                <w:rFonts w:ascii="Arial" w:cs="Arial" w:eastAsia="Arial" w:hAnsi="Arial"/>
                <w:sz w:val="16"/>
                <w:szCs w:val="16"/>
                <w:color w:val="auto"/>
              </w:rPr>
              <w:t>payable to the same vendor</w:t>
            </w:r>
          </w:p>
        </w:tc>
        <w:tc>
          <w:tcPr>
            <w:tcW w:w="1460" w:type="dxa"/>
            <w:vAlign w:val="bottom"/>
          </w:tcPr>
          <w:p>
            <w:pPr>
              <w:jc w:val="right"/>
              <w:ind w:right="1306"/>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293</w:t>
            </w:r>
          </w:p>
        </w:tc>
        <w:tc>
          <w:tcPr>
            <w:tcW w:w="1600" w:type="dxa"/>
            <w:vAlign w:val="bottom"/>
            <w:gridSpan w:val="2"/>
          </w:tcPr>
          <w:p>
            <w:pPr>
              <w:jc w:val="right"/>
              <w:ind w:right="1328"/>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Unrealized gain (loss) on marketable securities, net of tax of $0, $2 and ($415)</w:t>
            </w:r>
          </w:p>
        </w:tc>
        <w:tc>
          <w:tcPr>
            <w:tcW w:w="1460" w:type="dxa"/>
            <w:vAlign w:val="bottom"/>
            <w:shd w:val="clear" w:color="auto" w:fill="FFC080"/>
          </w:tcPr>
          <w:p>
            <w:pPr>
              <w:spacing w:after="0"/>
              <w:rPr>
                <w:sz w:val="19"/>
                <w:szCs w:val="19"/>
                <w:color w:val="auto"/>
              </w:rPr>
            </w:pPr>
          </w:p>
        </w:tc>
        <w:tc>
          <w:tcPr>
            <w:tcW w:w="400" w:type="dxa"/>
            <w:vAlign w:val="bottom"/>
            <w:gridSpan w:val="2"/>
            <w:shd w:val="clear" w:color="auto" w:fill="FFC080"/>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FC080"/>
          </w:tcPr>
          <w:p>
            <w:pPr>
              <w:spacing w:after="0"/>
              <w:rPr>
                <w:sz w:val="19"/>
                <w:szCs w:val="19"/>
                <w:color w:val="auto"/>
              </w:rPr>
            </w:pPr>
          </w:p>
        </w:tc>
        <w:tc>
          <w:tcPr>
            <w:tcW w:w="1480" w:type="dxa"/>
            <w:vAlign w:val="bottom"/>
            <w:shd w:val="clear" w:color="auto" w:fill="FFC080"/>
          </w:tcPr>
          <w:p>
            <w:pPr>
              <w:spacing w:after="0"/>
              <w:rPr>
                <w:sz w:val="19"/>
                <w:szCs w:val="19"/>
                <w:color w:val="auto"/>
              </w:rPr>
            </w:pPr>
          </w:p>
        </w:tc>
        <w:tc>
          <w:tcPr>
            <w:tcW w:w="340" w:type="dxa"/>
            <w:vAlign w:val="bottom"/>
            <w:gridSpan w:val="2"/>
            <w:shd w:val="clear" w:color="auto" w:fill="FFC080"/>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shd w:val="clear" w:color="auto" w:fill="FFC080"/>
          </w:tcPr>
          <w:p>
            <w:pPr>
              <w:spacing w:after="0"/>
              <w:rPr>
                <w:sz w:val="19"/>
                <w:szCs w:val="19"/>
                <w:color w:val="auto"/>
              </w:rPr>
            </w:pPr>
          </w:p>
        </w:tc>
        <w:tc>
          <w:tcPr>
            <w:tcW w:w="160" w:type="dxa"/>
            <w:vAlign w:val="bottom"/>
            <w:shd w:val="clear" w:color="auto" w:fill="FFC080"/>
          </w:tcPr>
          <w:p>
            <w:pPr>
              <w:spacing w:after="0"/>
              <w:rPr>
                <w:sz w:val="19"/>
                <w:szCs w:val="19"/>
                <w:color w:val="auto"/>
              </w:rPr>
            </w:pPr>
          </w:p>
        </w:tc>
        <w:tc>
          <w:tcPr>
            <w:tcW w:w="1200" w:type="dxa"/>
            <w:vAlign w:val="bottom"/>
            <w:gridSpan w:val="2"/>
            <w:shd w:val="clear" w:color="auto" w:fill="FFC080"/>
          </w:tcPr>
          <w:p>
            <w:pPr>
              <w:jc w:val="right"/>
              <w:ind w:right="10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6"/>
                <w:szCs w:val="16"/>
                <w:color w:val="auto"/>
              </w:rPr>
              <w:t>Current liabilities reclassed to deferred rent</w:t>
            </w:r>
          </w:p>
        </w:tc>
        <w:tc>
          <w:tcPr>
            <w:tcW w:w="14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176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December 31, 2009, acquired NetStreams, Inc. in exchange for cash of $1,454 and recorded the following assets and liabilities:</w:t>
      </w:r>
    </w:p>
    <w:p>
      <w:pPr>
        <w:sectPr>
          <w:pgSz w:w="11900" w:h="16838" w:orient="portrait"/>
          <w:cols w:equalWidth="0" w:num="1">
            <w:col w:w="11420"/>
          </w:cols>
          <w:pgMar w:left="240" w:top="118" w:right="239" w:bottom="1440" w:gutter="0" w:footer="0" w:header="0"/>
        </w:sect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361886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 current assets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Accrued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Intangible assets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ind w:right="1240"/>
        <w:spacing w:after="0" w:line="276" w:lineRule="auto"/>
        <w:rPr>
          <w:sz w:val="20"/>
          <w:szCs w:val="20"/>
          <w:color w:val="auto"/>
        </w:rPr>
      </w:pPr>
      <w:r>
        <w:rPr>
          <w:rFonts w:ascii="Arial" w:cs="Arial" w:eastAsia="Arial" w:hAnsi="Arial"/>
          <w:sz w:val="16"/>
          <w:szCs w:val="16"/>
          <w:color w:val="auto"/>
        </w:rPr>
        <w:t>Current maturities of long-term debt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61886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b w:val="1"/>
          <w:bCs w:val="1"/>
          <w:color w:val="auto"/>
        </w:rPr>
        <w:t>Total purchase price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Additional cash placed in escrow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361886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3618865"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Less: Cash acquired</w:t>
      </w:r>
    </w:p>
    <w:p>
      <w:pPr>
        <w:spacing w:after="0" w:line="38" w:lineRule="exact"/>
        <w:rPr>
          <w:sz w:val="20"/>
          <w:szCs w:val="20"/>
          <w:color w:val="auto"/>
        </w:rPr>
      </w:pPr>
    </w:p>
    <w:p>
      <w:pPr>
        <w:jc w:val="right"/>
        <w:ind w:right="1200"/>
        <w:spacing w:after="0"/>
        <w:rPr>
          <w:sz w:val="20"/>
          <w:szCs w:val="20"/>
          <w:color w:val="auto"/>
        </w:rPr>
      </w:pPr>
      <w:r>
        <w:rPr>
          <w:rFonts w:ascii="Arial" w:cs="Arial" w:eastAsia="Arial" w:hAnsi="Arial"/>
          <w:sz w:val="16"/>
          <w:szCs w:val="16"/>
          <w:b w:val="1"/>
          <w:bCs w:val="1"/>
          <w:color w:val="auto"/>
        </w:rPr>
        <w:t>Net cash paid in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1886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1100" w:hanging="1090"/>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161</w:t>
      </w:r>
    </w:p>
    <w:p>
      <w:pPr>
        <w:spacing w:after="0" w:line="2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175</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1,204</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72</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(1,384)</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(576)</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227</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3,120</w:t>
      </w:r>
    </w:p>
    <w:p>
      <w:pPr>
        <w:spacing w:after="0" w:line="19" w:lineRule="exact"/>
        <w:rPr>
          <w:sz w:val="20"/>
          <w:szCs w:val="20"/>
          <w:color w:val="auto"/>
        </w:rPr>
      </w:pPr>
    </w:p>
    <w:p>
      <w:pPr>
        <w:jc w:val="right"/>
        <w:ind w:right="5760"/>
        <w:spacing w:after="0"/>
        <w:rPr>
          <w:sz w:val="20"/>
          <w:szCs w:val="20"/>
          <w:color w:val="auto"/>
        </w:rPr>
      </w:pPr>
      <w:r>
        <w:rPr>
          <w:rFonts w:ascii="Arial" w:cs="Arial" w:eastAsia="Arial" w:hAnsi="Arial"/>
          <w:sz w:val="16"/>
          <w:szCs w:val="16"/>
          <w:color w:val="auto"/>
        </w:rPr>
        <w:t>726</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(2,000)</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(271)</w:t>
      </w:r>
    </w:p>
    <w:p>
      <w:pPr>
        <w:spacing w:after="0" w:line="38" w:lineRule="exact"/>
        <w:rPr>
          <w:sz w:val="20"/>
          <w:szCs w:val="20"/>
          <w:color w:val="auto"/>
        </w:rPr>
      </w:pPr>
    </w:p>
    <w:p>
      <w:pPr>
        <w:ind w:left="960" w:hanging="950"/>
        <w:spacing w:after="0"/>
        <w:tabs>
          <w:tab w:leader="none" w:pos="9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1,454</w:t>
      </w:r>
    </w:p>
    <w:p>
      <w:pPr>
        <w:spacing w:after="0" w:line="26" w:lineRule="exact"/>
        <w:rPr>
          <w:rFonts w:ascii="Arial" w:cs="Arial" w:eastAsia="Arial" w:hAnsi="Arial"/>
          <w:sz w:val="16"/>
          <w:szCs w:val="16"/>
          <w:b w:val="1"/>
          <w:bCs w:val="1"/>
          <w:color w:val="auto"/>
        </w:rPr>
      </w:pPr>
    </w:p>
    <w:p>
      <w:pPr>
        <w:ind w:left="1100"/>
        <w:spacing w:after="0"/>
        <w:rPr>
          <w:rFonts w:ascii="Arial" w:cs="Arial" w:eastAsia="Arial" w:hAnsi="Arial"/>
          <w:sz w:val="16"/>
          <w:szCs w:val="16"/>
          <w:b w:val="1"/>
          <w:bCs w:val="1"/>
          <w:color w:val="auto"/>
        </w:rPr>
      </w:pPr>
      <w:r>
        <w:rPr>
          <w:rFonts w:ascii="Arial" w:cs="Arial" w:eastAsia="Arial" w:hAnsi="Arial"/>
          <w:sz w:val="16"/>
          <w:szCs w:val="16"/>
          <w:color w:val="auto"/>
        </w:rPr>
        <w:t>350</w:t>
      </w:r>
    </w:p>
    <w:p>
      <w:pPr>
        <w:spacing w:after="0" w:line="19" w:lineRule="exact"/>
        <w:rPr>
          <w:sz w:val="20"/>
          <w:szCs w:val="20"/>
          <w:color w:val="auto"/>
        </w:rPr>
      </w:pPr>
    </w:p>
    <w:p>
      <w:pPr>
        <w:jc w:val="right"/>
        <w:ind w:right="5720"/>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8750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875030" cy="17145"/>
                    </a:xfrm>
                    <a:prstGeom prst="rect">
                      <a:avLst/>
                    </a:prstGeom>
                    <a:noFill/>
                  </pic:spPr>
                </pic:pic>
              </a:graphicData>
            </a:graphic>
          </wp:anchor>
        </w:drawing>
      </w:r>
    </w:p>
    <w:p>
      <w:pPr>
        <w:spacing w:after="0" w:line="18" w:lineRule="exact"/>
        <w:rPr>
          <w:sz w:val="20"/>
          <w:szCs w:val="20"/>
          <w:color w:val="auto"/>
        </w:rPr>
      </w:pPr>
    </w:p>
    <w:p>
      <w:pPr>
        <w:ind w:left="960" w:hanging="950"/>
        <w:spacing w:after="0"/>
        <w:tabs>
          <w:tab w:leader="none" w:pos="9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1,643</w:t>
      </w:r>
    </w:p>
    <w:p>
      <w:pPr>
        <w:spacing w:after="0" w:line="200" w:lineRule="exact"/>
        <w:rPr>
          <w:sz w:val="20"/>
          <w:szCs w:val="20"/>
          <w:color w:val="auto"/>
        </w:rPr>
      </w:pPr>
    </w:p>
    <w:p>
      <w:pPr>
        <w:sectPr>
          <w:pgSz w:w="11900" w:h="16838" w:orient="portrait"/>
          <w:cols w:equalWidth="0" w:num="2">
            <w:col w:w="3600" w:space="720"/>
            <w:col w:w="7100"/>
          </w:cols>
          <w:pgMar w:left="240" w:top="118"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Change in Fiscal Year </w:t>
      </w:r>
      <w:r>
        <w:rPr>
          <w:rFonts w:ascii="Arial" w:cs="Arial" w:eastAsia="Arial" w:hAnsi="Arial"/>
          <w:sz w:val="18"/>
          <w:szCs w:val="18"/>
          <w:color w:val="auto"/>
        </w:rPr>
        <w:t>– On November 30, 2009, the Board of Directors approved to change the Company’s fiscal year from a June 30 fiscal year end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fiscal year end. This report on Form 10-K includes financial statements for the six-month transition period ended on December 31, 2009 and the fiscal year ended June 30, 2009 along with the financial statements for the year ended December 31, 2010.</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results of operations for the Company’s foreign subsidiary in the United Kingdom are recorded by the subsidiary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British Pound and remeasured in the U.S. Dollar. Assets and liabilities are translated into U.S. dollars at the exchange rate prevailing on the balance sheet date or the historical rate, as appropriate. Revenue and expenses are translated at average rates of exchange prevailing during the period. Upon making the translations to the U.S. Dollar, we concluded that as of the balance sheet date the impact of such re-measurements was immaterial and as such have been posted through our statement of operations as opposed to including them in other comprehensive income.</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equivalents. The Company places its temporary cash investments with high-quality financial institutions. At times, such investments may be in excess of the Federal Deposit Insurance Corporation insurance limits.</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without requiring collateral on a</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basis; thus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allowance for doubtful accounts activity for the year ended December 31, 2010, the six months ended December 31, 2009 and the fiscal year ended June 30, 2009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41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Six months ended</w:t>
            </w:r>
          </w:p>
        </w:tc>
        <w:tc>
          <w:tcPr>
            <w:tcW w:w="14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2010</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December 31, 2009</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June 30, 2009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FFC080"/>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FFC080"/>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FFC080"/>
          </w:tcPr>
          <w:p>
            <w:pPr>
              <w:spacing w:after="0"/>
              <w:rPr>
                <w:sz w:val="20"/>
                <w:szCs w:val="20"/>
                <w:color w:val="auto"/>
              </w:rPr>
            </w:pPr>
            <w:r>
              <w:rPr>
                <w:rFonts w:ascii="Arial" w:cs="Arial" w:eastAsia="Arial" w:hAnsi="Arial"/>
                <w:sz w:val="18"/>
                <w:szCs w:val="18"/>
                <w:color w:val="auto"/>
              </w:rPr>
              <w:t>Deductions</w:t>
            </w:r>
          </w:p>
        </w:tc>
        <w:tc>
          <w:tcPr>
            <w:tcW w:w="180" w:type="dxa"/>
            <w:vAlign w:val="bottom"/>
            <w:shd w:val="clear" w:color="auto" w:fill="FFC080"/>
          </w:tcPr>
          <w:p>
            <w:pPr>
              <w:spacing w:after="0"/>
              <w:rPr>
                <w:sz w:val="18"/>
                <w:szCs w:val="18"/>
                <w:color w:val="auto"/>
              </w:rPr>
            </w:pPr>
          </w:p>
        </w:tc>
        <w:tc>
          <w:tcPr>
            <w:tcW w:w="15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74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2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includes products that have been delivered to customers for which revenue recognition criteria have not been met.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$168 and $108, as of December 31, 2010 and 2009 respectively.</w:t>
      </w:r>
    </w:p>
    <w:p>
      <w:pPr>
        <w:spacing w:after="0" w:line="21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less accumulated depreciation and amortization. Expenditures that materially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15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1"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Goodwill and Intangible Assets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market value of the reporting unit is allocated to all of its assets and liabilities including intangible assets with indefinite lives. The excess, if any, of the fair market value of the reporting unit over the sum of the fair market values allocated to identified assets and liabilities is the calculated value of goodwill to be compared to its carrying value (</w:t>
      </w:r>
      <w:hyperlink w:anchor="page46">
        <w:r>
          <w:rPr>
            <w:rFonts w:ascii="Arial" w:cs="Arial" w:eastAsia="Arial" w:hAnsi="Arial"/>
            <w:sz w:val="16"/>
            <w:szCs w:val="16"/>
            <w:u w:val="single" w:color="auto"/>
            <w:color w:val="0000EE"/>
          </w:rPr>
          <w:t>Note 3 – Business Combinations, Goodwill and Intangibles</w:t>
        </w:r>
      </w:hyperlink>
      <w:r>
        <w:rPr>
          <w:rFonts w:ascii="Arial" w:cs="Arial" w:eastAsia="Arial" w:hAnsi="Arial"/>
          <w:sz w:val="16"/>
          <w:szCs w:val="16"/>
          <w:color w:val="auto"/>
        </w:rPr>
        <w:t>). ClearOne and all its subsidiaries are considered as one reporting unit for this purpose.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provides a right of return on product sales to major distributors and other resellers under a product rotation program. Under this seldom used program, once a quarter a distributor or reseller is allowed to return products purchased during the prior 180 days for a total value generally not exceeding 15% of the distributor or reseller’s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our distributors. The level of inventory in the channel will fluctuate up or down, each quarter, based upon our distributors’ individual operations. Accordingly,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amounts of deferred cost of goods sold are included in consigned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8"/>
              </w:rPr>
              <w:t>December 31, 2010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1"/>
              </w:rPr>
              <w:t>December 31, 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FFC080"/>
          </w:tcPr>
          <w:p>
            <w:pPr>
              <w:jc w:val="right"/>
              <w:ind w:right="77"/>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4,306</w:t>
            </w:r>
          </w:p>
        </w:tc>
        <w:tc>
          <w:tcPr>
            <w:tcW w:w="34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Deferred Gross Profit</w:t>
            </w:r>
          </w:p>
        </w:tc>
        <w:tc>
          <w:tcPr>
            <w:tcW w:w="240" w:type="dxa"/>
            <w:vAlign w:val="bottom"/>
            <w:shd w:val="clear" w:color="auto" w:fill="FFC080"/>
          </w:tcPr>
          <w:p>
            <w:pPr>
              <w:jc w:val="right"/>
              <w:ind w:right="17"/>
              <w:spacing w:after="0"/>
              <w:rPr>
                <w:sz w:val="20"/>
                <w:szCs w:val="20"/>
                <w:color w:val="auto"/>
              </w:rPr>
            </w:pPr>
            <w:r>
              <w:rPr>
                <w:rFonts w:ascii="Arial" w:cs="Arial" w:eastAsia="Arial" w:hAnsi="Arial"/>
                <w:sz w:val="18"/>
                <w:szCs w:val="18"/>
                <w:color w:val="auto"/>
              </w:rPr>
              <w:t>$</w:t>
            </w:r>
          </w:p>
        </w:tc>
        <w:tc>
          <w:tcPr>
            <w:tcW w:w="16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FFC080"/>
          </w:tcPr>
          <w:p>
            <w:pPr>
              <w:spacing w:after="0"/>
              <w:rPr>
                <w:sz w:val="20"/>
                <w:szCs w:val="20"/>
                <w:color w:val="auto"/>
              </w:rPr>
            </w:pPr>
          </w:p>
        </w:tc>
        <w:tc>
          <w:tcPr>
            <w:tcW w:w="100" w:type="dxa"/>
            <w:vAlign w:val="bottom"/>
            <w:shd w:val="clear" w:color="auto" w:fill="FFC080"/>
          </w:tcPr>
          <w:p>
            <w:pPr>
              <w:spacing w:after="0"/>
              <w:rPr>
                <w:sz w:val="20"/>
                <w:szCs w:val="20"/>
                <w:color w:val="auto"/>
              </w:rPr>
            </w:pPr>
          </w:p>
        </w:tc>
        <w:tc>
          <w:tcPr>
            <w:tcW w:w="240" w:type="dxa"/>
            <w:vAlign w:val="bottom"/>
            <w:shd w:val="clear" w:color="auto" w:fill="FFC080"/>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volume of product purchased by them. The Company records rebates as a reduction of revenue in accordance with GAAP.</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are not revenue generating, the Company tracks the units due from the end-user, valued at retail price, until the defective unit has been returned, but no receivable balance is maintained on the Company’s balance sheet. The retail value of in-transit advance replacement units was $847 and $896 as of December 31, 2010 and 2009,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Sales and similar taxes - </w:t>
      </w:r>
      <w:r>
        <w:rPr>
          <w:rFonts w:ascii="Arial" w:cs="Arial" w:eastAsia="Arial" w:hAnsi="Arial"/>
          <w:sz w:val="16"/>
          <w:szCs w:val="16"/>
          <w:color w:val="auto"/>
        </w:rPr>
        <w:t>Taxes collected from customers and remitted to government authorities are reported on a net basis and thus excluded from revenues.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2010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June 30, 2009</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FFC080"/>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FFC080"/>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133</w:t>
            </w:r>
          </w:p>
        </w:tc>
        <w:tc>
          <w:tcPr>
            <w:tcW w:w="3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3340" w:type="dxa"/>
            <w:vAlign w:val="bottom"/>
          </w:tcPr>
          <w:p>
            <w:pPr>
              <w:ind w:left="480"/>
              <w:spacing w:after="0"/>
              <w:rPr>
                <w:sz w:val="20"/>
                <w:szCs w:val="20"/>
                <w:color w:val="auto"/>
              </w:rPr>
            </w:pPr>
            <w:r>
              <w:rPr>
                <w:rFonts w:ascii="Arial" w:cs="Arial" w:eastAsia="Arial" w:hAnsi="Arial"/>
                <w:sz w:val="18"/>
                <w:szCs w:val="18"/>
                <w:color w:val="auto"/>
              </w:rPr>
              <w:t>Accruals/additions</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r>
      <w:tr>
        <w:trPr>
          <w:trHeight w:val="223"/>
        </w:trPr>
        <w:tc>
          <w:tcPr>
            <w:tcW w:w="20" w:type="dxa"/>
            <w:vAlign w:val="bottom"/>
          </w:tcPr>
          <w:p>
            <w:pPr>
              <w:spacing w:after="0"/>
              <w:rPr>
                <w:sz w:val="19"/>
                <w:szCs w:val="19"/>
                <w:color w:val="auto"/>
              </w:rPr>
            </w:pPr>
          </w:p>
        </w:tc>
        <w:tc>
          <w:tcPr>
            <w:tcW w:w="3340" w:type="dxa"/>
            <w:vAlign w:val="bottom"/>
            <w:tcBorders>
              <w:bottom w:val="single" w:sz="8" w:color="FFC080"/>
            </w:tcBorders>
            <w:shd w:val="clear" w:color="auto" w:fill="FFC080"/>
          </w:tcPr>
          <w:p>
            <w:pPr>
              <w:ind w:left="480"/>
              <w:spacing w:after="0"/>
              <w:rPr>
                <w:sz w:val="20"/>
                <w:szCs w:val="20"/>
                <w:color w:val="auto"/>
              </w:rPr>
            </w:pPr>
            <w:r>
              <w:rPr>
                <w:rFonts w:ascii="Arial" w:cs="Arial" w:eastAsia="Arial" w:hAnsi="Arial"/>
                <w:sz w:val="18"/>
                <w:szCs w:val="18"/>
                <w:color w:val="auto"/>
              </w:rPr>
              <w:t>Usage</w:t>
            </w:r>
          </w:p>
        </w:tc>
        <w:tc>
          <w:tcPr>
            <w:tcW w:w="180" w:type="dxa"/>
            <w:vAlign w:val="bottom"/>
            <w:tcBorders>
              <w:bottom w:val="single" w:sz="8" w:color="auto"/>
            </w:tcBorders>
            <w:shd w:val="clear" w:color="auto" w:fill="FFC080"/>
          </w:tcPr>
          <w:p>
            <w:pPr>
              <w:spacing w:after="0"/>
              <w:rPr>
                <w:sz w:val="19"/>
                <w:szCs w:val="19"/>
                <w:color w:val="auto"/>
              </w:rPr>
            </w:pPr>
          </w:p>
        </w:tc>
        <w:tc>
          <w:tcPr>
            <w:tcW w:w="164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FFC080"/>
            </w:tcBorders>
            <w:shd w:val="clear" w:color="auto" w:fill="FFC080"/>
          </w:tcPr>
          <w:p>
            <w:pPr>
              <w:spacing w:after="0"/>
              <w:rPr>
                <w:sz w:val="19"/>
                <w:szCs w:val="19"/>
                <w:color w:val="auto"/>
              </w:rPr>
            </w:pPr>
          </w:p>
        </w:tc>
        <w:tc>
          <w:tcPr>
            <w:tcW w:w="180" w:type="dxa"/>
            <w:vAlign w:val="bottom"/>
            <w:tcBorders>
              <w:bottom w:val="single" w:sz="8" w:color="auto"/>
            </w:tcBorders>
            <w:shd w:val="clear" w:color="auto" w:fill="FFC080"/>
          </w:tcPr>
          <w:p>
            <w:pPr>
              <w:spacing w:after="0"/>
              <w:rPr>
                <w:sz w:val="19"/>
                <w:szCs w:val="19"/>
                <w:color w:val="auto"/>
              </w:rPr>
            </w:pPr>
          </w:p>
        </w:tc>
        <w:tc>
          <w:tcPr>
            <w:tcW w:w="1620" w:type="dxa"/>
            <w:vAlign w:val="bottom"/>
            <w:tcBorders>
              <w:bottom w:val="single" w:sz="8" w:color="auto"/>
            </w:tcBorders>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year ended December 31, 2010, period ended December 31, 2009 and fiscal year ended June 30, 2009 totaled $750, $183 and $786,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During the year ended December 31, 2010, the company recorded a valuation allowance of $944 against capital loss carryovers, and state research and development credits.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July 2006, the FASB issued new rules on recognizing the benefit from an uncertain tax position. These provisions are contained in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During the fiscal year ended June 30, 2008, the Company adopted these provisions to recognize tax benefit from an uncertain tax position.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recognizes the tax benefit from an uncertain tax position only if it is at least more likely than not that the tax position will be sustained on examination by the taxing authorities, based on the technical merits of the position.</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40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Six months ended</w:t>
            </w:r>
          </w:p>
        </w:tc>
        <w:tc>
          <w:tcPr>
            <w:tcW w:w="20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Arial" w:cs="Arial" w:eastAsia="Arial" w:hAnsi="Arial"/>
                <w:sz w:val="14"/>
                <w:szCs w:val="14"/>
                <w:b w:val="1"/>
                <w:bCs w:val="1"/>
                <w:color w:val="auto"/>
                <w:w w:val="96"/>
              </w:rPr>
              <w:t>December 31, 2010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December 31, 2009</w:t>
            </w:r>
          </w:p>
        </w:tc>
        <w:tc>
          <w:tcPr>
            <w:tcW w:w="20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2009</w:t>
            </w:r>
          </w:p>
        </w:tc>
      </w:tr>
      <w:tr>
        <w:trPr>
          <w:trHeight w:val="203"/>
        </w:trPr>
        <w:tc>
          <w:tcPr>
            <w:tcW w:w="20" w:type="dxa"/>
            <w:vAlign w:val="bottom"/>
          </w:tcPr>
          <w:p>
            <w:pPr>
              <w:spacing w:after="0"/>
              <w:rPr>
                <w:sz w:val="17"/>
                <w:szCs w:val="17"/>
                <w:color w:val="auto"/>
              </w:rPr>
            </w:pPr>
          </w:p>
        </w:tc>
        <w:tc>
          <w:tcPr>
            <w:tcW w:w="5260" w:type="dxa"/>
            <w:vAlign w:val="bottom"/>
            <w:shd w:val="clear" w:color="auto" w:fill="FFC080"/>
          </w:tcPr>
          <w:p>
            <w:pPr>
              <w:spacing w:after="0"/>
              <w:rPr>
                <w:sz w:val="20"/>
                <w:szCs w:val="20"/>
                <w:color w:val="auto"/>
              </w:rPr>
            </w:pPr>
            <w:r>
              <w:rPr>
                <w:rFonts w:ascii="Arial" w:cs="Arial" w:eastAsia="Arial" w:hAnsi="Arial"/>
                <w:sz w:val="16"/>
                <w:szCs w:val="16"/>
                <w:color w:val="auto"/>
              </w:rPr>
              <w:t>Numerator:</w:t>
            </w:r>
          </w:p>
        </w:tc>
        <w:tc>
          <w:tcPr>
            <w:tcW w:w="760" w:type="dxa"/>
            <w:vAlign w:val="bottom"/>
            <w:shd w:val="clear" w:color="auto" w:fill="FFC080"/>
          </w:tcPr>
          <w:p>
            <w:pPr>
              <w:spacing w:after="0"/>
              <w:rPr>
                <w:sz w:val="17"/>
                <w:szCs w:val="17"/>
                <w:color w:val="auto"/>
              </w:rPr>
            </w:pPr>
          </w:p>
        </w:tc>
        <w:tc>
          <w:tcPr>
            <w:tcW w:w="200" w:type="dxa"/>
            <w:vAlign w:val="bottom"/>
            <w:tcBorders>
              <w:top w:val="single" w:sz="8" w:color="auto"/>
            </w:tcBorders>
            <w:shd w:val="clear" w:color="auto" w:fill="FFC080"/>
          </w:tcPr>
          <w:p>
            <w:pPr>
              <w:spacing w:after="0"/>
              <w:rPr>
                <w:sz w:val="17"/>
                <w:szCs w:val="17"/>
                <w:color w:val="auto"/>
              </w:rPr>
            </w:pPr>
          </w:p>
        </w:tc>
        <w:tc>
          <w:tcPr>
            <w:tcW w:w="1520" w:type="dxa"/>
            <w:vAlign w:val="bottom"/>
            <w:tcBorders>
              <w:top w:val="single" w:sz="8" w:color="auto"/>
            </w:tcBorders>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80" w:type="dxa"/>
            <w:vAlign w:val="bottom"/>
            <w:tcBorders>
              <w:top w:val="single" w:sz="8" w:color="auto"/>
            </w:tcBorders>
            <w:shd w:val="clear" w:color="auto" w:fill="FFC080"/>
          </w:tcPr>
          <w:p>
            <w:pPr>
              <w:spacing w:after="0"/>
              <w:rPr>
                <w:sz w:val="17"/>
                <w:szCs w:val="17"/>
                <w:color w:val="auto"/>
              </w:rPr>
            </w:pPr>
          </w:p>
        </w:tc>
        <w:tc>
          <w:tcPr>
            <w:tcW w:w="1520" w:type="dxa"/>
            <w:vAlign w:val="bottom"/>
            <w:tcBorders>
              <w:top w:val="single" w:sz="8" w:color="auto"/>
            </w:tcBorders>
            <w:shd w:val="clear" w:color="auto" w:fill="FFC080"/>
          </w:tcPr>
          <w:p>
            <w:pPr>
              <w:spacing w:after="0"/>
              <w:rPr>
                <w:sz w:val="17"/>
                <w:szCs w:val="17"/>
                <w:color w:val="auto"/>
              </w:rPr>
            </w:pPr>
          </w:p>
        </w:tc>
        <w:tc>
          <w:tcPr>
            <w:tcW w:w="240" w:type="dxa"/>
            <w:vAlign w:val="bottom"/>
            <w:shd w:val="clear" w:color="auto" w:fill="FFC080"/>
          </w:tcPr>
          <w:p>
            <w:pPr>
              <w:spacing w:after="0"/>
              <w:rPr>
                <w:sz w:val="17"/>
                <w:szCs w:val="17"/>
                <w:color w:val="auto"/>
              </w:rPr>
            </w:pPr>
          </w:p>
        </w:tc>
        <w:tc>
          <w:tcPr>
            <w:tcW w:w="200" w:type="dxa"/>
            <w:vAlign w:val="bottom"/>
            <w:tcBorders>
              <w:top w:val="single" w:sz="8" w:color="auto"/>
            </w:tcBorders>
            <w:shd w:val="clear" w:color="auto" w:fill="FFC080"/>
          </w:tcPr>
          <w:p>
            <w:pPr>
              <w:spacing w:after="0"/>
              <w:rPr>
                <w:sz w:val="17"/>
                <w:szCs w:val="17"/>
                <w:color w:val="auto"/>
              </w:rPr>
            </w:pPr>
          </w:p>
        </w:tc>
        <w:tc>
          <w:tcPr>
            <w:tcW w:w="1260" w:type="dxa"/>
            <w:vAlign w:val="bottom"/>
            <w:tcBorders>
              <w:top w:val="single" w:sz="8" w:color="auto"/>
            </w:tcBorders>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4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2,374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2,227</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FFC080"/>
          </w:tcPr>
          <w:p>
            <w:pPr>
              <w:spacing w:after="0"/>
              <w:rPr>
                <w:sz w:val="20"/>
                <w:szCs w:val="20"/>
                <w:color w:val="auto"/>
              </w:rPr>
            </w:pPr>
            <w:r>
              <w:rPr>
                <w:rFonts w:ascii="Arial" w:cs="Arial" w:eastAsia="Arial" w:hAnsi="Arial"/>
                <w:sz w:val="16"/>
                <w:szCs w:val="16"/>
                <w:color w:val="auto"/>
              </w:rPr>
              <w:t>Denominator:</w:t>
            </w:r>
          </w:p>
        </w:tc>
        <w:tc>
          <w:tcPr>
            <w:tcW w:w="760" w:type="dxa"/>
            <w:vAlign w:val="bottom"/>
            <w:shd w:val="clear" w:color="auto" w:fill="FFC080"/>
          </w:tcPr>
          <w:p>
            <w:pPr>
              <w:spacing w:after="0"/>
              <w:rPr>
                <w:sz w:val="17"/>
                <w:szCs w:val="17"/>
                <w:color w:val="auto"/>
              </w:rPr>
            </w:pPr>
          </w:p>
        </w:tc>
        <w:tc>
          <w:tcPr>
            <w:tcW w:w="200" w:type="dxa"/>
            <w:vAlign w:val="bottom"/>
            <w:shd w:val="clear" w:color="auto" w:fill="FFC080"/>
          </w:tcPr>
          <w:p>
            <w:pPr>
              <w:spacing w:after="0"/>
              <w:rPr>
                <w:sz w:val="17"/>
                <w:szCs w:val="17"/>
                <w:color w:val="auto"/>
              </w:rPr>
            </w:pPr>
          </w:p>
        </w:tc>
        <w:tc>
          <w:tcPr>
            <w:tcW w:w="15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520" w:type="dxa"/>
            <w:vAlign w:val="bottom"/>
            <w:shd w:val="clear" w:color="auto" w:fill="FFC080"/>
          </w:tcPr>
          <w:p>
            <w:pPr>
              <w:spacing w:after="0"/>
              <w:rPr>
                <w:sz w:val="17"/>
                <w:szCs w:val="17"/>
                <w:color w:val="auto"/>
              </w:rPr>
            </w:pPr>
          </w:p>
        </w:tc>
        <w:tc>
          <w:tcPr>
            <w:tcW w:w="240" w:type="dxa"/>
            <w:vAlign w:val="bottom"/>
            <w:shd w:val="clear" w:color="auto" w:fill="FFC080"/>
          </w:tcPr>
          <w:p>
            <w:pPr>
              <w:spacing w:after="0"/>
              <w:rPr>
                <w:sz w:val="17"/>
                <w:szCs w:val="17"/>
                <w:color w:val="auto"/>
              </w:rPr>
            </w:pPr>
          </w:p>
        </w:tc>
        <w:tc>
          <w:tcPr>
            <w:tcW w:w="200" w:type="dxa"/>
            <w:vAlign w:val="bottom"/>
            <w:shd w:val="clear" w:color="auto" w:fill="FFC080"/>
          </w:tcPr>
          <w:p>
            <w:pPr>
              <w:spacing w:after="0"/>
              <w:rPr>
                <w:sz w:val="17"/>
                <w:szCs w:val="17"/>
                <w:color w:val="auto"/>
              </w:rPr>
            </w:pPr>
          </w:p>
        </w:tc>
        <w:tc>
          <w:tcPr>
            <w:tcW w:w="1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rPr>
                <w:sz w:val="20"/>
                <w:szCs w:val="20"/>
                <w:color w:val="auto"/>
              </w:rPr>
            </w:pPr>
            <w:r>
              <w:rPr>
                <w:rFonts w:ascii="Arial" w:cs="Arial" w:eastAsia="Arial" w:hAnsi="Arial"/>
                <w:sz w:val="16"/>
                <w:szCs w:val="16"/>
                <w:color w:val="auto"/>
              </w:rPr>
              <w:t>Basic weighted average shares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8,929,305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8,928,970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9,213,731</w:t>
            </w:r>
          </w:p>
        </w:tc>
      </w:tr>
      <w:tr>
        <w:trPr>
          <w:trHeight w:val="203"/>
        </w:trPr>
        <w:tc>
          <w:tcPr>
            <w:tcW w:w="20" w:type="dxa"/>
            <w:vAlign w:val="bottom"/>
          </w:tcPr>
          <w:p>
            <w:pPr>
              <w:spacing w:after="0"/>
              <w:rPr>
                <w:sz w:val="17"/>
                <w:szCs w:val="17"/>
                <w:color w:val="auto"/>
              </w:rPr>
            </w:pPr>
          </w:p>
        </w:tc>
        <w:tc>
          <w:tcPr>
            <w:tcW w:w="52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Dilutive common stock equivalents using treasury stock method</w:t>
            </w:r>
          </w:p>
        </w:tc>
        <w:tc>
          <w:tcPr>
            <w:tcW w:w="760" w:type="dxa"/>
            <w:vAlign w:val="bottom"/>
            <w:shd w:val="clear" w:color="auto" w:fill="FFC080"/>
          </w:tcPr>
          <w:p>
            <w:pPr>
              <w:spacing w:after="0"/>
              <w:rPr>
                <w:sz w:val="17"/>
                <w:szCs w:val="17"/>
                <w:color w:val="auto"/>
              </w:rPr>
            </w:pPr>
          </w:p>
        </w:tc>
        <w:tc>
          <w:tcPr>
            <w:tcW w:w="200" w:type="dxa"/>
            <w:vAlign w:val="bottom"/>
            <w:shd w:val="clear" w:color="auto" w:fill="FFC080"/>
          </w:tcPr>
          <w:p>
            <w:pPr>
              <w:spacing w:after="0"/>
              <w:rPr>
                <w:sz w:val="17"/>
                <w:szCs w:val="17"/>
                <w:color w:val="auto"/>
              </w:rPr>
            </w:pPr>
          </w:p>
        </w:tc>
        <w:tc>
          <w:tcPr>
            <w:tcW w:w="152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13,624</w:t>
            </w:r>
          </w:p>
        </w:tc>
        <w:tc>
          <w:tcPr>
            <w:tcW w:w="12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760" w:type="dxa"/>
            <w:vAlign w:val="bottom"/>
            <w:gridSpan w:val="2"/>
            <w:shd w:val="clear" w:color="auto" w:fill="FFC080"/>
          </w:tcPr>
          <w:p>
            <w:pPr>
              <w:jc w:val="right"/>
              <w:ind w:right="240"/>
              <w:spacing w:after="0"/>
              <w:rPr>
                <w:sz w:val="20"/>
                <w:szCs w:val="20"/>
                <w:color w:val="auto"/>
              </w:rPr>
            </w:pPr>
            <w:r>
              <w:rPr>
                <w:rFonts w:ascii="Arial" w:cs="Arial" w:eastAsia="Arial" w:hAnsi="Arial"/>
                <w:sz w:val="16"/>
                <w:szCs w:val="16"/>
                <w:color w:val="auto"/>
              </w:rPr>
              <w:t>116,872</w:t>
            </w:r>
          </w:p>
        </w:tc>
        <w:tc>
          <w:tcPr>
            <w:tcW w:w="200" w:type="dxa"/>
            <w:vAlign w:val="bottom"/>
            <w:shd w:val="clear" w:color="auto" w:fill="FFC080"/>
          </w:tcPr>
          <w:p>
            <w:pPr>
              <w:spacing w:after="0"/>
              <w:rPr>
                <w:sz w:val="17"/>
                <w:szCs w:val="17"/>
                <w:color w:val="auto"/>
              </w:rPr>
            </w:pPr>
          </w:p>
        </w:tc>
        <w:tc>
          <w:tcPr>
            <w:tcW w:w="1400" w:type="dxa"/>
            <w:vAlign w:val="bottom"/>
            <w:gridSpan w:val="2"/>
            <w:shd w:val="clear" w:color="auto" w:fill="FFC080"/>
          </w:tcPr>
          <w:p>
            <w:pPr>
              <w:jc w:val="right"/>
              <w:ind w:right="140"/>
              <w:spacing w:after="0"/>
              <w:rPr>
                <w:sz w:val="20"/>
                <w:szCs w:val="20"/>
                <w:color w:val="auto"/>
              </w:rPr>
            </w:pPr>
            <w:r>
              <w:rPr>
                <w:rFonts w:ascii="Arial" w:cs="Arial" w:eastAsia="Arial" w:hAnsi="Arial"/>
                <w:sz w:val="16"/>
                <w:szCs w:val="16"/>
                <w:color w:val="auto"/>
              </w:rPr>
              <w:t>124,589</w:t>
            </w:r>
          </w:p>
        </w:tc>
      </w:tr>
      <w:tr>
        <w:trPr>
          <w:trHeight w:val="27"/>
        </w:trPr>
        <w:tc>
          <w:tcPr>
            <w:tcW w:w="20" w:type="dxa"/>
            <w:vAlign w:val="bottom"/>
          </w:tcPr>
          <w:p>
            <w:pPr>
              <w:spacing w:after="0"/>
              <w:rPr>
                <w:sz w:val="2"/>
                <w:szCs w:val="2"/>
                <w:color w:val="auto"/>
              </w:rPr>
            </w:pPr>
          </w:p>
        </w:tc>
        <w:tc>
          <w:tcPr>
            <w:tcW w:w="5260" w:type="dxa"/>
            <w:vAlign w:val="bottom"/>
            <w:shd w:val="clear" w:color="auto" w:fill="FFC080"/>
          </w:tcPr>
          <w:p>
            <w:pPr>
              <w:spacing w:after="0"/>
              <w:rPr>
                <w:sz w:val="2"/>
                <w:szCs w:val="2"/>
                <w:color w:val="auto"/>
              </w:rPr>
            </w:pPr>
          </w:p>
        </w:tc>
        <w:tc>
          <w:tcPr>
            <w:tcW w:w="760" w:type="dxa"/>
            <w:vAlign w:val="bottom"/>
            <w:shd w:val="clear" w:color="auto" w:fill="FFC08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640"/>
              <w:spacing w:after="0"/>
              <w:rPr>
                <w:sz w:val="20"/>
                <w:szCs w:val="20"/>
                <w:color w:val="auto"/>
              </w:rPr>
            </w:pPr>
            <w:r>
              <w:rPr>
                <w:rFonts w:ascii="Arial" w:cs="Arial" w:eastAsia="Arial" w:hAnsi="Arial"/>
                <w:sz w:val="16"/>
                <w:szCs w:val="16"/>
                <w:color w:val="auto"/>
              </w:rPr>
              <w:t>Diluted weighted average shares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8,942,929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9,045,842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9,338,320</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FFC080"/>
          </w:tcPr>
          <w:p>
            <w:pPr>
              <w:ind w:left="160"/>
              <w:spacing w:after="0"/>
              <w:rPr>
                <w:sz w:val="20"/>
                <w:szCs w:val="20"/>
                <w:color w:val="auto"/>
              </w:rPr>
            </w:pPr>
            <w:r>
              <w:rPr>
                <w:rFonts w:ascii="Arial" w:cs="Arial" w:eastAsia="Arial" w:hAnsi="Arial"/>
                <w:sz w:val="16"/>
                <w:szCs w:val="16"/>
                <w:color w:val="auto"/>
              </w:rPr>
              <w:t>Basic earnings per common share</w:t>
            </w:r>
          </w:p>
        </w:tc>
        <w:tc>
          <w:tcPr>
            <w:tcW w:w="960" w:type="dxa"/>
            <w:vAlign w:val="bottom"/>
            <w:gridSpan w:val="2"/>
            <w:shd w:val="clear" w:color="auto" w:fill="FFC080"/>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FC080"/>
          </w:tcPr>
          <w:p>
            <w:pPr>
              <w:jc w:val="right"/>
              <w:spacing w:after="0"/>
              <w:rPr>
                <w:sz w:val="20"/>
                <w:szCs w:val="20"/>
                <w:color w:val="auto"/>
              </w:rPr>
            </w:pPr>
            <w:r>
              <w:rPr>
                <w:rFonts w:ascii="Arial" w:cs="Arial" w:eastAsia="Arial" w:hAnsi="Arial"/>
                <w:sz w:val="16"/>
                <w:szCs w:val="16"/>
                <w:color w:val="auto"/>
              </w:rPr>
              <w:t>0.27</w:t>
            </w:r>
          </w:p>
        </w:tc>
        <w:tc>
          <w:tcPr>
            <w:tcW w:w="300" w:type="dxa"/>
            <w:vAlign w:val="bottom"/>
            <w:gridSpan w:val="2"/>
            <w:shd w:val="clear" w:color="auto" w:fill="FFC080"/>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FC080"/>
          </w:tcPr>
          <w:p>
            <w:pPr>
              <w:jc w:val="right"/>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FFC080"/>
          </w:tcPr>
          <w:p>
            <w:pPr>
              <w:spacing w:after="0"/>
              <w:rPr>
                <w:sz w:val="17"/>
                <w:szCs w:val="17"/>
                <w:color w:val="auto"/>
              </w:rPr>
            </w:pPr>
          </w:p>
        </w:tc>
        <w:tc>
          <w:tcPr>
            <w:tcW w:w="200" w:type="dxa"/>
            <w:vAlign w:val="bottom"/>
            <w:shd w:val="clear" w:color="auto" w:fill="FFC080"/>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FFC080"/>
          </w:tcPr>
          <w:p>
            <w:pPr>
              <w:jc w:val="right"/>
              <w:ind w:right="140"/>
              <w:spacing w:after="0"/>
              <w:rPr>
                <w:sz w:val="20"/>
                <w:szCs w:val="20"/>
                <w:color w:val="auto"/>
              </w:rPr>
            </w:pPr>
            <w:r>
              <w:rPr>
                <w:rFonts w:ascii="Arial" w:cs="Arial" w:eastAsia="Arial" w:hAnsi="Arial"/>
                <w:sz w:val="16"/>
                <w:szCs w:val="16"/>
                <w:color w:val="auto"/>
              </w:rPr>
              <w:t>0.24</w:t>
            </w:r>
          </w:p>
        </w:tc>
      </w:tr>
      <w:tr>
        <w:trPr>
          <w:trHeight w:val="206"/>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Diluted earnings per common share</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0.27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0.24</w:t>
            </w:r>
          </w:p>
        </w:tc>
      </w:tr>
    </w:tbl>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Options to purchase a weighted-average of 1,233,655, 1,113,868 and 1,146,697 shares of common stock were outstanding during the year ended December 31, 2010, six month period ended December 31, 2009 and fiscal year ended June 30, 2009, respectively, but were not included in the computation of diluted earnings per share as the effect would be anti-dilutive.</w:t>
      </w:r>
    </w:p>
    <w:p>
      <w:pPr>
        <w:spacing w:after="0" w:line="20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The Company applies FASB ASC Topic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ASC Topic 718 establishes standards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ASC Topic 718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w:t>
      </w:r>
    </w:p>
    <w:p>
      <w:pPr>
        <w:spacing w:after="0" w:line="188" w:lineRule="exact"/>
        <w:rPr>
          <w:sz w:val="20"/>
          <w:szCs w:val="20"/>
          <w:color w:val="auto"/>
        </w:rPr>
      </w:pPr>
    </w:p>
    <w:p>
      <w:pPr>
        <w:ind w:right="18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Effective July 1, 2005, the Company adopted guidelines included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 See </w:t>
      </w:r>
      <w:hyperlink w:anchor="page53">
        <w:r>
          <w:rPr>
            <w:rFonts w:ascii="Arial" w:cs="Arial" w:eastAsia="Arial" w:hAnsi="Arial"/>
            <w:sz w:val="17"/>
            <w:szCs w:val="17"/>
            <w:u w:val="single" w:color="auto"/>
            <w:color w:val="0000EE"/>
          </w:rPr>
          <w:t>Note 11 – Share Based Payment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information about the Company’s various share-based compensation plans, the impact of adoption of ASC Topic 718, and the assumptions used to calculate the fair value of share-based compensation.</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assumptions change in the application of ASC Topic 718 in future periods, the stock-based compensation cost ultimately recorded under ASC Topic 718 may differ significantly from what was recorded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December 2010, FASB issued Accounting Standards Update ("ASU") 2010 - 28 to update Topic 350 - Intangibles-Goodwill and Other. The update changes the way in which testing for goodwill impairment is performed. When a reporting unit's carrying amount is zero or negative, the update requires the entity to perform Step 2 of the goodwill impairment test if it is more likely than not that a goodwill impairment exists. In determining whether it is more likely than not that a goodwill impaiment exists, an entity should consider whether there are any adverse qualitative factors indicating that an impairment may exist. The new requirements are effective and applicable to us with respect to financial reports commencing in the first quarter of 2011.</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December 2010, FASB issued ASU 2010 - 29 to update Topic 805 - Business Combinations. This update has streamlined the way in which pro forma information for business combinations is reported. The amendments in the update specify that if an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update has also expanded the supplemental disclosures required under Topic 805. The changes are effective and would be applicable to us for disclosures relating to any business combination occurring since the beginning of 2011.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3, 2009, the Company acquired NetStreams, Inc. and its subsidiary NetStreams, LLC through a definitive merger agreement to acquire all of the outstanding capital stock (including common, preferred, share warrants, and outstanding options). NetStreams is a pioneer in digital media networks based on Internet Protocol (TCP/IP). NetStreams products, for commercial and residential use, combine audio/video content, meta-data and control signals into one stream for distribution over an IP network, incorporating industry standards while doing so. We believe the acquisition of NetStreams will enable ClearOne to enter new and large vertical markets such as digital signage and commercial sound distribution. The acquisition also brings intellectual property including several granted and pending patents related to NetStreams’ StreamNet® technology, which is used for streaming time-sensitive synchronous audio and video over a local area network (LAN). StreamNet provides AV practitioners the capability to achieve AV over IP solutions by removing the effect of network delays and packet losses. NetStreams’ products and technologies complement existing ClearOne products and provide a platform for future Audio and Video over IP solutions. ClearOne specializes in conferencing and collaboration technologies, while NetStreams is focused on multimedia and network technologies. The ClearOne and NetStreams products and technologies can stand alone or combine to provide more of the overall solution for customers.</w:t>
      </w:r>
    </w:p>
    <w:p>
      <w:pPr>
        <w:spacing w:after="0" w:line="210"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color w:val="auto"/>
        </w:rPr>
        <w:t>Pursuant to the merger agreement, the Company initially paid $1,804 and received $350 after December 31, 2009 towards the final working capital adjustment. $350 is classified in the Consolidated Balance Sheet as of December 31, 2009 as a current asset under “Prepaid expenses and other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shd w:val="clear" w:color="auto" w:fill="FFC080"/>
          </w:tcPr>
          <w:p>
            <w:pPr>
              <w:spacing w:after="0"/>
              <w:rPr>
                <w:sz w:val="20"/>
                <w:szCs w:val="20"/>
                <w:color w:val="auto"/>
              </w:rPr>
            </w:pPr>
            <w:r>
              <w:rPr>
                <w:rFonts w:ascii="Arial" w:cs="Arial" w:eastAsia="Arial" w:hAnsi="Arial"/>
                <w:sz w:val="16"/>
                <w:szCs w:val="16"/>
                <w:color w:val="auto"/>
              </w:rPr>
              <w:t>Cash</w:t>
            </w:r>
          </w:p>
        </w:tc>
        <w:tc>
          <w:tcPr>
            <w:tcW w:w="740" w:type="dxa"/>
            <w:vAlign w:val="bottom"/>
            <w:shd w:val="clear" w:color="auto" w:fill="FFC080"/>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161</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03"/>
        </w:trPr>
        <w:tc>
          <w:tcPr>
            <w:tcW w:w="2740" w:type="dxa"/>
            <w:vAlign w:val="bottom"/>
            <w:shd w:val="clear" w:color="auto" w:fill="FFC080"/>
          </w:tcPr>
          <w:p>
            <w:pPr>
              <w:spacing w:after="0"/>
              <w:rPr>
                <w:sz w:val="20"/>
                <w:szCs w:val="20"/>
                <w:color w:val="auto"/>
              </w:rPr>
            </w:pPr>
            <w:r>
              <w:rPr>
                <w:rFonts w:ascii="Arial" w:cs="Arial" w:eastAsia="Arial" w:hAnsi="Arial"/>
                <w:sz w:val="16"/>
                <w:szCs w:val="16"/>
                <w:color w:val="auto"/>
              </w:rPr>
              <w:t>Inventories</w:t>
            </w:r>
          </w:p>
        </w:tc>
        <w:tc>
          <w:tcPr>
            <w:tcW w:w="740" w:type="dxa"/>
            <w:vAlign w:val="bottom"/>
            <w:shd w:val="clear" w:color="auto" w:fill="FFC080"/>
          </w:tcPr>
          <w:p>
            <w:pPr>
              <w:spacing w:after="0"/>
              <w:rPr>
                <w:sz w:val="17"/>
                <w:szCs w:val="17"/>
                <w:color w:val="auto"/>
              </w:rPr>
            </w:pPr>
          </w:p>
        </w:tc>
        <w:tc>
          <w:tcPr>
            <w:tcW w:w="11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1,204</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Other Current Assets</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3"/>
        </w:trPr>
        <w:tc>
          <w:tcPr>
            <w:tcW w:w="2740" w:type="dxa"/>
            <w:vAlign w:val="bottom"/>
            <w:shd w:val="clear" w:color="auto" w:fill="FFC080"/>
          </w:tcPr>
          <w:p>
            <w:pPr>
              <w:spacing w:after="0"/>
              <w:rPr>
                <w:sz w:val="20"/>
                <w:szCs w:val="20"/>
                <w:color w:val="auto"/>
              </w:rPr>
            </w:pPr>
            <w:r>
              <w:rPr>
                <w:rFonts w:ascii="Arial" w:cs="Arial" w:eastAsia="Arial" w:hAnsi="Arial"/>
                <w:sz w:val="16"/>
                <w:szCs w:val="16"/>
                <w:color w:val="auto"/>
              </w:rPr>
              <w:t>Accounts payable</w:t>
            </w:r>
          </w:p>
        </w:tc>
        <w:tc>
          <w:tcPr>
            <w:tcW w:w="740" w:type="dxa"/>
            <w:vAlign w:val="bottom"/>
            <w:shd w:val="clear" w:color="auto" w:fill="FFC080"/>
          </w:tcPr>
          <w:p>
            <w:pPr>
              <w:spacing w:after="0"/>
              <w:rPr>
                <w:sz w:val="17"/>
                <w:szCs w:val="17"/>
                <w:color w:val="auto"/>
              </w:rPr>
            </w:pPr>
          </w:p>
        </w:tc>
        <w:tc>
          <w:tcPr>
            <w:tcW w:w="11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(1,384)</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Accrued Expenses</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03"/>
        </w:trPr>
        <w:tc>
          <w:tcPr>
            <w:tcW w:w="2740" w:type="dxa"/>
            <w:vAlign w:val="bottom"/>
            <w:shd w:val="clear" w:color="auto" w:fill="FFC080"/>
          </w:tcPr>
          <w:p>
            <w:pPr>
              <w:spacing w:after="0"/>
              <w:rPr>
                <w:sz w:val="20"/>
                <w:szCs w:val="20"/>
                <w:color w:val="auto"/>
              </w:rPr>
            </w:pPr>
            <w:r>
              <w:rPr>
                <w:rFonts w:ascii="Arial" w:cs="Arial" w:eastAsia="Arial" w:hAnsi="Arial"/>
                <w:sz w:val="16"/>
                <w:szCs w:val="16"/>
                <w:color w:val="auto"/>
              </w:rPr>
              <w:t>Property and Equipment</w:t>
            </w:r>
          </w:p>
        </w:tc>
        <w:tc>
          <w:tcPr>
            <w:tcW w:w="740" w:type="dxa"/>
            <w:vAlign w:val="bottom"/>
            <w:shd w:val="clear" w:color="auto" w:fill="FFC080"/>
          </w:tcPr>
          <w:p>
            <w:pPr>
              <w:spacing w:after="0"/>
              <w:rPr>
                <w:sz w:val="17"/>
                <w:szCs w:val="17"/>
                <w:color w:val="auto"/>
              </w:rPr>
            </w:pPr>
          </w:p>
        </w:tc>
        <w:tc>
          <w:tcPr>
            <w:tcW w:w="11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227</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Intangible Assets</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203"/>
        </w:trPr>
        <w:tc>
          <w:tcPr>
            <w:tcW w:w="2740" w:type="dxa"/>
            <w:vAlign w:val="bottom"/>
            <w:shd w:val="clear" w:color="auto" w:fill="FFC080"/>
          </w:tcPr>
          <w:p>
            <w:pPr>
              <w:spacing w:after="0"/>
              <w:rPr>
                <w:sz w:val="20"/>
                <w:szCs w:val="20"/>
                <w:color w:val="auto"/>
              </w:rPr>
            </w:pPr>
            <w:r>
              <w:rPr>
                <w:rFonts w:ascii="Arial" w:cs="Arial" w:eastAsia="Arial" w:hAnsi="Arial"/>
                <w:sz w:val="16"/>
                <w:szCs w:val="16"/>
                <w:color w:val="auto"/>
              </w:rPr>
              <w:t>Goodwill</w:t>
            </w:r>
          </w:p>
        </w:tc>
        <w:tc>
          <w:tcPr>
            <w:tcW w:w="740" w:type="dxa"/>
            <w:vAlign w:val="bottom"/>
            <w:shd w:val="clear" w:color="auto" w:fill="FFC080"/>
          </w:tcPr>
          <w:p>
            <w:pPr>
              <w:spacing w:after="0"/>
              <w:rPr>
                <w:sz w:val="17"/>
                <w:szCs w:val="17"/>
                <w:color w:val="auto"/>
              </w:rPr>
            </w:pPr>
          </w:p>
        </w:tc>
        <w:tc>
          <w:tcPr>
            <w:tcW w:w="1100" w:type="dxa"/>
            <w:vAlign w:val="bottom"/>
            <w:shd w:val="clear" w:color="auto" w:fill="FFC080"/>
          </w:tcPr>
          <w:p>
            <w:pPr>
              <w:jc w:val="right"/>
              <w:spacing w:after="0"/>
              <w:rPr>
                <w:sz w:val="20"/>
                <w:szCs w:val="20"/>
                <w:color w:val="auto"/>
              </w:rPr>
            </w:pPr>
            <w:r>
              <w:rPr>
                <w:rFonts w:ascii="Arial" w:cs="Arial" w:eastAsia="Arial" w:hAnsi="Arial"/>
                <w:sz w:val="16"/>
                <w:szCs w:val="16"/>
                <w:color w:val="auto"/>
              </w:rPr>
              <w:t>726</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10"/>
        </w:trPr>
        <w:tc>
          <w:tcPr>
            <w:tcW w:w="274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6"/>
                <w:szCs w:val="16"/>
                <w:color w:val="auto"/>
              </w:rPr>
              <w:t>Deferred tax liability</w:t>
            </w:r>
          </w:p>
        </w:tc>
        <w:tc>
          <w:tcPr>
            <w:tcW w:w="740" w:type="dxa"/>
            <w:vAlign w:val="bottom"/>
            <w:tcBorders>
              <w:bottom w:val="single" w:sz="8" w:color="auto"/>
            </w:tcBorders>
            <w:shd w:val="clear" w:color="auto" w:fill="FFC080"/>
          </w:tcPr>
          <w:p>
            <w:pPr>
              <w:spacing w:after="0"/>
              <w:rPr>
                <w:sz w:val="18"/>
                <w:szCs w:val="18"/>
                <w:color w:val="auto"/>
              </w:rPr>
            </w:pPr>
          </w:p>
        </w:tc>
        <w:tc>
          <w:tcPr>
            <w:tcW w:w="11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6"/>
                <w:szCs w:val="16"/>
                <w:color w:val="auto"/>
              </w:rPr>
              <w:t>(271)</w:t>
            </w:r>
          </w:p>
        </w:tc>
      </w:tr>
      <w:tr>
        <w:trPr>
          <w:trHeight w:val="216"/>
        </w:trPr>
        <w:tc>
          <w:tcPr>
            <w:tcW w:w="2740" w:type="dxa"/>
            <w:vAlign w:val="bottom"/>
          </w:tcPr>
          <w:p>
            <w:pPr>
              <w:ind w:left="340"/>
              <w:spacing w:after="0"/>
              <w:rPr>
                <w:sz w:val="20"/>
                <w:szCs w:val="20"/>
                <w:color w:val="auto"/>
              </w:rPr>
            </w:pPr>
            <w:r>
              <w:rPr>
                <w:rFonts w:ascii="Arial" w:cs="Arial" w:eastAsia="Arial" w:hAnsi="Arial"/>
                <w:sz w:val="18"/>
                <w:szCs w:val="18"/>
                <w:b w:val="1"/>
                <w:bCs w:val="1"/>
                <w:color w:val="auto"/>
              </w:rPr>
              <w:t>Total purchase price</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w:t>
            </w:r>
          </w:p>
        </w:tc>
      </w:tr>
      <w:tr>
        <w:trPr>
          <w:trHeight w:val="21"/>
        </w:trPr>
        <w:tc>
          <w:tcPr>
            <w:tcW w:w="2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part of the merger arrangement, the Company entered into an agreement with Square 1 Bank to assume $2,000 in debt originally borrowed by NetStreams, Inc. This balance is represented in the Consolidated Balance Sheet as of December 31, 2009 as "Current maturities of long-term debt"and has been paid paid-off during 2010.</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goodwill of $726 is comprised of expected synergies in utilizing NetStreams technology in ClearOne products and vice versa, reduction in future combined research and development expenses, and intangible assets including acquired workforce that do not qualify for separate recognition.</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acquisition of NetStreams during November 2009, the Company recorded an allocation of the associated purchase price.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goodwill retroactive to the period in which the acquisition occurred.</w:t>
      </w:r>
    </w:p>
    <w:p>
      <w:pPr>
        <w:spacing w:after="0" w:line="354"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During the year ended December 31, 2010, the Company revised the amount of goodwill recorded on the acquisition of NetStreams, Inc. by $57 retrospectively to the acquisition date as of November 3, 2009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FFC080"/>
          </w:tcPr>
          <w:p>
            <w:pPr>
              <w:spacing w:after="0"/>
              <w:rPr>
                <w:sz w:val="20"/>
                <w:szCs w:val="20"/>
                <w:color w:val="auto"/>
              </w:rPr>
            </w:pPr>
            <w:r>
              <w:rPr>
                <w:rFonts w:ascii="Arial" w:cs="Arial" w:eastAsia="Arial" w:hAnsi="Arial"/>
                <w:sz w:val="18"/>
                <w:szCs w:val="18"/>
                <w:color w:val="auto"/>
              </w:rPr>
              <w:t>Decrease in receivables</w:t>
            </w:r>
          </w:p>
        </w:tc>
        <w:tc>
          <w:tcPr>
            <w:tcW w:w="1080" w:type="dxa"/>
            <w:vAlign w:val="bottom"/>
            <w:shd w:val="clear" w:color="auto" w:fill="FFC080"/>
          </w:tcPr>
          <w:p>
            <w:pPr>
              <w:jc w:val="right"/>
              <w:ind w:right="9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(91)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Decrease in deferred income taxes - current</w:t>
            </w:r>
          </w:p>
        </w:tc>
        <w:tc>
          <w:tcPr>
            <w:tcW w:w="10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23"/>
        </w:trPr>
        <w:tc>
          <w:tcPr>
            <w:tcW w:w="498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Increase in deferred income taxes - non current</w:t>
            </w:r>
          </w:p>
        </w:tc>
        <w:tc>
          <w:tcPr>
            <w:tcW w:w="108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FFC080"/>
            </w:tcBorders>
            <w:shd w:val="clear" w:color="auto" w:fill="FFC080"/>
          </w:tcPr>
          <w:p>
            <w:pPr>
              <w:spacing w:after="0"/>
              <w:rPr>
                <w:sz w:val="19"/>
                <w:szCs w:val="19"/>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8"/>
                <w:szCs w:val="18"/>
                <w:color w:val="auto"/>
              </w:rPr>
              <w:t>Increase in goodwill</w:t>
            </w:r>
          </w:p>
        </w:tc>
        <w:tc>
          <w:tcPr>
            <w:tcW w:w="108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r>
      <w:tr>
        <w:trPr>
          <w:trHeight w:val="21"/>
        </w:trPr>
        <w:tc>
          <w:tcPr>
            <w:tcW w:w="4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consolidated balance sheets as of December 31, 2010 and 2009 reflect this adjustment. The adjustment was necessary to account for facts related to receivables acquired which became known to us during the year ended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None of the amounts included in the goodwill are deductible for tax purposes.</w:t>
      </w:r>
    </w:p>
    <w:p>
      <w:pPr>
        <w:spacing w:after="0" w:line="245"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We conducted our annual goodwill impairment testing at the beginning of the fourth quarter of 2010 and concluded that goodwill was not impaired.</w:t>
      </w:r>
    </w:p>
    <w:p>
      <w:pPr>
        <w:spacing w:after="0" w:line="18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 incurred $283 towards acquisition related expenses, all of which are categorized under General and Administrative expenses in the Consolidated Income Statement for the period ended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Useful</w:t>
            </w: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lives (Years)</w:t>
            </w: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FFC080"/>
          </w:tcPr>
          <w:p>
            <w:pPr>
              <w:spacing w:after="0"/>
              <w:rPr>
                <w:sz w:val="20"/>
                <w:szCs w:val="20"/>
                <w:color w:val="auto"/>
              </w:rPr>
            </w:pPr>
            <w:r>
              <w:rPr>
                <w:rFonts w:ascii="Arial" w:cs="Arial" w:eastAsia="Arial" w:hAnsi="Arial"/>
                <w:sz w:val="18"/>
                <w:szCs w:val="18"/>
                <w:color w:val="auto"/>
              </w:rPr>
              <w:t>Intangibles acquired through acquisition of NetStreams, Inc.</w:t>
            </w:r>
          </w:p>
        </w:tc>
        <w:tc>
          <w:tcPr>
            <w:tcW w:w="100" w:type="dxa"/>
            <w:vAlign w:val="bottom"/>
            <w:tcBorders>
              <w:bottom w:val="single" w:sz="8" w:color="FFC080"/>
            </w:tcBorders>
            <w:shd w:val="clear" w:color="auto" w:fill="FFC080"/>
          </w:tcPr>
          <w:p>
            <w:pPr>
              <w:spacing w:after="0"/>
              <w:rPr>
                <w:sz w:val="19"/>
                <w:szCs w:val="19"/>
                <w:color w:val="auto"/>
              </w:rPr>
            </w:pPr>
          </w:p>
        </w:tc>
        <w:tc>
          <w:tcPr>
            <w:tcW w:w="1140" w:type="dxa"/>
            <w:vAlign w:val="bottom"/>
            <w:tcBorders>
              <w:top w:val="single" w:sz="8" w:color="auto"/>
              <w:bottom w:val="single" w:sz="8" w:color="FFC080"/>
            </w:tcBorders>
            <w:shd w:val="clear" w:color="auto" w:fill="FFC080"/>
          </w:tcPr>
          <w:p>
            <w:pPr>
              <w:spacing w:after="0"/>
              <w:rPr>
                <w:sz w:val="19"/>
                <w:szCs w:val="19"/>
                <w:color w:val="auto"/>
              </w:rPr>
            </w:pPr>
          </w:p>
        </w:tc>
        <w:tc>
          <w:tcPr>
            <w:tcW w:w="220" w:type="dxa"/>
            <w:vAlign w:val="bottom"/>
            <w:tcBorders>
              <w:bottom w:val="single" w:sz="8" w:color="FFC080"/>
            </w:tcBorders>
            <w:shd w:val="clear" w:color="auto" w:fill="FFC080"/>
          </w:tcPr>
          <w:p>
            <w:pPr>
              <w:spacing w:after="0"/>
              <w:rPr>
                <w:sz w:val="19"/>
                <w:szCs w:val="19"/>
                <w:color w:val="auto"/>
              </w:rPr>
            </w:pPr>
          </w:p>
        </w:tc>
        <w:tc>
          <w:tcPr>
            <w:tcW w:w="220" w:type="dxa"/>
            <w:vAlign w:val="bottom"/>
            <w:tcBorders>
              <w:top w:val="single" w:sz="8" w:color="auto"/>
              <w:bottom w:val="single" w:sz="8" w:color="FFC080"/>
            </w:tcBorders>
            <w:shd w:val="clear" w:color="auto" w:fill="FFC080"/>
          </w:tcPr>
          <w:p>
            <w:pPr>
              <w:spacing w:after="0"/>
              <w:rPr>
                <w:sz w:val="19"/>
                <w:szCs w:val="19"/>
                <w:color w:val="auto"/>
              </w:rPr>
            </w:pPr>
          </w:p>
        </w:tc>
        <w:tc>
          <w:tcPr>
            <w:tcW w:w="940" w:type="dxa"/>
            <w:vAlign w:val="bottom"/>
            <w:tcBorders>
              <w:top w:val="single" w:sz="8" w:color="auto"/>
              <w:bottom w:val="single" w:sz="8" w:color="FFC080"/>
            </w:tcBorders>
            <w:shd w:val="clear" w:color="auto" w:fill="FFC080"/>
          </w:tcPr>
          <w:p>
            <w:pPr>
              <w:spacing w:after="0"/>
              <w:rPr>
                <w:sz w:val="19"/>
                <w:szCs w:val="19"/>
                <w:color w:val="auto"/>
              </w:rPr>
            </w:pPr>
          </w:p>
        </w:tc>
        <w:tc>
          <w:tcPr>
            <w:tcW w:w="22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top w:val="single" w:sz="8" w:color="auto"/>
              <w:bottom w:val="single" w:sz="8" w:color="FFC080"/>
            </w:tcBorders>
            <w:shd w:val="clear" w:color="auto" w:fill="FFC080"/>
          </w:tcPr>
          <w:p>
            <w:pPr>
              <w:spacing w:after="0"/>
              <w:rPr>
                <w:sz w:val="19"/>
                <w:szCs w:val="19"/>
                <w:color w:val="auto"/>
              </w:rPr>
            </w:pPr>
          </w:p>
        </w:tc>
        <w:tc>
          <w:tcPr>
            <w:tcW w:w="1020" w:type="dxa"/>
            <w:vAlign w:val="bottom"/>
            <w:tcBorders>
              <w:top w:val="single" w:sz="8" w:color="auto"/>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300" w:type="dxa"/>
            <w:vAlign w:val="bottom"/>
            <w:tcBorders>
              <w:top w:val="single" w:sz="8" w:color="auto"/>
              <w:bottom w:val="single" w:sz="8" w:color="FFC080"/>
            </w:tcBorders>
            <w:shd w:val="clear" w:color="auto" w:fill="FFC080"/>
          </w:tcPr>
          <w:p>
            <w:pPr>
              <w:spacing w:after="0"/>
              <w:rPr>
                <w:sz w:val="19"/>
                <w:szCs w:val="19"/>
                <w:color w:val="auto"/>
              </w:rPr>
            </w:pPr>
          </w:p>
        </w:tc>
        <w:tc>
          <w:tcPr>
            <w:tcW w:w="860" w:type="dxa"/>
            <w:vAlign w:val="bottom"/>
            <w:tcBorders>
              <w:top w:val="single" w:sz="8" w:color="auto"/>
              <w:bottom w:val="single" w:sz="8" w:color="FFC080"/>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Tradename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Patents and Technological Know-how</w:t>
            </w:r>
          </w:p>
        </w:tc>
        <w:tc>
          <w:tcPr>
            <w:tcW w:w="13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2,070</w:t>
            </w:r>
          </w:p>
        </w:tc>
        <w:tc>
          <w:tcPr>
            <w:tcW w:w="14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Proprietary Software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14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2,720</w:t>
            </w:r>
          </w:p>
        </w:tc>
        <w:tc>
          <w:tcPr>
            <w:tcW w:w="14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FFC080"/>
          </w:tcPr>
          <w:p>
            <w:pPr>
              <w:ind w:left="480"/>
              <w:spacing w:after="0"/>
              <w:rPr>
                <w:sz w:val="20"/>
                <w:szCs w:val="20"/>
                <w:color w:val="auto"/>
              </w:rPr>
            </w:pPr>
            <w:r>
              <w:rPr>
                <w:rFonts w:ascii="Arial" w:cs="Arial" w:eastAsia="Arial" w:hAnsi="Arial"/>
                <w:sz w:val="18"/>
                <w:szCs w:val="18"/>
                <w:color w:val="auto"/>
              </w:rPr>
              <w:t>Total acquired through acquisition of NetStreams, Inc.</w:t>
            </w:r>
          </w:p>
        </w:tc>
        <w:tc>
          <w:tcPr>
            <w:tcW w:w="114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3,120</w:t>
            </w:r>
          </w:p>
        </w:tc>
        <w:tc>
          <w:tcPr>
            <w:tcW w:w="14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FFC080"/>
          </w:tcPr>
          <w:p>
            <w:pPr>
              <w:spacing w:after="0"/>
              <w:rPr>
                <w:sz w:val="18"/>
                <w:szCs w:val="18"/>
                <w:color w:val="auto"/>
              </w:rPr>
            </w:pPr>
          </w:p>
        </w:tc>
        <w:tc>
          <w:tcPr>
            <w:tcW w:w="300" w:type="dxa"/>
            <w:vAlign w:val="bottom"/>
            <w:shd w:val="clear" w:color="auto" w:fill="FFC080"/>
          </w:tcPr>
          <w:p>
            <w:pPr>
              <w:spacing w:after="0"/>
              <w:rPr>
                <w:sz w:val="18"/>
                <w:szCs w:val="18"/>
                <w:color w:val="auto"/>
              </w:rPr>
            </w:pPr>
          </w:p>
        </w:tc>
        <w:tc>
          <w:tcPr>
            <w:tcW w:w="9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Borders>
              <w:bottom w:val="single" w:sz="8" w:color="FFC080"/>
            </w:tcBorders>
            <w:gridSpan w:val="2"/>
            <w:shd w:val="clear" w:color="auto" w:fill="FFC080"/>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FFC080"/>
            </w:tcBorders>
            <w:shd w:val="clear" w:color="auto" w:fill="FFC080"/>
          </w:tcPr>
          <w:p>
            <w:pPr>
              <w:spacing w:after="0"/>
              <w:rPr>
                <w:sz w:val="22"/>
                <w:szCs w:val="22"/>
                <w:color w:val="auto"/>
              </w:rPr>
            </w:pPr>
          </w:p>
        </w:tc>
        <w:tc>
          <w:tcPr>
            <w:tcW w:w="220" w:type="dxa"/>
            <w:vAlign w:val="bottom"/>
            <w:tcBorders>
              <w:bottom w:val="single" w:sz="8" w:color="FFC080"/>
            </w:tcBorders>
            <w:shd w:val="clear" w:color="auto" w:fill="FFC080"/>
          </w:tcPr>
          <w:p>
            <w:pPr>
              <w:spacing w:after="0"/>
              <w:rPr>
                <w:sz w:val="22"/>
                <w:szCs w:val="22"/>
                <w:color w:val="auto"/>
              </w:rPr>
            </w:pPr>
          </w:p>
        </w:tc>
        <w:tc>
          <w:tcPr>
            <w:tcW w:w="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3,169</w:t>
            </w:r>
          </w:p>
        </w:tc>
        <w:tc>
          <w:tcPr>
            <w:tcW w:w="220" w:type="dxa"/>
            <w:vAlign w:val="bottom"/>
            <w:tcBorders>
              <w:bottom w:val="single" w:sz="8" w:color="FFC080"/>
            </w:tcBorders>
            <w:shd w:val="clear" w:color="auto" w:fill="FFC080"/>
          </w:tcPr>
          <w:p>
            <w:pPr>
              <w:spacing w:after="0"/>
              <w:rPr>
                <w:sz w:val="22"/>
                <w:szCs w:val="22"/>
                <w:color w:val="auto"/>
              </w:rPr>
            </w:pPr>
          </w:p>
        </w:tc>
        <w:tc>
          <w:tcPr>
            <w:tcW w:w="1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FFC080"/>
            </w:tcBorders>
            <w:shd w:val="clear" w:color="auto" w:fill="FFC080"/>
          </w:tcPr>
          <w:p>
            <w:pPr>
              <w:spacing w:after="0"/>
              <w:rPr>
                <w:sz w:val="22"/>
                <w:szCs w:val="22"/>
                <w:color w:val="auto"/>
              </w:rPr>
            </w:pPr>
          </w:p>
        </w:tc>
        <w:tc>
          <w:tcPr>
            <w:tcW w:w="120" w:type="dxa"/>
            <w:vAlign w:val="bottom"/>
            <w:tcBorders>
              <w:bottom w:val="single" w:sz="8" w:color="FFC080"/>
            </w:tcBorders>
            <w:shd w:val="clear" w:color="auto" w:fill="FFC080"/>
          </w:tcPr>
          <w:p>
            <w:pPr>
              <w:spacing w:after="0"/>
              <w:rPr>
                <w:sz w:val="22"/>
                <w:szCs w:val="22"/>
                <w:color w:val="auto"/>
              </w:rPr>
            </w:pPr>
          </w:p>
        </w:tc>
        <w:tc>
          <w:tcPr>
            <w:tcW w:w="300" w:type="dxa"/>
            <w:vAlign w:val="bottom"/>
            <w:tcBorders>
              <w:bottom w:val="single" w:sz="8" w:color="auto"/>
            </w:tcBorders>
            <w:shd w:val="clear" w:color="auto" w:fill="FFC080"/>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FFC080"/>
            </w:tcBorders>
            <w:shd w:val="clear" w:color="auto" w:fill="FFC080"/>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year ended December 31, 2010, six months ended December 31, 2009, and year ended June 30, 2009 amortization of intangible assets were $350, $63, and $10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FFC080"/>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3060" w:type="dxa"/>
            <w:vAlign w:val="bottom"/>
            <w:tcBorders>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FFC080"/>
          </w:tcPr>
          <w:p>
            <w:pPr>
              <w:spacing w:after="0"/>
              <w:rPr>
                <w:sz w:val="18"/>
                <w:szCs w:val="18"/>
                <w:color w:val="auto"/>
              </w:rPr>
            </w:pP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3060" w:type="dxa"/>
            <w:vAlign w:val="bottom"/>
            <w:tcBorders>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FFC080"/>
          </w:tcPr>
          <w:p>
            <w:pPr>
              <w:spacing w:after="0"/>
              <w:rPr>
                <w:sz w:val="18"/>
                <w:szCs w:val="18"/>
                <w:color w:val="auto"/>
              </w:rPr>
            </w:pP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r>
      <w:tr>
        <w:trPr>
          <w:trHeight w:val="237"/>
        </w:trPr>
        <w:tc>
          <w:tcPr>
            <w:tcW w:w="20" w:type="dxa"/>
            <w:vAlign w:val="bottom"/>
          </w:tcPr>
          <w:p>
            <w:pPr>
              <w:spacing w:after="0"/>
              <w:rPr>
                <w:sz w:val="20"/>
                <w:szCs w:val="20"/>
                <w:color w:val="auto"/>
              </w:rPr>
            </w:pPr>
          </w:p>
        </w:tc>
        <w:tc>
          <w:tcPr>
            <w:tcW w:w="3060" w:type="dxa"/>
            <w:vAlign w:val="bottom"/>
            <w:tcBorders>
              <w:right w:val="single" w:sz="8" w:color="FFC080"/>
            </w:tcBorders>
            <w:shd w:val="clear" w:color="auto" w:fill="FFC080"/>
          </w:tcPr>
          <w:p>
            <w:pPr>
              <w:spacing w:after="0"/>
              <w:rPr>
                <w:sz w:val="20"/>
                <w:szCs w:val="20"/>
                <w:color w:val="auto"/>
              </w:rPr>
            </w:pPr>
          </w:p>
        </w:tc>
        <w:tc>
          <w:tcPr>
            <w:tcW w:w="560" w:type="dxa"/>
            <w:vAlign w:val="bottom"/>
            <w:shd w:val="clear" w:color="auto" w:fill="FFC080"/>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2,345</w:t>
            </w: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FFC080"/>
              <w:right w:val="single" w:sz="8" w:color="FFC080"/>
            </w:tcBorders>
            <w:shd w:val="clear" w:color="auto" w:fill="FFC08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FFC080"/>
            </w:tcBorders>
            <w:shd w:val="clear" w:color="auto" w:fill="000000"/>
          </w:tcPr>
          <w:p>
            <w:pPr>
              <w:spacing w:after="0" w:line="20" w:lineRule="exact"/>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right"/>
              <w:ind w:right="336"/>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FC080"/>
          </w:tcPr>
          <w:p>
            <w:pPr>
              <w:spacing w:after="0"/>
              <w:rPr>
                <w:sz w:val="20"/>
                <w:szCs w:val="20"/>
                <w:color w:val="auto"/>
              </w:rPr>
            </w:pPr>
            <w:r>
              <w:rPr>
                <w:rFonts w:ascii="Arial" w:cs="Arial" w:eastAsia="Arial" w:hAnsi="Arial"/>
                <w:sz w:val="18"/>
                <w:szCs w:val="18"/>
                <w:color w:val="auto"/>
              </w:rPr>
              <w:t>Current:</w:t>
            </w:r>
          </w:p>
        </w:tc>
        <w:tc>
          <w:tcPr>
            <w:tcW w:w="1600" w:type="dxa"/>
            <w:vAlign w:val="bottom"/>
            <w:tcBorders>
              <w:top w:val="single" w:sz="8" w:color="auto"/>
            </w:tcBorders>
            <w:shd w:val="clear" w:color="auto" w:fill="FFC080"/>
          </w:tcPr>
          <w:p>
            <w:pPr>
              <w:spacing w:after="0"/>
              <w:rPr>
                <w:sz w:val="18"/>
                <w:szCs w:val="18"/>
                <w:color w:val="auto"/>
              </w:rPr>
            </w:pPr>
          </w:p>
        </w:tc>
        <w:tc>
          <w:tcPr>
            <w:tcW w:w="420" w:type="dxa"/>
            <w:vAlign w:val="bottom"/>
            <w:tcBorders>
              <w:top w:val="single" w:sz="8" w:color="auto"/>
            </w:tcBorders>
            <w:shd w:val="clear" w:color="auto" w:fill="FFC080"/>
          </w:tcPr>
          <w:p>
            <w:pPr>
              <w:spacing w:after="0"/>
              <w:rPr>
                <w:sz w:val="18"/>
                <w:szCs w:val="18"/>
                <w:color w:val="auto"/>
              </w:rPr>
            </w:pPr>
          </w:p>
        </w:tc>
        <w:tc>
          <w:tcPr>
            <w:tcW w:w="240" w:type="dxa"/>
            <w:vAlign w:val="bottom"/>
            <w:shd w:val="clear" w:color="auto" w:fill="FFC080"/>
          </w:tcPr>
          <w:p>
            <w:pPr>
              <w:spacing w:after="0"/>
              <w:rPr>
                <w:sz w:val="18"/>
                <w:szCs w:val="18"/>
                <w:color w:val="auto"/>
              </w:rPr>
            </w:pPr>
          </w:p>
        </w:tc>
        <w:tc>
          <w:tcPr>
            <w:tcW w:w="260" w:type="dxa"/>
            <w:vAlign w:val="bottom"/>
            <w:tcBorders>
              <w:top w:val="single" w:sz="8" w:color="auto"/>
            </w:tcBorders>
            <w:shd w:val="clear" w:color="auto" w:fill="FFC080"/>
          </w:tcPr>
          <w:p>
            <w:pPr>
              <w:spacing w:after="0"/>
              <w:rPr>
                <w:sz w:val="18"/>
                <w:szCs w:val="18"/>
                <w:color w:val="auto"/>
              </w:rPr>
            </w:pPr>
          </w:p>
        </w:tc>
        <w:tc>
          <w:tcPr>
            <w:tcW w:w="178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1600" w:type="dxa"/>
            <w:vAlign w:val="bottom"/>
          </w:tcPr>
          <w:p>
            <w:pPr>
              <w:jc w:val="right"/>
              <w:ind w:right="141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FC080"/>
          </w:tcPr>
          <w:p>
            <w:pPr>
              <w:ind w:left="480"/>
              <w:spacing w:after="0"/>
              <w:rPr>
                <w:sz w:val="20"/>
                <w:szCs w:val="20"/>
                <w:color w:val="auto"/>
              </w:rPr>
            </w:pPr>
            <w:r>
              <w:rPr>
                <w:rFonts w:ascii="Arial" w:cs="Arial" w:eastAsia="Arial" w:hAnsi="Arial"/>
                <w:sz w:val="18"/>
                <w:szCs w:val="18"/>
                <w:color w:val="auto"/>
              </w:rPr>
              <w:t>Finished goods</w:t>
            </w:r>
          </w:p>
        </w:tc>
        <w:tc>
          <w:tcPr>
            <w:tcW w:w="1600" w:type="dxa"/>
            <w:vAlign w:val="bottom"/>
            <w:shd w:val="clear" w:color="auto" w:fill="FFC080"/>
          </w:tcPr>
          <w:p>
            <w:pPr>
              <w:spacing w:after="0"/>
              <w:rPr>
                <w:sz w:val="18"/>
                <w:szCs w:val="18"/>
                <w:color w:val="auto"/>
              </w:rPr>
            </w:pPr>
          </w:p>
        </w:tc>
        <w:tc>
          <w:tcPr>
            <w:tcW w:w="420" w:type="dxa"/>
            <w:vAlign w:val="bottom"/>
            <w:shd w:val="clear" w:color="auto" w:fill="FFC080"/>
          </w:tcPr>
          <w:p>
            <w:pPr>
              <w:jc w:val="right"/>
              <w:spacing w:after="0"/>
              <w:rPr>
                <w:sz w:val="20"/>
                <w:szCs w:val="20"/>
                <w:color w:val="auto"/>
              </w:rPr>
            </w:pPr>
            <w:r>
              <w:rPr>
                <w:rFonts w:ascii="Arial" w:cs="Arial" w:eastAsia="Arial" w:hAnsi="Arial"/>
                <w:sz w:val="18"/>
                <w:szCs w:val="18"/>
                <w:color w:val="auto"/>
                <w:w w:val="88"/>
              </w:rPr>
              <w:t>8,004</w:t>
            </w:r>
          </w:p>
        </w:tc>
        <w:tc>
          <w:tcPr>
            <w:tcW w:w="24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19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shd w:val="clear" w:color="auto" w:fill="FFC08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jc w:val="right"/>
              <w:ind w:right="14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8,780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shd w:val="clear" w:color="auto" w:fill="FFC080"/>
          </w:tcPr>
          <w:p>
            <w:pPr>
              <w:spacing w:after="0"/>
              <w:rPr>
                <w:sz w:val="12"/>
                <w:szCs w:val="12"/>
                <w:color w:val="auto"/>
              </w:rPr>
            </w:pPr>
          </w:p>
        </w:tc>
        <w:tc>
          <w:tcPr>
            <w:tcW w:w="1600" w:type="dxa"/>
            <w:vAlign w:val="bottom"/>
            <w:shd w:val="clear" w:color="auto" w:fill="FFC080"/>
          </w:tcPr>
          <w:p>
            <w:pPr>
              <w:spacing w:after="0"/>
              <w:rPr>
                <w:sz w:val="12"/>
                <w:szCs w:val="12"/>
                <w:color w:val="auto"/>
              </w:rPr>
            </w:pPr>
          </w:p>
        </w:tc>
        <w:tc>
          <w:tcPr>
            <w:tcW w:w="420" w:type="dxa"/>
            <w:vAlign w:val="bottom"/>
            <w:shd w:val="clear" w:color="auto" w:fill="FFC080"/>
          </w:tcPr>
          <w:p>
            <w:pPr>
              <w:spacing w:after="0"/>
              <w:rPr>
                <w:sz w:val="12"/>
                <w:szCs w:val="12"/>
                <w:color w:val="auto"/>
              </w:rPr>
            </w:pPr>
          </w:p>
        </w:tc>
        <w:tc>
          <w:tcPr>
            <w:tcW w:w="240" w:type="dxa"/>
            <w:vAlign w:val="bottom"/>
            <w:shd w:val="clear" w:color="auto" w:fill="FFC080"/>
          </w:tcPr>
          <w:p>
            <w:pPr>
              <w:spacing w:after="0"/>
              <w:rPr>
                <w:sz w:val="12"/>
                <w:szCs w:val="12"/>
                <w:color w:val="auto"/>
              </w:rPr>
            </w:pPr>
          </w:p>
        </w:tc>
        <w:tc>
          <w:tcPr>
            <w:tcW w:w="260" w:type="dxa"/>
            <w:vAlign w:val="bottom"/>
            <w:shd w:val="clear" w:color="auto" w:fill="FFC080"/>
          </w:tcPr>
          <w:p>
            <w:pPr>
              <w:spacing w:after="0"/>
              <w:rPr>
                <w:sz w:val="12"/>
                <w:szCs w:val="12"/>
                <w:color w:val="auto"/>
              </w:rPr>
            </w:pPr>
          </w:p>
        </w:tc>
        <w:tc>
          <w:tcPr>
            <w:tcW w:w="1780" w:type="dxa"/>
            <w:vAlign w:val="bottom"/>
            <w:shd w:val="clear" w:color="auto" w:fill="FFC080"/>
          </w:tcPr>
          <w:p>
            <w:pPr>
              <w:spacing w:after="0"/>
              <w:rPr>
                <w:sz w:val="12"/>
                <w:szCs w:val="12"/>
                <w:color w:val="auto"/>
              </w:rPr>
            </w:pPr>
          </w:p>
        </w:tc>
        <w:tc>
          <w:tcPr>
            <w:tcW w:w="140" w:type="dxa"/>
            <w:vAlign w:val="bottom"/>
            <w:shd w:val="clear" w:color="auto" w:fill="FFC08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Long-term:</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FC080"/>
          </w:tcPr>
          <w:p>
            <w:pPr>
              <w:ind w:left="480"/>
              <w:spacing w:after="0"/>
              <w:rPr>
                <w:sz w:val="20"/>
                <w:szCs w:val="20"/>
                <w:color w:val="auto"/>
              </w:rPr>
            </w:pPr>
            <w:r>
              <w:rPr>
                <w:rFonts w:ascii="Arial" w:cs="Arial" w:eastAsia="Arial" w:hAnsi="Arial"/>
                <w:sz w:val="18"/>
                <w:szCs w:val="18"/>
                <w:color w:val="auto"/>
              </w:rPr>
              <w:t>Raw materials</w:t>
            </w:r>
          </w:p>
        </w:tc>
        <w:tc>
          <w:tcPr>
            <w:tcW w:w="1600" w:type="dxa"/>
            <w:vAlign w:val="bottom"/>
            <w:shd w:val="clear" w:color="auto" w:fill="FFC080"/>
          </w:tcPr>
          <w:p>
            <w:pPr>
              <w:jc w:val="right"/>
              <w:ind w:right="141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FFC080"/>
          </w:tcPr>
          <w:p>
            <w:pPr>
              <w:jc w:val="right"/>
              <w:ind w:right="240"/>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FFC080"/>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1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FFC080"/>
          </w:tcPr>
          <w:p>
            <w:pPr>
              <w:spacing w:after="0"/>
              <w:rPr>
                <w:sz w:val="20"/>
                <w:szCs w:val="20"/>
                <w:color w:val="auto"/>
              </w:rPr>
            </w:pPr>
          </w:p>
        </w:tc>
        <w:tc>
          <w:tcPr>
            <w:tcW w:w="1600" w:type="dxa"/>
            <w:vAlign w:val="bottom"/>
            <w:shd w:val="clear" w:color="auto" w:fill="FFC080"/>
          </w:tcPr>
          <w:p>
            <w:pPr>
              <w:jc w:val="right"/>
              <w:ind w:right="14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FFC080"/>
          </w:tcPr>
          <w:p>
            <w:pPr>
              <w:jc w:val="right"/>
              <w:spacing w:after="0"/>
              <w:rPr>
                <w:sz w:val="20"/>
                <w:szCs w:val="20"/>
                <w:color w:val="auto"/>
              </w:rPr>
            </w:pPr>
            <w:r>
              <w:rPr>
                <w:rFonts w:ascii="Arial" w:cs="Arial" w:eastAsia="Arial" w:hAnsi="Arial"/>
                <w:sz w:val="18"/>
                <w:szCs w:val="18"/>
                <w:color w:val="auto"/>
                <w:w w:val="88"/>
              </w:rPr>
              <w:t>2,617</w:t>
            </w:r>
          </w:p>
        </w:tc>
        <w:tc>
          <w:tcPr>
            <w:tcW w:w="240" w:type="dxa"/>
            <w:vAlign w:val="bottom"/>
            <w:shd w:val="clear" w:color="auto" w:fill="FFC080"/>
          </w:tcPr>
          <w:p>
            <w:pPr>
              <w:spacing w:after="0"/>
              <w:rPr>
                <w:sz w:val="20"/>
                <w:szCs w:val="20"/>
                <w:color w:val="auto"/>
              </w:rPr>
            </w:pPr>
          </w:p>
        </w:tc>
        <w:tc>
          <w:tcPr>
            <w:tcW w:w="260" w:type="dxa"/>
            <w:vAlign w:val="bottom"/>
            <w:shd w:val="clear" w:color="auto" w:fill="FFC080"/>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FC080"/>
            </w:tcBorders>
            <w:shd w:val="clear" w:color="auto" w:fill="FFC08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FC080"/>
            </w:tcBorders>
            <w:shd w:val="clear" w:color="auto" w:fill="FFC08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Current finished goods include consigned inventory in the amounts of approximately $1,742 and $1,846 as of December 31, 2010 and 2009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losses (benefit) incurred on valuation of inventory at lower of cost or market value and write-off of obsolete inventory amounted to ($104), ($152) and $2,293 during the year ended December 31, 2010, six months ended December 31, 2009, and fiscal year ended June 30, 2009, respectively.</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December 31, 2010</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December 31, 2009</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FFC080"/>
          </w:tcPr>
          <w:p>
            <w:pPr>
              <w:spacing w:after="0"/>
              <w:rPr>
                <w:sz w:val="20"/>
                <w:szCs w:val="20"/>
                <w:color w:val="auto"/>
              </w:rPr>
            </w:pPr>
            <w:r>
              <w:rPr>
                <w:rFonts w:ascii="Arial" w:cs="Arial" w:eastAsia="Arial" w:hAnsi="Arial"/>
                <w:sz w:val="18"/>
                <w:szCs w:val="18"/>
                <w:color w:val="auto"/>
              </w:rPr>
              <w:t>Office furniture and equipment</w:t>
            </w:r>
          </w:p>
        </w:tc>
        <w:tc>
          <w:tcPr>
            <w:tcW w:w="222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8"/>
              </w:rPr>
              <w:t>3 to 10 years</w:t>
            </w:r>
          </w:p>
        </w:tc>
        <w:tc>
          <w:tcPr>
            <w:tcW w:w="26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FFC080"/>
          </w:tcPr>
          <w:p>
            <w:pPr>
              <w:jc w:val="center"/>
              <w:ind w:left="914"/>
              <w:spacing w:after="0"/>
              <w:rPr>
                <w:sz w:val="20"/>
                <w:szCs w:val="20"/>
                <w:color w:val="auto"/>
              </w:rPr>
            </w:pPr>
            <w:r>
              <w:rPr>
                <w:rFonts w:ascii="Arial" w:cs="Arial" w:eastAsia="Arial" w:hAnsi="Arial"/>
                <w:sz w:val="18"/>
                <w:szCs w:val="18"/>
                <w:color w:val="auto"/>
                <w:w w:val="88"/>
              </w:rPr>
              <w:t>9,583</w:t>
            </w:r>
          </w:p>
        </w:tc>
        <w:tc>
          <w:tcPr>
            <w:tcW w:w="200" w:type="dxa"/>
            <w:vAlign w:val="bottom"/>
            <w:tcBorders>
              <w:right w:val="single" w:sz="8" w:color="FFC080"/>
            </w:tcBorders>
            <w:shd w:val="clear" w:color="auto" w:fill="FFC080"/>
          </w:tcPr>
          <w:p>
            <w:pPr>
              <w:spacing w:after="0"/>
              <w:rPr>
                <w:sz w:val="18"/>
                <w:szCs w:val="18"/>
                <w:color w:val="auto"/>
              </w:rPr>
            </w:pPr>
          </w:p>
        </w:tc>
        <w:tc>
          <w:tcPr>
            <w:tcW w:w="180" w:type="dxa"/>
            <w:vAlign w:val="bottom"/>
            <w:shd w:val="clear" w:color="auto" w:fill="FFC080"/>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9,346</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 to 6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left="914"/>
              <w:spacing w:after="0"/>
              <w:rPr>
                <w:sz w:val="20"/>
                <w:szCs w:val="20"/>
                <w:color w:val="auto"/>
              </w:rPr>
            </w:pPr>
            <w:r>
              <w:rPr>
                <w:rFonts w:ascii="Arial" w:cs="Arial" w:eastAsia="Arial" w:hAnsi="Arial"/>
                <w:sz w:val="18"/>
                <w:szCs w:val="18"/>
                <w:color w:val="auto"/>
                <w:w w:val="88"/>
              </w:rPr>
              <w:t>1,381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r>
      <w:tr>
        <w:trPr>
          <w:trHeight w:val="216"/>
        </w:trPr>
        <w:tc>
          <w:tcPr>
            <w:tcW w:w="20" w:type="dxa"/>
            <w:vAlign w:val="bottom"/>
          </w:tcPr>
          <w:p>
            <w:pPr>
              <w:spacing w:after="0"/>
              <w:rPr>
                <w:sz w:val="18"/>
                <w:szCs w:val="18"/>
                <w:color w:val="auto"/>
              </w:rPr>
            </w:pPr>
          </w:p>
        </w:tc>
        <w:tc>
          <w:tcPr>
            <w:tcW w:w="4300" w:type="dxa"/>
            <w:vAlign w:val="bottom"/>
            <w:shd w:val="clear" w:color="auto" w:fill="FFC080"/>
          </w:tcPr>
          <w:p>
            <w:pPr>
              <w:spacing w:after="0"/>
              <w:rPr>
                <w:sz w:val="20"/>
                <w:szCs w:val="20"/>
                <w:color w:val="auto"/>
              </w:rPr>
            </w:pPr>
            <w:r>
              <w:rPr>
                <w:rFonts w:ascii="Arial" w:cs="Arial" w:eastAsia="Arial" w:hAnsi="Arial"/>
                <w:sz w:val="18"/>
                <w:szCs w:val="18"/>
                <w:color w:val="auto"/>
              </w:rPr>
              <w:t>Manufacturing and test equipment</w:t>
            </w:r>
          </w:p>
        </w:tc>
        <w:tc>
          <w:tcPr>
            <w:tcW w:w="222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8"/>
              </w:rPr>
              <w:t>2 to 10 years</w:t>
            </w:r>
          </w:p>
        </w:tc>
        <w:tc>
          <w:tcPr>
            <w:tcW w:w="10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shd w:val="clear" w:color="auto" w:fill="FFC080"/>
          </w:tcPr>
          <w:p>
            <w:pPr>
              <w:jc w:val="center"/>
              <w:ind w:left="914"/>
              <w:spacing w:after="0"/>
              <w:rPr>
                <w:sz w:val="20"/>
                <w:szCs w:val="20"/>
                <w:color w:val="auto"/>
              </w:rPr>
            </w:pPr>
            <w:r>
              <w:rPr>
                <w:rFonts w:ascii="Arial" w:cs="Arial" w:eastAsia="Arial" w:hAnsi="Arial"/>
                <w:sz w:val="18"/>
                <w:szCs w:val="18"/>
                <w:color w:val="auto"/>
                <w:w w:val="88"/>
              </w:rPr>
              <w:t>2,417</w:t>
            </w:r>
          </w:p>
        </w:tc>
        <w:tc>
          <w:tcPr>
            <w:tcW w:w="200" w:type="dxa"/>
            <w:vAlign w:val="bottom"/>
            <w:tcBorders>
              <w:right w:val="single" w:sz="8" w:color="FFC080"/>
            </w:tcBorders>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6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2,281</w:t>
            </w:r>
          </w:p>
        </w:tc>
      </w:tr>
      <w:tr>
        <w:trPr>
          <w:trHeight w:val="27"/>
        </w:trPr>
        <w:tc>
          <w:tcPr>
            <w:tcW w:w="20" w:type="dxa"/>
            <w:vAlign w:val="bottom"/>
          </w:tcPr>
          <w:p>
            <w:pPr>
              <w:spacing w:after="0"/>
              <w:rPr>
                <w:sz w:val="2"/>
                <w:szCs w:val="2"/>
                <w:color w:val="auto"/>
              </w:rPr>
            </w:pPr>
          </w:p>
        </w:tc>
        <w:tc>
          <w:tcPr>
            <w:tcW w:w="4300" w:type="dxa"/>
            <w:vAlign w:val="bottom"/>
            <w:shd w:val="clear" w:color="auto" w:fill="FFC080"/>
          </w:tcPr>
          <w:p>
            <w:pPr>
              <w:spacing w:after="0"/>
              <w:rPr>
                <w:sz w:val="2"/>
                <w:szCs w:val="2"/>
                <w:color w:val="auto"/>
              </w:rPr>
            </w:pPr>
          </w:p>
        </w:tc>
        <w:tc>
          <w:tcPr>
            <w:tcW w:w="22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tcBorders>
              <w:right w:val="single" w:sz="8" w:color="FFC080"/>
            </w:tcBorders>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left="714"/>
              <w:spacing w:after="0"/>
              <w:rPr>
                <w:sz w:val="20"/>
                <w:szCs w:val="20"/>
                <w:color w:val="auto"/>
              </w:rPr>
            </w:pPr>
            <w:r>
              <w:rPr>
                <w:rFonts w:ascii="Arial" w:cs="Arial" w:eastAsia="Arial" w:hAnsi="Arial"/>
                <w:sz w:val="18"/>
                <w:szCs w:val="18"/>
                <w:color w:val="auto"/>
                <w:w w:val="87"/>
              </w:rPr>
              <w:t>13,381</w:t>
            </w: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12,960</w:t>
            </w:r>
          </w:p>
        </w:tc>
      </w:tr>
      <w:tr>
        <w:trPr>
          <w:trHeight w:val="216"/>
        </w:trPr>
        <w:tc>
          <w:tcPr>
            <w:tcW w:w="20" w:type="dxa"/>
            <w:vAlign w:val="bottom"/>
          </w:tcPr>
          <w:p>
            <w:pPr>
              <w:spacing w:after="0"/>
              <w:rPr>
                <w:sz w:val="18"/>
                <w:szCs w:val="18"/>
                <w:color w:val="auto"/>
              </w:rPr>
            </w:pPr>
          </w:p>
        </w:tc>
        <w:tc>
          <w:tcPr>
            <w:tcW w:w="4300" w:type="dxa"/>
            <w:vAlign w:val="bottom"/>
            <w:shd w:val="clear" w:color="auto" w:fill="FFC080"/>
          </w:tcPr>
          <w:p>
            <w:pPr>
              <w:spacing w:after="0"/>
              <w:rPr>
                <w:sz w:val="20"/>
                <w:szCs w:val="20"/>
                <w:color w:val="auto"/>
              </w:rPr>
            </w:pPr>
            <w:r>
              <w:rPr>
                <w:rFonts w:ascii="Arial" w:cs="Arial" w:eastAsia="Arial" w:hAnsi="Arial"/>
                <w:sz w:val="18"/>
                <w:szCs w:val="18"/>
                <w:color w:val="auto"/>
              </w:rPr>
              <w:t>Accumulated depreciation and amortization</w:t>
            </w:r>
          </w:p>
        </w:tc>
        <w:tc>
          <w:tcPr>
            <w:tcW w:w="2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680" w:type="dxa"/>
            <w:vAlign w:val="bottom"/>
            <w:tcBorders>
              <w:right w:val="single" w:sz="8" w:color="FFC080"/>
            </w:tcBorders>
            <w:gridSpan w:val="2"/>
            <w:shd w:val="clear" w:color="auto" w:fill="FFC080"/>
          </w:tcPr>
          <w:p>
            <w:pPr>
              <w:jc w:val="center"/>
              <w:ind w:left="714"/>
              <w:spacing w:after="0"/>
              <w:rPr>
                <w:sz w:val="20"/>
                <w:szCs w:val="20"/>
                <w:color w:val="auto"/>
              </w:rPr>
            </w:pPr>
            <w:r>
              <w:rPr>
                <w:rFonts w:ascii="Arial" w:cs="Arial" w:eastAsia="Arial" w:hAnsi="Arial"/>
                <w:sz w:val="18"/>
                <w:szCs w:val="18"/>
                <w:color w:val="auto"/>
                <w:w w:val="89"/>
              </w:rPr>
              <w:t>(10,416)</w:t>
            </w:r>
          </w:p>
        </w:tc>
        <w:tc>
          <w:tcPr>
            <w:tcW w:w="180" w:type="dxa"/>
            <w:vAlign w:val="bottom"/>
            <w:shd w:val="clear" w:color="auto" w:fill="FFC080"/>
          </w:tcPr>
          <w:p>
            <w:pPr>
              <w:spacing w:after="0"/>
              <w:rPr>
                <w:sz w:val="18"/>
                <w:szCs w:val="18"/>
                <w:color w:val="auto"/>
              </w:rPr>
            </w:pPr>
          </w:p>
        </w:tc>
        <w:tc>
          <w:tcPr>
            <w:tcW w:w="16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(9,714)</w:t>
            </w:r>
          </w:p>
        </w:tc>
      </w:tr>
      <w:tr>
        <w:trPr>
          <w:trHeight w:val="27"/>
        </w:trPr>
        <w:tc>
          <w:tcPr>
            <w:tcW w:w="20" w:type="dxa"/>
            <w:vAlign w:val="bottom"/>
          </w:tcPr>
          <w:p>
            <w:pPr>
              <w:spacing w:after="0"/>
              <w:rPr>
                <w:sz w:val="2"/>
                <w:szCs w:val="2"/>
                <w:color w:val="auto"/>
              </w:rPr>
            </w:pPr>
          </w:p>
        </w:tc>
        <w:tc>
          <w:tcPr>
            <w:tcW w:w="4300" w:type="dxa"/>
            <w:vAlign w:val="bottom"/>
            <w:shd w:val="clear" w:color="auto" w:fill="FFC080"/>
          </w:tcPr>
          <w:p>
            <w:pPr>
              <w:spacing w:after="0"/>
              <w:rPr>
                <w:sz w:val="2"/>
                <w:szCs w:val="2"/>
                <w:color w:val="auto"/>
              </w:rPr>
            </w:pPr>
          </w:p>
        </w:tc>
        <w:tc>
          <w:tcPr>
            <w:tcW w:w="22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tcBorders>
              <w:right w:val="single" w:sz="8" w:color="FFC080"/>
            </w:tcBorders>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2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2,965</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3,246</w:t>
            </w: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year ended December 31, 2010, six months ended December 31, 2009 and year ended June 30, 2009 was $969, $468 and $866,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Unrealized Holding Gains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the unrealized holding gain (losses) on the Company’s marketable securities and reported as a separate component of accumulated other comprehensive income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0" w:type="dxa"/>
            <w:vAlign w:val="bottom"/>
          </w:tcPr>
          <w:p>
            <w:pPr>
              <w:jc w:val="right"/>
              <w:ind w:right="39"/>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2009</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2009</w:t>
            </w:r>
          </w:p>
        </w:tc>
        <w:tc>
          <w:tcPr>
            <w:tcW w:w="2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FFC080"/>
          </w:tcPr>
          <w:p>
            <w:pPr>
              <w:spacing w:after="0"/>
              <w:rPr>
                <w:sz w:val="20"/>
                <w:szCs w:val="20"/>
                <w:color w:val="auto"/>
              </w:rPr>
            </w:pPr>
            <w:r>
              <w:rPr>
                <w:rFonts w:ascii="Arial" w:cs="Arial" w:eastAsia="Arial" w:hAnsi="Arial"/>
                <w:sz w:val="18"/>
                <w:szCs w:val="18"/>
                <w:color w:val="auto"/>
              </w:rPr>
              <w:t>Unrealized holding gains (losses) at beginning of year</w:t>
            </w:r>
          </w:p>
        </w:tc>
        <w:tc>
          <w:tcPr>
            <w:tcW w:w="1600" w:type="dxa"/>
            <w:vAlign w:val="bottom"/>
            <w:shd w:val="clear" w:color="auto" w:fill="FFC080"/>
          </w:tcPr>
          <w:p>
            <w:pPr>
              <w:jc w:val="right"/>
              <w:ind w:right="14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FFC080"/>
          </w:tcPr>
          <w:p>
            <w:pPr>
              <w:spacing w:after="0"/>
              <w:rPr>
                <w:sz w:val="18"/>
                <w:szCs w:val="18"/>
                <w:color w:val="auto"/>
              </w:rPr>
            </w:pPr>
          </w:p>
        </w:tc>
        <w:tc>
          <w:tcPr>
            <w:tcW w:w="320" w:type="dxa"/>
            <w:vAlign w:val="bottom"/>
            <w:gridSpan w:val="2"/>
            <w:shd w:val="clear" w:color="auto" w:fill="FFC080"/>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(694)</w:t>
            </w:r>
          </w:p>
        </w:tc>
      </w:tr>
      <w:tr>
        <w:trPr>
          <w:trHeight w:val="216"/>
        </w:trPr>
        <w:tc>
          <w:tcPr>
            <w:tcW w:w="20" w:type="dxa"/>
            <w:vAlign w:val="bottom"/>
          </w:tcPr>
          <w:p>
            <w:pPr>
              <w:spacing w:after="0"/>
              <w:rPr>
                <w:sz w:val="18"/>
                <w:szCs w:val="18"/>
                <w:color w:val="auto"/>
              </w:rPr>
            </w:pPr>
          </w:p>
        </w:tc>
        <w:tc>
          <w:tcPr>
            <w:tcW w:w="7440" w:type="dxa"/>
            <w:vAlign w:val="bottom"/>
          </w:tcPr>
          <w:p>
            <w:pPr>
              <w:ind w:left="400"/>
              <w:spacing w:after="0"/>
              <w:rPr>
                <w:sz w:val="20"/>
                <w:szCs w:val="20"/>
                <w:color w:val="auto"/>
              </w:rPr>
            </w:pPr>
            <w:r>
              <w:rPr>
                <w:rFonts w:ascii="Arial" w:cs="Arial" w:eastAsia="Arial" w:hAnsi="Arial"/>
                <w:sz w:val="18"/>
                <w:szCs w:val="18"/>
                <w:color w:val="auto"/>
              </w:rPr>
              <w:t>Unrealized holding gains (losses), in marketable securities, before taxes</w:t>
            </w:r>
          </w:p>
        </w:tc>
        <w:tc>
          <w:tcPr>
            <w:tcW w:w="16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1,115</w:t>
            </w:r>
          </w:p>
        </w:tc>
      </w:tr>
      <w:tr>
        <w:trPr>
          <w:trHeight w:val="223"/>
        </w:trPr>
        <w:tc>
          <w:tcPr>
            <w:tcW w:w="20" w:type="dxa"/>
            <w:vAlign w:val="bottom"/>
          </w:tcPr>
          <w:p>
            <w:pPr>
              <w:spacing w:after="0"/>
              <w:rPr>
                <w:sz w:val="19"/>
                <w:szCs w:val="19"/>
                <w:color w:val="auto"/>
              </w:rPr>
            </w:pPr>
          </w:p>
        </w:tc>
        <w:tc>
          <w:tcPr>
            <w:tcW w:w="7440" w:type="dxa"/>
            <w:vAlign w:val="bottom"/>
            <w:shd w:val="clear" w:color="auto" w:fill="FFC080"/>
          </w:tcPr>
          <w:p>
            <w:pPr>
              <w:ind w:left="400"/>
              <w:spacing w:after="0"/>
              <w:rPr>
                <w:sz w:val="20"/>
                <w:szCs w:val="20"/>
                <w:color w:val="auto"/>
              </w:rPr>
            </w:pPr>
            <w:r>
              <w:rPr>
                <w:rFonts w:ascii="Arial" w:cs="Arial" w:eastAsia="Arial" w:hAnsi="Arial"/>
                <w:sz w:val="18"/>
                <w:szCs w:val="18"/>
                <w:color w:val="auto"/>
              </w:rPr>
              <w:t>Income tax (provision) benefit</w:t>
            </w:r>
          </w:p>
        </w:tc>
        <w:tc>
          <w:tcPr>
            <w:tcW w:w="1600" w:type="dxa"/>
            <w:vAlign w:val="bottom"/>
            <w:shd w:val="clear" w:color="auto" w:fill="FFC080"/>
          </w:tcPr>
          <w:p>
            <w:pPr>
              <w:spacing w:after="0"/>
              <w:rPr>
                <w:sz w:val="19"/>
                <w:szCs w:val="19"/>
                <w:color w:val="auto"/>
              </w:rPr>
            </w:pPr>
          </w:p>
        </w:tc>
        <w:tc>
          <w:tcPr>
            <w:tcW w:w="2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FFC080"/>
          </w:tcPr>
          <w:p>
            <w:pPr>
              <w:spacing w:after="0"/>
              <w:rPr>
                <w:sz w:val="19"/>
                <w:szCs w:val="19"/>
                <w:color w:val="auto"/>
              </w:rPr>
            </w:pPr>
          </w:p>
        </w:tc>
        <w:tc>
          <w:tcPr>
            <w:tcW w:w="60" w:type="dxa"/>
            <w:vAlign w:val="bottom"/>
            <w:shd w:val="clear" w:color="auto" w:fill="FFC080"/>
          </w:tcPr>
          <w:p>
            <w:pPr>
              <w:spacing w:after="0"/>
              <w:rPr>
                <w:sz w:val="19"/>
                <w:szCs w:val="19"/>
                <w:color w:val="auto"/>
              </w:rPr>
            </w:pPr>
          </w:p>
        </w:tc>
        <w:tc>
          <w:tcPr>
            <w:tcW w:w="260" w:type="dxa"/>
            <w:vAlign w:val="bottom"/>
            <w:shd w:val="clear" w:color="auto" w:fill="FFC080"/>
          </w:tcPr>
          <w:p>
            <w:pPr>
              <w:spacing w:after="0"/>
              <w:rPr>
                <w:sz w:val="19"/>
                <w:szCs w:val="19"/>
                <w:color w:val="auto"/>
              </w:rPr>
            </w:pPr>
          </w:p>
        </w:tc>
        <w:tc>
          <w:tcPr>
            <w:tcW w:w="164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7440" w:type="dxa"/>
            <w:vAlign w:val="bottom"/>
            <w:tcBorders>
              <w:top w:val="single" w:sz="8" w:color="FFC080"/>
            </w:tcBorders>
          </w:tcPr>
          <w:p>
            <w:pPr>
              <w:spacing w:after="0"/>
              <w:rPr>
                <w:sz w:val="20"/>
                <w:szCs w:val="20"/>
                <w:color w:val="auto"/>
              </w:rPr>
            </w:pPr>
            <w:r>
              <w:rPr>
                <w:rFonts w:ascii="Arial" w:cs="Arial" w:eastAsia="Arial" w:hAnsi="Arial"/>
                <w:sz w:val="18"/>
                <w:szCs w:val="18"/>
                <w:color w:val="auto"/>
              </w:rPr>
              <w:t>Unrealized holding gains (losses) at end of year</w:t>
            </w:r>
          </w:p>
        </w:tc>
        <w:tc>
          <w:tcPr>
            <w:tcW w:w="1600" w:type="dxa"/>
            <w:vAlign w:val="bottom"/>
            <w:tcBorders>
              <w:top w:val="single" w:sz="8" w:color="auto"/>
              <w:bottom w:val="single" w:sz="8" w:color="auto"/>
            </w:tcBorders>
          </w:tcPr>
          <w:p>
            <w:pPr>
              <w:jc w:val="right"/>
              <w:ind w:right="14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FC080"/>
            </w:tcBorders>
          </w:tcPr>
          <w:p>
            <w:pPr>
              <w:spacing w:after="0"/>
              <w:rPr>
                <w:sz w:val="18"/>
                <w:szCs w:val="18"/>
                <w:color w:val="auto"/>
              </w:rPr>
            </w:pPr>
          </w:p>
        </w:tc>
        <w:tc>
          <w:tcPr>
            <w:tcW w:w="60" w:type="dxa"/>
            <w:vAlign w:val="bottom"/>
            <w:tcBorders>
              <w:top w:val="single" w:sz="8" w:color="FFC080"/>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FFC080"/>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Leases and Deferred Rent</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$885, $387 and $613 for the year ended December 31, 2010, six months ended December 31, 2009 and year ended June 30, 2009, respectively.</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June 2006, the Company entered into a 62-month lease for its corporate headquarters in Salt Lake City, Utah to house its principal administrative, sales, marketing, customer support, and research and development functions. Under the terms of the lease, the Company occupies a 31,279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 The lease was modified in June 2010 to extend the term of the lease until May 2016.</w:t>
      </w:r>
    </w:p>
    <w:p>
      <w:pPr>
        <w:spacing w:after="0" w:line="20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October 13, 2008, the Company entered into a 60-month lease for a new warehouse which houses its inventory, fulfillment center and repair center in Salt Lake City, Utah. Under the terms of the lease, the Company occupies a 23,712 square-foot facility which commenced in December 2008.</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modified the terms of the Company’s California Avenue warehouse lease agreement dated September 20, 2006. Under the modified terms, effective March 31, 2008, the Company would lease approximately 6,000 square feet at $3 per month until expiration in December 2011. This space is being used by the Company for inventory, document and equipment storage.</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two warehouses measuring approximately 3,700 square-feet at $4 per month in Hong Kong to support our partners and customers located in the Asia-Pacific region. The lease terms for these warehouses expire in February 2012.</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 also leases office space in Austin, Texas measuring approximately 9,400 square feet under an operating lease expiring in May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FFC080"/>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20" w:type="dxa"/>
            <w:vAlign w:val="bottom"/>
          </w:tcPr>
          <w:p>
            <w:pPr>
              <w:spacing w:after="0"/>
              <w:rPr>
                <w:sz w:val="18"/>
                <w:szCs w:val="18"/>
                <w:color w:val="auto"/>
              </w:rPr>
            </w:pPr>
          </w:p>
        </w:tc>
        <w:tc>
          <w:tcPr>
            <w:tcW w:w="3060" w:type="dxa"/>
            <w:vAlign w:val="bottom"/>
            <w:tcBorders>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FFC080"/>
          </w:tcPr>
          <w:p>
            <w:pPr>
              <w:spacing w:after="0"/>
              <w:rPr>
                <w:sz w:val="18"/>
                <w:szCs w:val="18"/>
                <w:color w:val="auto"/>
              </w:rPr>
            </w:pP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56"/>
        </w:trPr>
        <w:tc>
          <w:tcPr>
            <w:tcW w:w="20" w:type="dxa"/>
            <w:vAlign w:val="bottom"/>
          </w:tcPr>
          <w:p>
            <w:pPr>
              <w:spacing w:after="0"/>
              <w:rPr>
                <w:sz w:val="22"/>
                <w:szCs w:val="22"/>
                <w:color w:val="auto"/>
              </w:rPr>
            </w:pPr>
          </w:p>
        </w:tc>
        <w:tc>
          <w:tcPr>
            <w:tcW w:w="3060" w:type="dxa"/>
            <w:vAlign w:val="bottom"/>
            <w:tcBorders>
              <w:right w:val="single" w:sz="8" w:color="FFC080"/>
            </w:tcBorders>
            <w:shd w:val="clear" w:color="auto" w:fill="FFC080"/>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FFC080"/>
          </w:tcPr>
          <w:p>
            <w:pPr>
              <w:spacing w:after="0"/>
              <w:rPr>
                <w:sz w:val="22"/>
                <w:szCs w:val="22"/>
                <w:color w:val="auto"/>
              </w:rPr>
            </w:pP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574</w:t>
            </w: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37"/>
        </w:trPr>
        <w:tc>
          <w:tcPr>
            <w:tcW w:w="20" w:type="dxa"/>
            <w:vAlign w:val="bottom"/>
          </w:tcPr>
          <w:p>
            <w:pPr>
              <w:spacing w:after="0"/>
              <w:rPr>
                <w:sz w:val="20"/>
                <w:szCs w:val="20"/>
                <w:color w:val="auto"/>
              </w:rPr>
            </w:pPr>
          </w:p>
        </w:tc>
        <w:tc>
          <w:tcPr>
            <w:tcW w:w="3060" w:type="dxa"/>
            <w:vAlign w:val="bottom"/>
            <w:tcBorders>
              <w:right w:val="single" w:sz="8" w:color="FFC080"/>
            </w:tcBorders>
            <w:shd w:val="clear" w:color="auto" w:fill="FFC080"/>
          </w:tcPr>
          <w:p>
            <w:pPr>
              <w:ind w:left="320"/>
              <w:spacing w:after="0"/>
              <w:rPr>
                <w:sz w:val="20"/>
                <w:szCs w:val="20"/>
                <w:color w:val="auto"/>
              </w:rPr>
            </w:pPr>
            <w:r>
              <w:rPr>
                <w:rFonts w:ascii="Arial" w:cs="Arial" w:eastAsia="Arial" w:hAnsi="Arial"/>
                <w:sz w:val="18"/>
                <w:szCs w:val="18"/>
                <w:color w:val="auto"/>
              </w:rPr>
              <w:t>Total minimum lease payments</w:t>
            </w:r>
          </w:p>
        </w:tc>
        <w:tc>
          <w:tcPr>
            <w:tcW w:w="560" w:type="dxa"/>
            <w:vAlign w:val="bottom"/>
            <w:shd w:val="clear" w:color="auto" w:fill="FFC080"/>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3,317</w:t>
            </w: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FFC080"/>
              <w:right w:val="single" w:sz="8" w:color="FFC080"/>
            </w:tcBorders>
            <w:shd w:val="clear" w:color="auto" w:fill="FFC08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FFC080"/>
            </w:tcBorders>
            <w:shd w:val="clear" w:color="auto" w:fill="000000"/>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Pr>
          <w:p>
            <w:pPr>
              <w:jc w:val="right"/>
              <w:ind w:right="399"/>
              <w:spacing w:after="0"/>
              <w:rPr>
                <w:sz w:val="20"/>
                <w:szCs w:val="20"/>
                <w:color w:val="auto"/>
              </w:rPr>
            </w:pPr>
            <w:r>
              <w:rPr>
                <w:rFonts w:ascii="Arial" w:cs="Arial" w:eastAsia="Arial" w:hAnsi="Arial"/>
                <w:sz w:val="14"/>
                <w:szCs w:val="14"/>
                <w:b w:val="1"/>
                <w:bCs w:val="1"/>
                <w:color w:val="auto"/>
              </w:rPr>
              <w:t>As of</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As of</w:t>
            </w:r>
          </w:p>
        </w:tc>
      </w:tr>
      <w:tr>
        <w:trPr>
          <w:trHeight w:val="178"/>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2010</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December 31, 2009</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FC080"/>
          </w:tcPr>
          <w:p>
            <w:pPr>
              <w:spacing w:after="0"/>
              <w:rPr>
                <w:sz w:val="20"/>
                <w:szCs w:val="20"/>
                <w:color w:val="auto"/>
              </w:rPr>
            </w:pPr>
            <w:r>
              <w:rPr>
                <w:rFonts w:ascii="Arial" w:cs="Arial" w:eastAsia="Arial" w:hAnsi="Arial"/>
                <w:sz w:val="18"/>
                <w:szCs w:val="18"/>
                <w:color w:val="auto"/>
              </w:rPr>
              <w:t>Accrued salaries and other compensation</w:t>
            </w:r>
          </w:p>
        </w:tc>
        <w:tc>
          <w:tcPr>
            <w:tcW w:w="1740" w:type="dxa"/>
            <w:vAlign w:val="bottom"/>
            <w:shd w:val="clear" w:color="auto" w:fill="FFC080"/>
          </w:tcPr>
          <w:p>
            <w:pPr>
              <w:jc w:val="right"/>
              <w:ind w:right="15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989</w:t>
            </w:r>
          </w:p>
        </w:tc>
        <w:tc>
          <w:tcPr>
            <w:tcW w:w="200" w:type="dxa"/>
            <w:vAlign w:val="bottom"/>
            <w:shd w:val="clear" w:color="auto" w:fill="FFC080"/>
          </w:tcPr>
          <w:p>
            <w:pPr>
              <w:spacing w:after="0"/>
              <w:rPr>
                <w:sz w:val="18"/>
                <w:szCs w:val="18"/>
                <w:color w:val="auto"/>
              </w:rPr>
            </w:pPr>
          </w:p>
        </w:tc>
        <w:tc>
          <w:tcPr>
            <w:tcW w:w="300" w:type="dxa"/>
            <w:vAlign w:val="bottom"/>
            <w:shd w:val="clear" w:color="auto" w:fill="FFC080"/>
          </w:tcPr>
          <w:p>
            <w:pPr>
              <w:jc w:val="right"/>
              <w:ind w:right="145"/>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672</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Accrued taxes</w:t>
            </w: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accrued liabilities</w:t>
            </w:r>
          </w:p>
        </w:tc>
        <w:tc>
          <w:tcPr>
            <w:tcW w:w="1740" w:type="dxa"/>
            <w:vAlign w:val="bottom"/>
            <w:tcBorders>
              <w:bottom w:val="single" w:sz="8" w:color="auto"/>
            </w:tcBorders>
            <w:shd w:val="clear" w:color="auto" w:fill="FFC080"/>
          </w:tcPr>
          <w:p>
            <w:pPr>
              <w:spacing w:after="0"/>
              <w:rPr>
                <w:sz w:val="19"/>
                <w:szCs w:val="19"/>
                <w:color w:val="auto"/>
              </w:rPr>
            </w:pPr>
          </w:p>
        </w:tc>
        <w:tc>
          <w:tcPr>
            <w:tcW w:w="46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w w:val="97"/>
              </w:rPr>
              <w:t>3,535</w:t>
            </w:r>
          </w:p>
        </w:tc>
        <w:tc>
          <w:tcPr>
            <w:tcW w:w="200" w:type="dxa"/>
            <w:vAlign w:val="bottom"/>
            <w:tcBorders>
              <w:bottom w:val="single" w:sz="8" w:color="FFC080"/>
            </w:tcBorders>
            <w:shd w:val="clear" w:color="auto" w:fill="FFC080"/>
          </w:tcPr>
          <w:p>
            <w:pPr>
              <w:spacing w:after="0"/>
              <w:rPr>
                <w:sz w:val="19"/>
                <w:szCs w:val="19"/>
                <w:color w:val="auto"/>
              </w:rPr>
            </w:pPr>
          </w:p>
        </w:tc>
        <w:tc>
          <w:tcPr>
            <w:tcW w:w="300" w:type="dxa"/>
            <w:vAlign w:val="bottom"/>
            <w:tcBorders>
              <w:bottom w:val="single" w:sz="8" w:color="auto"/>
            </w:tcBorders>
            <w:shd w:val="clear" w:color="auto" w:fill="FFC080"/>
          </w:tcPr>
          <w:p>
            <w:pPr>
              <w:spacing w:after="0"/>
              <w:rPr>
                <w:sz w:val="19"/>
                <w:szCs w:val="19"/>
                <w:color w:val="auto"/>
              </w:rPr>
            </w:pPr>
          </w:p>
        </w:tc>
        <w:tc>
          <w:tcPr>
            <w:tcW w:w="190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FFC080"/>
            </w:tcBorders>
            <w:shd w:val="clear" w:color="auto" w:fill="FFC080"/>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ind w:right="15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4,573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Included in other accrued liabilities as of December 31, 2010, is $2,224 which represents the probable amount that as of the date of the financial statements could be reasonably estimated of the Company’s liability for legal fees, associated with an indemnification agreement with a former ClearOne Officer. Please see </w:t>
      </w:r>
      <w:hyperlink w:anchor="page50">
        <w:r>
          <w:rPr>
            <w:rFonts w:ascii="Arial" w:cs="Arial" w:eastAsia="Arial" w:hAnsi="Arial"/>
            <w:sz w:val="18"/>
            <w:szCs w:val="18"/>
            <w:u w:val="single" w:color="auto"/>
            <w:color w:val="0000EE"/>
          </w:rPr>
          <w:t>Note 9 – Commitments and Contingencies</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0000EE"/>
          </w:rPr>
          <w:t>– Former Officer Indemnification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establish contingent liabilities when a particular contingency is both probable and estimable. For the contingencies noted below we have accrued amounts considered probable and estimable. The Company is not aware of pending claims or assessments, other than as described below, which may have a material adverse impact on the Company’s financial position or results of operations.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("EMS") providers related to the outsourced manufacturing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exposure associated with these commitments is approximately $4.3 million as of December 31, 2010. One of the EMS providers with whom we have terminated our relationship is claiming that we have an obligation to buy inventory pursuant to cancelled purchase orders. We believe that we are not legally obligated to take delivery of this inventory and we also have counterclaims against the EMS provider.</w:t>
      </w:r>
    </w:p>
    <w:p>
      <w:pPr>
        <w:spacing w:after="0" w:line="189" w:lineRule="exact"/>
        <w:rPr>
          <w:sz w:val="20"/>
          <w:szCs w:val="20"/>
          <w:color w:val="auto"/>
        </w:rPr>
      </w:pPr>
    </w:p>
    <w:p>
      <w:pPr>
        <w:ind w:right="860"/>
        <w:spacing w:after="0" w:line="291"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our business. Such matters are subject to many uncertainties and outcomes that are not</w:t>
      </w:r>
    </w:p>
    <w:p>
      <w:pPr>
        <w:ind w:right="120"/>
        <w:spacing w:after="0" w:line="261" w:lineRule="auto"/>
        <w:rPr>
          <w:sz w:val="20"/>
          <w:szCs w:val="20"/>
          <w:color w:val="auto"/>
        </w:rPr>
      </w:pPr>
      <w:r>
        <w:rPr>
          <w:rFonts w:ascii="Arial" w:cs="Arial" w:eastAsia="Arial" w:hAnsi="Arial"/>
          <w:sz w:val="18"/>
          <w:szCs w:val="18"/>
          <w:color w:val="auto"/>
        </w:rPr>
        <w:t>predictable. However, based on the information available to us, we do not believe any such proceedings will have a material, adverse effect on our business, results of operations, financial position, or liquidity, except as described below.</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Former Officer Indemnification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25, 2007 and January 31, 2008, the U.S. Attorney for the District of Utah indicted two of our former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$3,383 in attorneys’ fees and costs to defend against the charges.</w:t>
      </w:r>
    </w:p>
    <w:p>
      <w:pPr>
        <w:spacing w:after="0" w:line="21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June 2, 2010, Flood was sentenced to 4 years in prison plus 3 years of probation and Strohm was sentenced to 2 years probation plus 150 hours of community service. Flood began serving her prison sentence on November 3, 2010. Both Flood and Strohm have appealed their convictions to the Tenth Circuit in Denver and oral arguments on their respective appeals took place on March 11,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Flood</w:t>
      </w:r>
      <w:r>
        <w:rPr>
          <w:rFonts w:ascii="Arial" w:cs="Arial" w:eastAsia="Arial" w:hAnsi="Arial"/>
          <w:sz w:val="16"/>
          <w:szCs w:val="16"/>
          <w:color w:val="auto"/>
        </w:rPr>
        <w:t>: On August 21, 2008, Flood filed a lawsuit in Federal District Court for the District of Utah, seeking to compel us to pay her attorneys’ fees and costs</w:t>
      </w:r>
      <w:r>
        <w:rPr>
          <w:rFonts w:ascii="Arial" w:cs="Arial" w:eastAsia="Arial" w:hAnsi="Arial"/>
          <w:sz w:val="16"/>
          <w:szCs w:val="16"/>
          <w:b w:val="1"/>
          <w:bCs w:val="1"/>
          <w:color w:val="auto"/>
        </w:rPr>
        <w:t xml:space="preserve"> </w:t>
      </w:r>
      <w:r>
        <w:rPr>
          <w:rFonts w:ascii="Arial" w:cs="Arial" w:eastAsia="Arial" w:hAnsi="Arial"/>
          <w:sz w:val="16"/>
          <w:szCs w:val="16"/>
          <w:color w:val="auto"/>
        </w:rPr>
        <w:t>to defend against the criminal charges. On January 12, 2009, the District Court issued a preliminary injunction requiring us to pay Flood’s criminal legal fees and costs through trial. Pursuant to the Court’s order, we paid approximately $373 to Flood’s attorneys and approximately $248 into the Court’s escrow.</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30, 2010, the Tenth Circuit Court of Appeals issued a ruling vacating the District Court’s preliminary injunction on the grounds that ClearOne’s promise to advance criminal defense expenses was conditioned upon compliance with ClearOne’s bylaws and ClearOne had the power to cease advancement based on certain conditions, as long as ClearOne acted in good faith. After the case was remanded to the District Court, we filed a motion seeking the return to ClearOne of all the monies paid pursuant to the Order, and the motion is scheduled to be heard on May 18, 2011.</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Also pending in the District Court is our counterclaim for $3,300 seeking to enforce Flood’s August 2003 promise to repay all advanced expenses if it was ultimately adjudged that she did not meet the requisite standard of conduct.</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Strohm</w:t>
      </w:r>
      <w:r>
        <w:rPr>
          <w:rFonts w:ascii="Arial" w:cs="Arial" w:eastAsia="Arial" w:hAnsi="Arial"/>
          <w:sz w:val="18"/>
          <w:szCs w:val="18"/>
          <w:color w:val="auto"/>
        </w:rPr>
        <w:t>: On August 21, 2008, Strohm and her counsel (“Dorsey”) filed a lawsuit in the Third Judicial District Court in Salt Lake City, Utah seeking to</w:t>
      </w:r>
      <w:r>
        <w:rPr>
          <w:rFonts w:ascii="Arial" w:cs="Arial" w:eastAsia="Arial" w:hAnsi="Arial"/>
          <w:sz w:val="18"/>
          <w:szCs w:val="18"/>
          <w:b w:val="1"/>
          <w:bCs w:val="1"/>
          <w:color w:val="auto"/>
        </w:rPr>
        <w:t xml:space="preserve"> </w:t>
      </w:r>
      <w:r>
        <w:rPr>
          <w:rFonts w:ascii="Arial" w:cs="Arial" w:eastAsia="Arial" w:hAnsi="Arial"/>
          <w:sz w:val="18"/>
          <w:szCs w:val="18"/>
          <w:color w:val="auto"/>
        </w:rPr>
        <w:t>compel us to pay Strohm’s attorneys’ fees and costs to defend against the criminal charges, plus interest.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26, 2009, the Court granted Strohm’s motion for mandatory indemnification, ruling that we were required to indemnify Strohm for her reasonable attorneys’ fees and expenses to the extent that she was successful on the merits at trial. On March 2, 2010, the Court ruled that the Dorsey engagement letter provided an alternative basis requiring the Company to pay Strohm’s reasonable attorneys’ fees and costs incurred in connection with the federal criminal proceedings.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January 24, 2011, the Court ruled that Dorsey is entitled to keep all of the attorneys’ fees and costs that it already received for criminal defense services rendered through March 31, 2008, with no retrospective adjustment or reimbursement. For criminal defense services rendered and costs incurred from April 1, 2008 through the federal jury verdict in the criminal case on February 27, 2009, the Court ruled that the Company is required to pay Dorsey for all hours billed, except for certain travel hours billed, and at rates that are at or below the rates set forth in Dorsey’s bills. We paid $935 under protest to Dorsey for Strohm’s criminal defense fees on February 1, 2011, with an additional $20-$50 at issue.</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addition, the Court ruled that the Company is required to pay interest on the criminal defense fees and costs which, at present, is estimated to be approximately $350. The Court further ruled that if Strohm prevails on her criminal appeal and potential retrial of the criminal case, the Company would be obligated to pay additional reasonable attorneys’ fees and costs incurred after the February 27, 2009 jury verdict. The Court also ruled that the Company is required to pay Dorsey’s reasonable attorneys’ fees and costs incurred in bringing the civil lawsuit against the Company, subject to certain deductions. At present, the Company estimates that the amounts due to Dorsey for such fees and costs are approximately $865.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considering its options for appeal.</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Theft of Intellectual Property and Related Cases. </w:t>
      </w:r>
      <w:r>
        <w:rPr>
          <w:rFonts w:ascii="Arial" w:cs="Arial" w:eastAsia="Arial" w:hAnsi="Arial"/>
          <w:sz w:val="18"/>
          <w:szCs w:val="18"/>
          <w:color w:val="auto"/>
        </w:rPr>
        <w:t>In January 2007, we filed a lawsuit in the Third Judicial District Court, Salt Lake County, State of Utah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WideBand Solutions, Inc. (“WideBand”) and two of its principals, one former employee named Dr. Jun Yang, and Andrew Chiang, who was previously affiliated with an entity which sold certain assets to us (the “Trade Secret Case”). We also brought claims against Biamp Systems Corporation, Inc. (“Biamp”). The matter was subsequently removed to federal court, the United States District Court, District of Utah, Central Division. The case is styled </w:t>
      </w:r>
      <w:r>
        <w:rPr>
          <w:rFonts w:ascii="Arial" w:cs="Arial" w:eastAsia="Arial" w:hAnsi="Arial"/>
          <w:sz w:val="18"/>
          <w:szCs w:val="18"/>
          <w:i w:val="1"/>
          <w:iCs w:val="1"/>
          <w:color w:val="auto"/>
        </w:rPr>
        <w:t xml:space="preserve">ClearOne Communications, Inc. v. Jun Yang, et. al. </w:t>
      </w:r>
      <w:r>
        <w:rPr>
          <w:rFonts w:ascii="Arial" w:cs="Arial" w:eastAsia="Arial" w:hAnsi="Arial"/>
          <w:sz w:val="18"/>
          <w:szCs w:val="18"/>
          <w:color w:val="auto"/>
        </w:rPr>
        <w:t>Civil No. 2:07-co-37 TC.</w:t>
      </w:r>
    </w:p>
    <w:p>
      <w:pPr>
        <w:spacing w:after="0" w:line="215" w:lineRule="exact"/>
        <w:rPr>
          <w:sz w:val="20"/>
          <w:szCs w:val="20"/>
          <w:color w:val="auto"/>
        </w:rPr>
      </w:pPr>
    </w:p>
    <w:p>
      <w:pPr>
        <w:jc w:val="both"/>
        <w:ind w:right="980"/>
        <w:spacing w:after="0" w:line="264" w:lineRule="auto"/>
        <w:rPr>
          <w:sz w:val="20"/>
          <w:szCs w:val="20"/>
          <w:color w:val="auto"/>
        </w:rPr>
      </w:pPr>
      <w:r>
        <w:rPr>
          <w:rFonts w:ascii="Arial" w:cs="Arial" w:eastAsia="Arial" w:hAnsi="Arial"/>
          <w:sz w:val="18"/>
          <w:szCs w:val="18"/>
          <w:color w:val="auto"/>
        </w:rPr>
        <w:t>On November 5, 2008, the jury returned a unanimous verdict in favor of us and against all of the Defendants, awarding approximately $3,500 in compensatory damages and $7,000 in punitive damages. Among other things, the jury found that all of the Defendants willfully and maliciously misappropriated our trade secrets.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8, 2009 the court issued a permanent injunction order against all of the defendants. Specifically, the WideBand defendants were prohibited from any further use of our trade secrets, barred from using any of the trade names associated with products that had been found to have used our trade secrets, and were ordered to provide a copy of the permanent injunction to future employers, potential licensors and anyone interested in acquiring WideBand’s assets. Biamp was ordered to destroy and not to use any of the object code that it had previously licensed from WideBand. On April 20, 2009 the court affirmed the jury’s finding that all of the Defendants had acted willfully and maliciously in misappropriating our trade secrets, denied our request for prejudgment interest, and denied Defendants’ post-trial requests to set aside the verdict. The court increased the award against Biamp from about $1,600 to about $3,600. On April 21, 2009, the court entered a final Judgment in our favor in the amount of approximately $9,700. The WideBand Defendants and Biamp have appealed the Court’s judgment and certain other pre- and post-trial rulings.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July 2009, the Court issued an award of costs in favor of ClearOne and against all defendants, in the amount of $75.</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Biamp has posted a cash bond to secure the judgment against it in the amount of approximately $3,700. This amount does not secure the additional amounts awarded in ClearOne’s favor and against Biamp, for attorney fees and costs, in the approximate amount of $1,110.</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various dates, the court has issued orders finding Defendants Lonny Bowers and Jun Yang in contempt, along with Lonny Bowers’ father Donald Bowers, and certain entities associated with these defendants. Some of the contempt related orders are dated September 3, 2009, November 19, 2009, January 8, 2010, August 13, 2010, and October 14, 2010. The court has issued bench warrants for Lonny Bowers, Jun Yang, and Donald Bowers.</w:t>
      </w:r>
    </w:p>
    <w:p>
      <w:pPr>
        <w:spacing w:after="0" w:line="193"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On March 25, 2010, the District Court in the Trade Secret Case affirmed an earlier order issued by the Magistrate Judge on January 29, 2010, awarding us attorney fees and costs, in the amounts of $984 jointly and severally against Biamp, Andrew Chiang, Jun Yang, Lonny Bowers, WideBand Solutions, Inc., and Versatile DSP; in the additional amount of $118 against Biamp only; and in the additional amount of $908 against the WideBand Defendants only.</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Numerous appeals were filed by all of the parties. Briefing of the appeals is in progress, and the Tenth Circuit Court of Appeals has scheduled oral argument on the appeals for May 10, 2011.</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While we intend to vigorously pursue collection of the damage awards, there can be no assurance that we will ultimately collect on all or a portion of the award. Furthermore, the jury’s verdict and damage awards are subject to appeal by one or more of the defendants.</w:t>
      </w:r>
    </w:p>
    <w:p>
      <w:pPr>
        <w:spacing w:after="0" w:line="19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The Lonny Bowers Connecticut Actions: </w:t>
      </w:r>
      <w:r>
        <w:rPr>
          <w:rFonts w:ascii="Arial" w:cs="Arial" w:eastAsia="Arial" w:hAnsi="Arial"/>
          <w:sz w:val="18"/>
          <w:szCs w:val="18"/>
          <w:color w:val="auto"/>
        </w:rPr>
        <w:t>Lonny Bowers, one of the WideBand Defendants, filed a series of pro se lawsuits against ClearOne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others. All three pro se lawsuits have now been dismissed by the Connecticut courts.</w:t>
      </w:r>
    </w:p>
    <w:p>
      <w:pPr>
        <w:spacing w:after="0" w:line="16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The DialHD Georgia Action </w:t>
      </w:r>
      <w:r>
        <w:rPr>
          <w:rFonts w:ascii="Arial" w:cs="Arial" w:eastAsia="Arial" w:hAnsi="Arial"/>
          <w:sz w:val="18"/>
          <w:szCs w:val="18"/>
          <w:color w:val="auto"/>
        </w:rPr>
        <w:t>: During July 2009, DialHD and Donald Bowers filed a lawsuit against us in the Superior Court of Columbia County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Georgia. DialHD is apparently owned in whole or in part by Donald Bowers, who is the father of WideBand defendant Lonny Bowers. On September 7, 2010, the Court dismissed most of the claims against ClearOne. Since that date, ClearOne has filed a motion to have the remaining claims dismissed, which motion is pending. We believe the asserted and pending claims in this matter are meritless and estimate that any potential loss from these claims is remote.</w:t>
      </w:r>
    </w:p>
    <w:p>
      <w:pPr>
        <w:spacing w:after="0" w:line="184"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Conclusion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These litigations are subject to all of the risks and uncertainties of litigation and there can be no assurance as to the probable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 Program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11, 2008, we announced that our Board of Directors authorized the repurchase of up to 2,000,000 of our shares in a modified Dutch auction tender offer at a price per share of no less then $4.00 and no greater than $5.00 per share. Under the tender offer, which expired on September 16, 2008, we repurchased 1,342,620 shares, or approximately 13% of shares outstanding, for approximately $6,770 at a price per share of $5.00 during the year ended June 30, 2009. All repurchased shares were immediately retired.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2010, the Company had two share-based compensation plans, one which was replaced on November 20, 2007, and one which became active on the same date. The plans are described below.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December 31, 2010 had contractual lives of ten years. Under the 1998 Plan, 2,500,000 shares were authorized for grant. As of December 31, 2010, there were 835,076 options outstanding under the 1998 Plan, which includes the cliff vesting and 3 or 4-year vesting options discussed above. As of December 31, 2010 there were 383,750 options outstanding under the 2007 Plan.</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the guidelines of ASC Topic 718.</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78"/>
        </w:trPr>
        <w:tc>
          <w:tcPr>
            <w:tcW w:w="39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2010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2009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2009</w:t>
            </w:r>
          </w:p>
        </w:tc>
      </w:tr>
      <w:tr>
        <w:trPr>
          <w:trHeight w:val="216"/>
        </w:trPr>
        <w:tc>
          <w:tcPr>
            <w:tcW w:w="3960" w:type="dxa"/>
            <w:vAlign w:val="bottom"/>
            <w:shd w:val="clear" w:color="auto" w:fill="FFC080"/>
          </w:tcPr>
          <w:p>
            <w:pPr>
              <w:spacing w:after="0"/>
              <w:rPr>
                <w:sz w:val="20"/>
                <w:szCs w:val="20"/>
                <w:color w:val="auto"/>
              </w:rPr>
            </w:pPr>
            <w:r>
              <w:rPr>
                <w:rFonts w:ascii="Arial" w:cs="Arial" w:eastAsia="Arial" w:hAnsi="Arial"/>
                <w:sz w:val="16"/>
                <w:szCs w:val="16"/>
                <w:color w:val="auto"/>
              </w:rPr>
              <w:t>Risk-free interest rate, average</w:t>
            </w:r>
          </w:p>
        </w:tc>
        <w:tc>
          <w:tcPr>
            <w:tcW w:w="164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2"/>
              </w:rPr>
              <w:t>2.3%</w:t>
            </w:r>
          </w:p>
        </w:tc>
        <w:tc>
          <w:tcPr>
            <w:tcW w:w="16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2"/>
              </w:rPr>
              <w:t>2.2%</w:t>
            </w:r>
          </w:p>
        </w:tc>
        <w:tc>
          <w:tcPr>
            <w:tcW w:w="1360" w:type="dxa"/>
            <w:vAlign w:val="bottom"/>
            <w:shd w:val="clear" w:color="auto" w:fill="FFC080"/>
          </w:tcPr>
          <w:p>
            <w:pPr>
              <w:jc w:val="center"/>
              <w:ind w:right="15"/>
              <w:spacing w:after="0"/>
              <w:rPr>
                <w:sz w:val="20"/>
                <w:szCs w:val="20"/>
                <w:color w:val="auto"/>
              </w:rPr>
            </w:pPr>
            <w:r>
              <w:rPr>
                <w:rFonts w:ascii="Arial" w:cs="Arial" w:eastAsia="Arial" w:hAnsi="Arial"/>
                <w:sz w:val="18"/>
                <w:szCs w:val="18"/>
                <w:color w:val="auto"/>
                <w:w w:val="92"/>
              </w:rPr>
              <w:t>2.4%</w:t>
            </w:r>
          </w:p>
        </w:tc>
      </w:tr>
      <w:tr>
        <w:trPr>
          <w:trHeight w:val="216"/>
        </w:trPr>
        <w:tc>
          <w:tcPr>
            <w:tcW w:w="3960" w:type="dxa"/>
            <w:vAlign w:val="bottom"/>
          </w:tcPr>
          <w:p>
            <w:pPr>
              <w:ind w:left="340"/>
              <w:spacing w:after="0"/>
              <w:rPr>
                <w:sz w:val="20"/>
                <w:szCs w:val="20"/>
                <w:color w:val="auto"/>
              </w:rPr>
            </w:pPr>
            <w:r>
              <w:rPr>
                <w:rFonts w:ascii="Arial" w:cs="Arial" w:eastAsia="Arial" w:hAnsi="Arial"/>
                <w:sz w:val="16"/>
                <w:szCs w:val="16"/>
                <w:color w:val="auto"/>
              </w:rPr>
              <w:t>Expected option life, 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4.8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3.9 years</w:t>
            </w:r>
          </w:p>
        </w:tc>
        <w:tc>
          <w:tcPr>
            <w:tcW w:w="1360" w:type="dxa"/>
            <w:vAlign w:val="bottom"/>
          </w:tcPr>
          <w:p>
            <w:pPr>
              <w:jc w:val="center"/>
              <w:ind w:right="15"/>
              <w:spacing w:after="0"/>
              <w:rPr>
                <w:sz w:val="20"/>
                <w:szCs w:val="20"/>
                <w:color w:val="auto"/>
              </w:rPr>
            </w:pPr>
            <w:r>
              <w:rPr>
                <w:rFonts w:ascii="Arial" w:cs="Arial" w:eastAsia="Arial" w:hAnsi="Arial"/>
                <w:sz w:val="18"/>
                <w:szCs w:val="18"/>
                <w:color w:val="auto"/>
                <w:w w:val="89"/>
              </w:rPr>
              <w:t>3.9 years</w:t>
            </w:r>
          </w:p>
        </w:tc>
      </w:tr>
      <w:tr>
        <w:trPr>
          <w:trHeight w:val="216"/>
        </w:trPr>
        <w:tc>
          <w:tcPr>
            <w:tcW w:w="3960" w:type="dxa"/>
            <w:vAlign w:val="bottom"/>
            <w:shd w:val="clear" w:color="auto" w:fill="FFC080"/>
          </w:tcPr>
          <w:p>
            <w:pPr>
              <w:ind w:left="340"/>
              <w:spacing w:after="0"/>
              <w:rPr>
                <w:sz w:val="20"/>
                <w:szCs w:val="20"/>
                <w:color w:val="auto"/>
              </w:rPr>
            </w:pPr>
            <w:r>
              <w:rPr>
                <w:rFonts w:ascii="Arial" w:cs="Arial" w:eastAsia="Arial" w:hAnsi="Arial"/>
                <w:sz w:val="16"/>
                <w:szCs w:val="16"/>
                <w:color w:val="auto"/>
              </w:rPr>
              <w:t>Expected price volatility, average</w:t>
            </w:r>
          </w:p>
        </w:tc>
        <w:tc>
          <w:tcPr>
            <w:tcW w:w="164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0"/>
              </w:rPr>
              <w:t>51.5%</w:t>
            </w:r>
          </w:p>
        </w:tc>
        <w:tc>
          <w:tcPr>
            <w:tcW w:w="16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0"/>
              </w:rPr>
              <w:t>51.6%</w:t>
            </w:r>
          </w:p>
        </w:tc>
        <w:tc>
          <w:tcPr>
            <w:tcW w:w="1360" w:type="dxa"/>
            <w:vAlign w:val="bottom"/>
            <w:shd w:val="clear" w:color="auto" w:fill="FFC080"/>
          </w:tcPr>
          <w:p>
            <w:pPr>
              <w:jc w:val="center"/>
              <w:ind w:right="15"/>
              <w:spacing w:after="0"/>
              <w:rPr>
                <w:sz w:val="20"/>
                <w:szCs w:val="20"/>
                <w:color w:val="auto"/>
              </w:rPr>
            </w:pPr>
            <w:r>
              <w:rPr>
                <w:rFonts w:ascii="Arial" w:cs="Arial" w:eastAsia="Arial" w:hAnsi="Arial"/>
                <w:sz w:val="18"/>
                <w:szCs w:val="18"/>
                <w:color w:val="auto"/>
                <w:w w:val="90"/>
              </w:rPr>
              <w:t>54.1%</w:t>
            </w:r>
          </w:p>
        </w:tc>
      </w:tr>
      <w:tr>
        <w:trPr>
          <w:trHeight w:val="216"/>
        </w:trPr>
        <w:tc>
          <w:tcPr>
            <w:tcW w:w="3960" w:type="dxa"/>
            <w:vAlign w:val="bottom"/>
          </w:tcPr>
          <w:p>
            <w:pPr>
              <w:ind w:left="340"/>
              <w:spacing w:after="0"/>
              <w:rPr>
                <w:sz w:val="20"/>
                <w:szCs w:val="20"/>
                <w:color w:val="auto"/>
              </w:rPr>
            </w:pPr>
            <w:r>
              <w:rPr>
                <w:rFonts w:ascii="Arial" w:cs="Arial" w:eastAsia="Arial" w:hAnsi="Arial"/>
                <w:sz w:val="16"/>
                <w:szCs w:val="16"/>
                <w:color w:val="auto"/>
              </w:rPr>
              <w:t>Expected dividend yield</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360" w:type="dxa"/>
            <w:vAlign w:val="bottom"/>
          </w:tcPr>
          <w:p>
            <w:pPr>
              <w:jc w:val="center"/>
              <w:ind w:right="15"/>
              <w:spacing w:after="0"/>
              <w:rPr>
                <w:sz w:val="20"/>
                <w:szCs w:val="20"/>
                <w:color w:val="auto"/>
              </w:rPr>
            </w:pPr>
            <w:r>
              <w:rPr>
                <w:rFonts w:ascii="Arial" w:cs="Arial" w:eastAsia="Arial" w:hAnsi="Arial"/>
                <w:sz w:val="18"/>
                <w:szCs w:val="18"/>
                <w:color w:val="auto"/>
                <w:w w:val="92"/>
              </w:rPr>
              <w:t>0.0%</w:t>
            </w:r>
          </w:p>
        </w:tc>
      </w:tr>
      <w:tr>
        <w:trPr>
          <w:trHeight w:val="216"/>
        </w:trPr>
        <w:tc>
          <w:tcPr>
            <w:tcW w:w="3960" w:type="dxa"/>
            <w:vAlign w:val="bottom"/>
            <w:shd w:val="clear" w:color="auto" w:fill="FFC080"/>
          </w:tcPr>
          <w:p>
            <w:pPr>
              <w:spacing w:after="0"/>
              <w:rPr>
                <w:sz w:val="20"/>
                <w:szCs w:val="20"/>
                <w:color w:val="auto"/>
              </w:rPr>
            </w:pPr>
            <w:r>
              <w:rPr>
                <w:rFonts w:ascii="Arial" w:cs="Arial" w:eastAsia="Arial" w:hAnsi="Arial"/>
                <w:sz w:val="16"/>
                <w:szCs w:val="16"/>
                <w:color w:val="auto"/>
              </w:rPr>
              <w:t>Expected annual forfeiture rate</w:t>
            </w:r>
          </w:p>
        </w:tc>
        <w:tc>
          <w:tcPr>
            <w:tcW w:w="164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0"/>
              </w:rPr>
              <w:t>10.0%</w:t>
            </w:r>
          </w:p>
        </w:tc>
        <w:tc>
          <w:tcPr>
            <w:tcW w:w="16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90"/>
              </w:rPr>
              <w:t>10.0%</w:t>
            </w:r>
          </w:p>
        </w:tc>
        <w:tc>
          <w:tcPr>
            <w:tcW w:w="1360" w:type="dxa"/>
            <w:vAlign w:val="bottom"/>
            <w:shd w:val="clear" w:color="auto" w:fill="FFC080"/>
          </w:tcPr>
          <w:p>
            <w:pPr>
              <w:jc w:val="center"/>
              <w:ind w:right="15"/>
              <w:spacing w:after="0"/>
              <w:rPr>
                <w:sz w:val="20"/>
                <w:szCs w:val="20"/>
                <w:color w:val="auto"/>
              </w:rPr>
            </w:pPr>
            <w:r>
              <w:rPr>
                <w:rFonts w:ascii="Arial" w:cs="Arial" w:eastAsia="Arial" w:hAnsi="Arial"/>
                <w:sz w:val="18"/>
                <w:szCs w:val="18"/>
                <w:color w:val="auto"/>
                <w:w w:val="90"/>
              </w:rPr>
              <w:t>10.0%</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 The Company does not currently intend to distribute any dividend payments to shareholders. 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4"/>
                <w:szCs w:val="14"/>
                <w:color w:val="auto"/>
              </w:rPr>
            </w:pPr>
          </w:p>
        </w:tc>
        <w:tc>
          <w:tcPr>
            <w:tcW w:w="1480" w:type="dxa"/>
            <w:vAlign w:val="bottom"/>
          </w:tcPr>
          <w:p>
            <w:pPr>
              <w:jc w:val="right"/>
              <w:ind w:right="220"/>
              <w:spacing w:after="0"/>
              <w:rPr>
                <w:sz w:val="20"/>
                <w:szCs w:val="20"/>
                <w:color w:val="auto"/>
              </w:rPr>
            </w:pPr>
            <w:r>
              <w:rPr>
                <w:rFonts w:ascii="Arial" w:cs="Arial" w:eastAsia="Arial" w:hAnsi="Arial"/>
                <w:sz w:val="14"/>
                <w:szCs w:val="14"/>
                <w:b w:val="1"/>
                <w:bCs w:val="1"/>
                <w:color w:val="auto"/>
                <w:w w:val="94"/>
              </w:rPr>
              <w:t>Weighted Average</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340"/>
              <w:spacing w:after="0"/>
              <w:rPr>
                <w:sz w:val="20"/>
                <w:szCs w:val="20"/>
                <w:color w:val="auto"/>
              </w:rPr>
            </w:pPr>
            <w:r>
              <w:rPr>
                <w:rFonts w:ascii="Arial" w:cs="Arial" w:eastAsia="Arial" w:hAnsi="Arial"/>
                <w:sz w:val="14"/>
                <w:szCs w:val="14"/>
                <w:b w:val="1"/>
                <w:bCs w:val="1"/>
                <w:color w:val="auto"/>
              </w:rPr>
              <w:t>Exercise Price</w:t>
            </w: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60" w:type="dxa"/>
            <w:vAlign w:val="bottom"/>
            <w:shd w:val="clear" w:color="auto" w:fill="FFC080"/>
          </w:tcPr>
          <w:p>
            <w:pPr>
              <w:spacing w:after="0"/>
              <w:rPr>
                <w:sz w:val="12"/>
                <w:szCs w:val="12"/>
                <w:color w:val="auto"/>
              </w:rPr>
            </w:pPr>
          </w:p>
        </w:tc>
        <w:tc>
          <w:tcPr>
            <w:tcW w:w="1540" w:type="dxa"/>
            <w:vAlign w:val="bottom"/>
            <w:tcBorders>
              <w:top w:val="single" w:sz="8" w:color="auto"/>
            </w:tcBorders>
            <w:shd w:val="clear" w:color="auto" w:fill="FFC080"/>
          </w:tcPr>
          <w:p>
            <w:pPr>
              <w:spacing w:after="0"/>
              <w:rPr>
                <w:sz w:val="12"/>
                <w:szCs w:val="12"/>
                <w:color w:val="auto"/>
              </w:rPr>
            </w:pPr>
          </w:p>
        </w:tc>
        <w:tc>
          <w:tcPr>
            <w:tcW w:w="80" w:type="dxa"/>
            <w:vAlign w:val="bottom"/>
            <w:shd w:val="clear" w:color="auto" w:fill="FFC080"/>
          </w:tcPr>
          <w:p>
            <w:pPr>
              <w:spacing w:after="0"/>
              <w:rPr>
                <w:sz w:val="12"/>
                <w:szCs w:val="12"/>
                <w:color w:val="auto"/>
              </w:rPr>
            </w:pPr>
          </w:p>
        </w:tc>
        <w:tc>
          <w:tcPr>
            <w:tcW w:w="60" w:type="dxa"/>
            <w:vAlign w:val="bottom"/>
            <w:shd w:val="clear" w:color="auto" w:fill="FFC080"/>
          </w:tcPr>
          <w:p>
            <w:pPr>
              <w:spacing w:after="0"/>
              <w:rPr>
                <w:sz w:val="12"/>
                <w:szCs w:val="12"/>
                <w:color w:val="auto"/>
              </w:rPr>
            </w:pPr>
          </w:p>
        </w:tc>
        <w:tc>
          <w:tcPr>
            <w:tcW w:w="180" w:type="dxa"/>
            <w:vAlign w:val="bottom"/>
            <w:tcBorders>
              <w:top w:val="single" w:sz="8" w:color="auto"/>
            </w:tcBorders>
            <w:shd w:val="clear" w:color="auto" w:fill="FFC080"/>
          </w:tcPr>
          <w:p>
            <w:pPr>
              <w:spacing w:after="0"/>
              <w:rPr>
                <w:sz w:val="12"/>
                <w:szCs w:val="12"/>
                <w:color w:val="auto"/>
              </w:rPr>
            </w:pPr>
          </w:p>
        </w:tc>
        <w:tc>
          <w:tcPr>
            <w:tcW w:w="1480" w:type="dxa"/>
            <w:vAlign w:val="bottom"/>
            <w:tcBorders>
              <w:top w:val="single" w:sz="8" w:color="auto"/>
              <w:right w:val="single" w:sz="8" w:color="FFC080"/>
            </w:tcBorders>
            <w:shd w:val="clear" w:color="auto" w:fill="FFC080"/>
          </w:tcPr>
          <w:p>
            <w:pPr>
              <w:spacing w:after="0"/>
              <w:rPr>
                <w:sz w:val="12"/>
                <w:szCs w:val="12"/>
                <w:color w:val="auto"/>
              </w:rPr>
            </w:pP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Outstanding at June 30, 2008</w:t>
            </w:r>
          </w:p>
        </w:tc>
        <w:tc>
          <w:tcPr>
            <w:tcW w:w="1540" w:type="dxa"/>
            <w:vAlign w:val="bottom"/>
          </w:tcPr>
          <w:p>
            <w:pPr>
              <w:jc w:val="right"/>
              <w:spacing w:after="0"/>
              <w:rPr>
                <w:sz w:val="20"/>
                <w:szCs w:val="20"/>
                <w:color w:val="auto"/>
              </w:rPr>
            </w:pPr>
            <w:r>
              <w:rPr>
                <w:rFonts w:ascii="Arial" w:cs="Arial" w:eastAsia="Arial" w:hAnsi="Arial"/>
                <w:sz w:val="16"/>
                <w:szCs w:val="16"/>
                <w:color w:val="auto"/>
              </w:rPr>
              <w:t>1,199,046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5.85</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263,500</w:t>
            </w:r>
          </w:p>
        </w:tc>
        <w:tc>
          <w:tcPr>
            <w:tcW w:w="80" w:type="dxa"/>
            <w:vAlign w:val="bottom"/>
            <w:shd w:val="clear" w:color="auto" w:fill="FFC080"/>
          </w:tcPr>
          <w:p>
            <w:pPr>
              <w:spacing w:after="0"/>
              <w:rPr>
                <w:sz w:val="17"/>
                <w:szCs w:val="17"/>
                <w:color w:val="auto"/>
              </w:rPr>
            </w:pPr>
          </w:p>
        </w:tc>
        <w:tc>
          <w:tcPr>
            <w:tcW w:w="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48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3.79</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Expired and canceled</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(29,047)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6.31</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Forfeited prior to vesting</w:t>
            </w:r>
          </w:p>
        </w:tc>
        <w:tc>
          <w:tcPr>
            <w:tcW w:w="1620" w:type="dxa"/>
            <w:vAlign w:val="bottom"/>
            <w:gridSpan w:val="2"/>
            <w:shd w:val="clear" w:color="auto" w:fill="FFC080"/>
          </w:tcPr>
          <w:p>
            <w:pPr>
              <w:jc w:val="right"/>
              <w:ind w:right="20"/>
              <w:spacing w:after="0"/>
              <w:rPr>
                <w:sz w:val="20"/>
                <w:szCs w:val="20"/>
                <w:color w:val="auto"/>
              </w:rPr>
            </w:pPr>
            <w:r>
              <w:rPr>
                <w:rFonts w:ascii="Arial" w:cs="Arial" w:eastAsia="Arial" w:hAnsi="Arial"/>
                <w:sz w:val="16"/>
                <w:szCs w:val="16"/>
                <w:color w:val="auto"/>
              </w:rPr>
              <w:t>(149,614)</w:t>
            </w:r>
          </w:p>
        </w:tc>
        <w:tc>
          <w:tcPr>
            <w:tcW w:w="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48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4.69</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Exercised</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(40,799)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3.29</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FFC080"/>
          </w:tcPr>
          <w:p>
            <w:pPr>
              <w:spacing w:after="0"/>
              <w:rPr>
                <w:sz w:val="20"/>
                <w:szCs w:val="20"/>
                <w:color w:val="auto"/>
              </w:rPr>
            </w:pPr>
            <w:r>
              <w:rPr>
                <w:rFonts w:ascii="Arial" w:cs="Arial" w:eastAsia="Arial" w:hAnsi="Arial"/>
                <w:sz w:val="16"/>
                <w:szCs w:val="16"/>
                <w:color w:val="auto"/>
              </w:rPr>
              <w:t>Outstanding at June 30, 2009</w:t>
            </w:r>
          </w:p>
        </w:tc>
        <w:tc>
          <w:tcPr>
            <w:tcW w:w="154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1,243,086</w:t>
            </w:r>
          </w:p>
        </w:tc>
        <w:tc>
          <w:tcPr>
            <w:tcW w:w="80" w:type="dxa"/>
            <w:vAlign w:val="bottom"/>
            <w:shd w:val="clear" w:color="auto" w:fill="FFC080"/>
          </w:tcPr>
          <w:p>
            <w:pPr>
              <w:spacing w:after="0"/>
              <w:rPr>
                <w:sz w:val="17"/>
                <w:szCs w:val="17"/>
                <w:color w:val="auto"/>
              </w:rPr>
            </w:pPr>
          </w:p>
        </w:tc>
        <w:tc>
          <w:tcPr>
            <w:tcW w:w="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48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5.62</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102,500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FFC080"/>
          </w:tcPr>
          <w:p>
            <w:pPr>
              <w:ind w:left="320"/>
              <w:spacing w:after="0"/>
              <w:rPr>
                <w:sz w:val="20"/>
                <w:szCs w:val="20"/>
                <w:color w:val="auto"/>
              </w:rPr>
            </w:pPr>
            <w:r>
              <w:rPr>
                <w:rFonts w:ascii="Arial" w:cs="Arial" w:eastAsia="Arial" w:hAnsi="Arial"/>
                <w:sz w:val="16"/>
                <w:szCs w:val="16"/>
                <w:color w:val="auto"/>
              </w:rPr>
              <w:t>Expired and canceled</w:t>
            </w:r>
          </w:p>
        </w:tc>
        <w:tc>
          <w:tcPr>
            <w:tcW w:w="1620" w:type="dxa"/>
            <w:vAlign w:val="bottom"/>
            <w:gridSpan w:val="2"/>
            <w:shd w:val="clear" w:color="auto" w:fill="FFC080"/>
          </w:tcPr>
          <w:p>
            <w:pPr>
              <w:jc w:val="right"/>
              <w:ind w:right="20"/>
              <w:spacing w:after="0"/>
              <w:rPr>
                <w:sz w:val="20"/>
                <w:szCs w:val="20"/>
                <w:color w:val="auto"/>
              </w:rPr>
            </w:pPr>
            <w:r>
              <w:rPr>
                <w:rFonts w:ascii="Arial" w:cs="Arial" w:eastAsia="Arial" w:hAnsi="Arial"/>
                <w:sz w:val="16"/>
                <w:szCs w:val="16"/>
                <w:color w:val="auto"/>
              </w:rPr>
              <w:t>(68,499)</w:t>
            </w:r>
          </w:p>
        </w:tc>
        <w:tc>
          <w:tcPr>
            <w:tcW w:w="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148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6.68</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(50,970)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2.84</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6"/>
                <w:szCs w:val="16"/>
                <w:color w:val="auto"/>
              </w:rPr>
              <w:t>Exercised</w:t>
            </w:r>
          </w:p>
        </w:tc>
        <w:tc>
          <w:tcPr>
            <w:tcW w:w="162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FFC080"/>
            </w:tcBorders>
            <w:shd w:val="clear" w:color="auto" w:fill="FFC080"/>
          </w:tcPr>
          <w:p>
            <w:pPr>
              <w:spacing w:after="0"/>
              <w:rPr>
                <w:sz w:val="19"/>
                <w:szCs w:val="19"/>
                <w:color w:val="auto"/>
              </w:rPr>
            </w:pPr>
          </w:p>
        </w:tc>
        <w:tc>
          <w:tcPr>
            <w:tcW w:w="180" w:type="dxa"/>
            <w:vAlign w:val="bottom"/>
            <w:tcBorders>
              <w:bottom w:val="single" w:sz="8" w:color="FFC080"/>
            </w:tcBorders>
            <w:shd w:val="clear" w:color="auto" w:fill="FFC080"/>
          </w:tcPr>
          <w:p>
            <w:pPr>
              <w:spacing w:after="0"/>
              <w:rPr>
                <w:sz w:val="19"/>
                <w:szCs w:val="19"/>
                <w:color w:val="auto"/>
              </w:rPr>
            </w:pPr>
          </w:p>
        </w:tc>
        <w:tc>
          <w:tcPr>
            <w:tcW w:w="1480" w:type="dxa"/>
            <w:vAlign w:val="bottom"/>
            <w:tcBorders>
              <w:bottom w:val="single" w:sz="8" w:color="FFC080"/>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gridSpan w:val="2"/>
          </w:tcPr>
          <w:p>
            <w:pPr>
              <w:spacing w:after="0"/>
              <w:rPr>
                <w:sz w:val="20"/>
                <w:szCs w:val="20"/>
                <w:color w:val="auto"/>
              </w:rPr>
            </w:pPr>
            <w:r>
              <w:rPr>
                <w:rFonts w:ascii="Arial" w:cs="Arial" w:eastAsia="Arial" w:hAnsi="Arial"/>
                <w:sz w:val="16"/>
                <w:szCs w:val="16"/>
                <w:color w:val="auto"/>
              </w:rPr>
              <w:t>Outstanding at December 31, 2009</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1,226,117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5.44</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6"/>
                <w:szCs w:val="16"/>
                <w:color w:val="auto"/>
              </w:rPr>
              <w:t>Granted</w:t>
            </w:r>
          </w:p>
        </w:tc>
        <w:tc>
          <w:tcPr>
            <w:tcW w:w="1540" w:type="dxa"/>
            <w:vAlign w:val="bottom"/>
            <w:tcBorders>
              <w:bottom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159,750</w:t>
            </w:r>
          </w:p>
        </w:tc>
        <w:tc>
          <w:tcPr>
            <w:tcW w:w="80" w:type="dxa"/>
            <w:vAlign w:val="bottom"/>
            <w:tcBorders>
              <w:bottom w:val="single" w:sz="8" w:color="FFC080"/>
            </w:tcBorders>
            <w:shd w:val="clear" w:color="auto" w:fill="FFC080"/>
          </w:tcPr>
          <w:p>
            <w:pPr>
              <w:spacing w:after="0"/>
              <w:rPr>
                <w:sz w:val="20"/>
                <w:szCs w:val="20"/>
                <w:color w:val="auto"/>
              </w:rPr>
            </w:pPr>
          </w:p>
        </w:tc>
        <w:tc>
          <w:tcPr>
            <w:tcW w:w="60" w:type="dxa"/>
            <w:vAlign w:val="bottom"/>
            <w:tcBorders>
              <w:bottom w:val="single" w:sz="8" w:color="FFC080"/>
            </w:tcBorders>
            <w:shd w:val="clear" w:color="auto" w:fill="FFC080"/>
          </w:tcPr>
          <w:p>
            <w:pPr>
              <w:spacing w:after="0"/>
              <w:rPr>
                <w:sz w:val="20"/>
                <w:szCs w:val="20"/>
                <w:color w:val="auto"/>
              </w:rPr>
            </w:pPr>
          </w:p>
        </w:tc>
        <w:tc>
          <w:tcPr>
            <w:tcW w:w="180" w:type="dxa"/>
            <w:vAlign w:val="bottom"/>
            <w:tcBorders>
              <w:bottom w:val="single" w:sz="8" w:color="FFC080"/>
            </w:tcBorders>
            <w:shd w:val="clear" w:color="auto" w:fill="FFC080"/>
          </w:tcPr>
          <w:p>
            <w:pPr>
              <w:spacing w:after="0"/>
              <w:rPr>
                <w:sz w:val="20"/>
                <w:szCs w:val="20"/>
                <w:color w:val="auto"/>
              </w:rPr>
            </w:pPr>
          </w:p>
        </w:tc>
        <w:tc>
          <w:tcPr>
            <w:tcW w:w="1480" w:type="dxa"/>
            <w:vAlign w:val="bottom"/>
            <w:tcBorders>
              <w:bottom w:val="single" w:sz="8" w:color="FFC080"/>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3.04</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Expired and canceled</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(145,041)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12.33</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06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6"/>
                <w:szCs w:val="16"/>
                <w:color w:val="auto"/>
              </w:rPr>
              <w:t>Forfeited prior to vesting</w:t>
            </w:r>
          </w:p>
        </w:tc>
        <w:tc>
          <w:tcPr>
            <w:tcW w:w="1620" w:type="dxa"/>
            <w:vAlign w:val="bottom"/>
            <w:tcBorders>
              <w:bottom w:val="single" w:sz="8" w:color="FFC080"/>
            </w:tcBorders>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(22,000</w:t>
            </w:r>
            <w:r>
              <w:rPr>
                <w:rFonts w:ascii="Arial" w:cs="Arial" w:eastAsia="Arial" w:hAnsi="Arial"/>
                <w:sz w:val="16"/>
                <w:szCs w:val="16"/>
                <w:color w:val="auto"/>
              </w:rPr>
              <w:t>)</w:t>
            </w:r>
          </w:p>
        </w:tc>
        <w:tc>
          <w:tcPr>
            <w:tcW w:w="60" w:type="dxa"/>
            <w:vAlign w:val="bottom"/>
            <w:tcBorders>
              <w:bottom w:val="single" w:sz="8" w:color="FFC080"/>
            </w:tcBorders>
            <w:shd w:val="clear" w:color="auto" w:fill="FFC080"/>
          </w:tcPr>
          <w:p>
            <w:pPr>
              <w:spacing w:after="0"/>
              <w:rPr>
                <w:sz w:val="22"/>
                <w:szCs w:val="22"/>
                <w:color w:val="auto"/>
              </w:rPr>
            </w:pPr>
          </w:p>
        </w:tc>
        <w:tc>
          <w:tcPr>
            <w:tcW w:w="180" w:type="dxa"/>
            <w:vAlign w:val="bottom"/>
            <w:tcBorders>
              <w:bottom w:val="single" w:sz="8" w:color="FFC080"/>
            </w:tcBorders>
            <w:shd w:val="clear" w:color="auto" w:fill="FFC080"/>
          </w:tcPr>
          <w:p>
            <w:pPr>
              <w:spacing w:after="0"/>
              <w:rPr>
                <w:sz w:val="22"/>
                <w:szCs w:val="22"/>
                <w:color w:val="auto"/>
              </w:rPr>
            </w:pPr>
          </w:p>
        </w:tc>
        <w:tc>
          <w:tcPr>
            <w:tcW w:w="1480" w:type="dxa"/>
            <w:vAlign w:val="bottom"/>
            <w:tcBorders>
              <w:bottom w:val="single" w:sz="8" w:color="FFC080"/>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2.93</w:t>
            </w: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Exercised</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6"/>
                <w:szCs w:val="16"/>
                <w:color w:val="auto"/>
              </w:rPr>
              <w:t>Outstanding at December 31, 2010</w:t>
            </w:r>
          </w:p>
        </w:tc>
        <w:tc>
          <w:tcPr>
            <w:tcW w:w="1540" w:type="dxa"/>
            <w:vAlign w:val="bottom"/>
            <w:tcBorders>
              <w:top w:val="single" w:sz="8" w:color="auto"/>
              <w:bottom w:val="single" w:sz="8" w:color="auto"/>
            </w:tcBorders>
            <w:shd w:val="clear" w:color="auto" w:fill="FFC080"/>
          </w:tcPr>
          <w:p>
            <w:pPr>
              <w:jc w:val="right"/>
              <w:spacing w:after="0"/>
              <w:rPr>
                <w:sz w:val="20"/>
                <w:szCs w:val="20"/>
                <w:color w:val="auto"/>
              </w:rPr>
            </w:pPr>
            <w:r>
              <w:rPr>
                <w:rFonts w:ascii="Arial" w:cs="Arial" w:eastAsia="Arial" w:hAnsi="Arial"/>
                <w:sz w:val="16"/>
                <w:szCs w:val="16"/>
                <w:color w:val="auto"/>
              </w:rPr>
              <w:t>1,218,826</w:t>
            </w:r>
          </w:p>
        </w:tc>
        <w:tc>
          <w:tcPr>
            <w:tcW w:w="80" w:type="dxa"/>
            <w:vAlign w:val="bottom"/>
            <w:tcBorders>
              <w:top w:val="single" w:sz="8" w:color="auto"/>
              <w:bottom w:val="single" w:sz="8" w:color="auto"/>
            </w:tcBorders>
            <w:shd w:val="clear" w:color="auto" w:fill="FFC080"/>
          </w:tcPr>
          <w:p>
            <w:pPr>
              <w:spacing w:after="0"/>
              <w:rPr>
                <w:sz w:val="21"/>
                <w:szCs w:val="21"/>
                <w:color w:val="auto"/>
              </w:rPr>
            </w:pPr>
          </w:p>
        </w:tc>
        <w:tc>
          <w:tcPr>
            <w:tcW w:w="60" w:type="dxa"/>
            <w:vAlign w:val="bottom"/>
            <w:tcBorders>
              <w:bottom w:val="single" w:sz="8" w:color="FFC080"/>
            </w:tcBorders>
            <w:shd w:val="clear" w:color="auto" w:fill="FFC080"/>
          </w:tcPr>
          <w:p>
            <w:pPr>
              <w:spacing w:after="0"/>
              <w:rPr>
                <w:sz w:val="21"/>
                <w:szCs w:val="21"/>
                <w:color w:val="auto"/>
              </w:rPr>
            </w:pPr>
          </w:p>
        </w:tc>
        <w:tc>
          <w:tcPr>
            <w:tcW w:w="180" w:type="dxa"/>
            <w:vAlign w:val="bottom"/>
            <w:tcBorders>
              <w:bottom w:val="single" w:sz="8" w:color="FFC080"/>
            </w:tcBorders>
            <w:shd w:val="clear" w:color="auto" w:fill="FFC080"/>
          </w:tcPr>
          <w:p>
            <w:pPr>
              <w:spacing w:after="0"/>
              <w:rPr>
                <w:sz w:val="21"/>
                <w:szCs w:val="21"/>
                <w:color w:val="auto"/>
              </w:rPr>
            </w:pPr>
          </w:p>
        </w:tc>
        <w:tc>
          <w:tcPr>
            <w:tcW w:w="1480" w:type="dxa"/>
            <w:vAlign w:val="bottom"/>
            <w:tcBorders>
              <w:bottom w:val="single" w:sz="8" w:color="FFC080"/>
              <w:right w:val="single" w:sz="8" w:color="FFC080"/>
            </w:tcBorders>
            <w:shd w:val="clear" w:color="auto" w:fill="FFC080"/>
          </w:tcPr>
          <w:p>
            <w:pPr>
              <w:jc w:val="right"/>
              <w:spacing w:after="0"/>
              <w:rPr>
                <w:sz w:val="20"/>
                <w:szCs w:val="20"/>
                <w:color w:val="auto"/>
              </w:rPr>
            </w:pPr>
            <w:r>
              <w:rPr>
                <w:rFonts w:ascii="Arial" w:cs="Arial" w:eastAsia="Arial" w:hAnsi="Arial"/>
                <w:sz w:val="16"/>
                <w:szCs w:val="16"/>
                <w:color w:val="auto"/>
              </w:rPr>
              <w:t>4.35</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60" w:type="dxa"/>
            <w:vAlign w:val="bottom"/>
          </w:tcPr>
          <w:p>
            <w:pPr>
              <w:ind w:left="320"/>
              <w:spacing w:after="0"/>
              <w:rPr>
                <w:sz w:val="20"/>
                <w:szCs w:val="20"/>
                <w:color w:val="auto"/>
              </w:rPr>
            </w:pPr>
            <w:r>
              <w:rPr>
                <w:rFonts w:ascii="Arial" w:cs="Arial" w:eastAsia="Arial" w:hAnsi="Arial"/>
                <w:sz w:val="16"/>
                <w:szCs w:val="16"/>
                <w:color w:val="auto"/>
              </w:rPr>
              <w:t>Exercisable</w:t>
            </w:r>
          </w:p>
        </w:tc>
        <w:tc>
          <w:tcPr>
            <w:tcW w:w="1540" w:type="dxa"/>
            <w:vAlign w:val="bottom"/>
          </w:tcPr>
          <w:p>
            <w:pPr>
              <w:jc w:val="right"/>
              <w:spacing w:after="0"/>
              <w:rPr>
                <w:sz w:val="20"/>
                <w:szCs w:val="20"/>
                <w:color w:val="auto"/>
              </w:rPr>
            </w:pPr>
            <w:r>
              <w:rPr>
                <w:rFonts w:ascii="Arial" w:cs="Arial" w:eastAsia="Arial" w:hAnsi="Arial"/>
                <w:sz w:val="16"/>
                <w:szCs w:val="16"/>
                <w:color w:val="auto"/>
              </w:rPr>
              <w:t>966,735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4.66</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F-21</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80" w:type="dxa"/>
            <w:vAlign w:val="bottom"/>
            <w:gridSpan w:val="9"/>
          </w:tcPr>
          <w:p>
            <w:pPr>
              <w:jc w:val="center"/>
              <w:ind w:right="796"/>
              <w:spacing w:after="0" w:line="191" w:lineRule="exact"/>
              <w:rPr>
                <w:sz w:val="20"/>
                <w:szCs w:val="20"/>
                <w:color w:val="auto"/>
              </w:rPr>
            </w:pPr>
            <w:r>
              <w:rPr>
                <w:rFonts w:ascii="Arial" w:cs="Arial" w:eastAsia="Arial" w:hAnsi="Arial"/>
                <w:sz w:val="18"/>
                <w:szCs w:val="18"/>
                <w:b w:val="1"/>
                <w:bCs w:val="1"/>
                <w:color w:val="auto"/>
              </w:rPr>
              <w:t>CLEARONE COMMUNICATIONS, INC. AND SUBSIDIARIES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80" w:type="dxa"/>
            <w:vAlign w:val="bottom"/>
            <w:gridSpan w:val="8"/>
          </w:tcPr>
          <w:p>
            <w:pPr>
              <w:jc w:val="center"/>
              <w:ind w:right="876"/>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6"/>
          </w:tcPr>
          <w:p>
            <w:pPr>
              <w:jc w:val="center"/>
              <w:ind w:left="357"/>
              <w:spacing w:after="0"/>
              <w:rPr>
                <w:sz w:val="20"/>
                <w:szCs w:val="20"/>
                <w:color w:val="auto"/>
              </w:rPr>
            </w:pPr>
            <w:r>
              <w:rPr>
                <w:rFonts w:ascii="Arial" w:cs="Arial" w:eastAsia="Arial" w:hAnsi="Arial"/>
                <w:sz w:val="14"/>
                <w:szCs w:val="14"/>
                <w:b w:val="1"/>
                <w:bCs w:val="1"/>
                <w:color w:val="auto"/>
                <w:w w:val="91"/>
              </w:rPr>
              <w:t>(in thousands of dollars, except per share amounts)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720" w:type="dxa"/>
            <w:vAlign w:val="bottom"/>
            <w:gridSpan w:val="13"/>
          </w:tcPr>
          <w:p>
            <w:pPr>
              <w:spacing w:after="0"/>
              <w:rPr>
                <w:sz w:val="20"/>
                <w:szCs w:val="20"/>
                <w:color w:val="auto"/>
              </w:rPr>
            </w:pPr>
            <w:r>
              <w:rPr>
                <w:rFonts w:ascii="Arial" w:cs="Arial" w:eastAsia="Arial" w:hAnsi="Arial"/>
                <w:sz w:val="18"/>
                <w:szCs w:val="18"/>
                <w:color w:val="auto"/>
                <w:w w:val="94"/>
              </w:rPr>
              <w:t>The following table summarizes information about stock options outstanding as of December 31, 2010: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Options Outstanding</w:t>
            </w:r>
          </w:p>
        </w:tc>
        <w:tc>
          <w:tcPr>
            <w:tcW w:w="1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Exercise Price Range</w:t>
            </w:r>
          </w:p>
        </w:tc>
        <w:tc>
          <w:tcPr>
            <w:tcW w:w="18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Options Exercisable</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shd w:val="clear" w:color="auto" w:fill="FFC080"/>
          </w:tcPr>
          <w:p>
            <w:pPr>
              <w:spacing w:after="0"/>
              <w:rPr>
                <w:sz w:val="20"/>
                <w:szCs w:val="20"/>
                <w:color w:val="auto"/>
              </w:rPr>
            </w:pPr>
            <w:r>
              <w:rPr>
                <w:rFonts w:ascii="Arial" w:cs="Arial" w:eastAsia="Arial" w:hAnsi="Arial"/>
                <w:sz w:val="18"/>
                <w:szCs w:val="18"/>
                <w:color w:val="auto"/>
              </w:rPr>
              <w:t>$2.05 to $4.09</w:t>
            </w:r>
          </w:p>
        </w:tc>
        <w:tc>
          <w:tcPr>
            <w:tcW w:w="15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786,326</w:t>
            </w:r>
          </w:p>
        </w:tc>
        <w:tc>
          <w:tcPr>
            <w:tcW w:w="10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3.39</w:t>
            </w:r>
          </w:p>
        </w:tc>
        <w:tc>
          <w:tcPr>
            <w:tcW w:w="150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535,174</w:t>
            </w:r>
          </w:p>
        </w:tc>
        <w:tc>
          <w:tcPr>
            <w:tcW w:w="100" w:type="dxa"/>
            <w:vAlign w:val="bottom"/>
            <w:shd w:val="clear" w:color="auto" w:fill="FFC080"/>
          </w:tcPr>
          <w:p>
            <w:pPr>
              <w:spacing w:after="0"/>
              <w:rPr>
                <w:sz w:val="18"/>
                <w:szCs w:val="18"/>
                <w:color w:val="auto"/>
              </w:rPr>
            </w:pPr>
          </w:p>
        </w:tc>
        <w:tc>
          <w:tcPr>
            <w:tcW w:w="132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$4.10 to $6.13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108,500</w:t>
            </w: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107,666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$6.14 to $8.18</w:t>
            </w:r>
          </w:p>
        </w:tc>
        <w:tc>
          <w:tcPr>
            <w:tcW w:w="180" w:type="dxa"/>
            <w:vAlign w:val="bottom"/>
            <w:shd w:val="clear" w:color="auto" w:fill="FFC080"/>
          </w:tcPr>
          <w:p>
            <w:pPr>
              <w:spacing w:after="0"/>
              <w:rPr>
                <w:sz w:val="18"/>
                <w:szCs w:val="18"/>
                <w:color w:val="auto"/>
              </w:rPr>
            </w:pPr>
          </w:p>
        </w:tc>
        <w:tc>
          <w:tcPr>
            <w:tcW w:w="15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324,000</w:t>
            </w:r>
          </w:p>
        </w:tc>
        <w:tc>
          <w:tcPr>
            <w:tcW w:w="10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6.27</w:t>
            </w:r>
          </w:p>
        </w:tc>
        <w:tc>
          <w:tcPr>
            <w:tcW w:w="150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5.1</w:t>
            </w:r>
          </w:p>
        </w:tc>
        <w:tc>
          <w:tcPr>
            <w:tcW w:w="15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323,895</w:t>
            </w:r>
          </w:p>
        </w:tc>
        <w:tc>
          <w:tcPr>
            <w:tcW w:w="100" w:type="dxa"/>
            <w:vAlign w:val="bottom"/>
            <w:shd w:val="clear" w:color="auto" w:fill="FFC080"/>
          </w:tcPr>
          <w:p>
            <w:pPr>
              <w:spacing w:after="0"/>
              <w:rPr>
                <w:sz w:val="18"/>
                <w:szCs w:val="18"/>
                <w:color w:val="auto"/>
              </w:rPr>
            </w:pPr>
          </w:p>
        </w:tc>
        <w:tc>
          <w:tcPr>
            <w:tcW w:w="132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FFC08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FFC08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tcBorders>
              <w:right w:val="single" w:sz="8" w:color="FFC080"/>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1,218,826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966,735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as of December 31,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Non-vested Shares</w:t>
            </w:r>
          </w:p>
        </w:tc>
        <w:tc>
          <w:tcPr>
            <w:tcW w:w="80" w:type="dxa"/>
            <w:vAlign w:val="bottom"/>
          </w:tcPr>
          <w:p>
            <w:pPr>
              <w:spacing w:after="0"/>
              <w:rPr>
                <w:sz w:val="14"/>
                <w:szCs w:val="14"/>
                <w:color w:val="auto"/>
              </w:rPr>
            </w:pPr>
          </w:p>
        </w:tc>
        <w:tc>
          <w:tcPr>
            <w:tcW w:w="17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vMerge w:val="restart"/>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Date 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FFC080"/>
          </w:tcPr>
          <w:p>
            <w:pPr>
              <w:spacing w:after="0"/>
              <w:rPr>
                <w:sz w:val="20"/>
                <w:szCs w:val="20"/>
                <w:color w:val="auto"/>
              </w:rPr>
            </w:pPr>
            <w:r>
              <w:rPr>
                <w:rFonts w:ascii="Arial" w:cs="Arial" w:eastAsia="Arial" w:hAnsi="Arial"/>
                <w:sz w:val="16"/>
                <w:szCs w:val="16"/>
                <w:color w:val="auto"/>
              </w:rPr>
              <w:t>Non-vested at December 31, 2009</w:t>
            </w:r>
          </w:p>
        </w:tc>
        <w:tc>
          <w:tcPr>
            <w:tcW w:w="1940" w:type="dxa"/>
            <w:vAlign w:val="bottom"/>
            <w:tcBorders>
              <w:right w:val="single" w:sz="8" w:color="FFC080"/>
            </w:tcBorders>
            <w:gridSpan w:val="3"/>
            <w:shd w:val="clear" w:color="auto" w:fill="FFC080"/>
          </w:tcPr>
          <w:p>
            <w:pPr>
              <w:jc w:val="right"/>
              <w:ind w:right="140"/>
              <w:spacing w:after="0"/>
              <w:rPr>
                <w:sz w:val="20"/>
                <w:szCs w:val="20"/>
                <w:color w:val="auto"/>
              </w:rPr>
            </w:pPr>
            <w:r>
              <w:rPr>
                <w:rFonts w:ascii="Arial" w:cs="Arial" w:eastAsia="Arial" w:hAnsi="Arial"/>
                <w:sz w:val="16"/>
                <w:szCs w:val="16"/>
                <w:color w:val="auto"/>
              </w:rPr>
              <w:t>242,909</w:t>
            </w:r>
          </w:p>
        </w:tc>
        <w:tc>
          <w:tcPr>
            <w:tcW w:w="220" w:type="dxa"/>
            <w:vAlign w:val="bottom"/>
            <w:shd w:val="clear" w:color="auto" w:fill="FFC080"/>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2.07</w:t>
            </w:r>
          </w:p>
        </w:tc>
        <w:tc>
          <w:tcPr>
            <w:tcW w:w="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940" w:type="dxa"/>
            <w:vAlign w:val="bottom"/>
            <w:gridSpan w:val="3"/>
          </w:tcPr>
          <w:p>
            <w:pPr>
              <w:jc w:val="right"/>
              <w:ind w:right="140"/>
              <w:spacing w:after="0"/>
              <w:rPr>
                <w:sz w:val="20"/>
                <w:szCs w:val="20"/>
                <w:color w:val="auto"/>
              </w:rPr>
            </w:pPr>
            <w:r>
              <w:rPr>
                <w:rFonts w:ascii="Arial" w:cs="Arial" w:eastAsia="Arial" w:hAnsi="Arial"/>
                <w:sz w:val="16"/>
                <w:szCs w:val="16"/>
                <w:color w:val="auto"/>
              </w:rPr>
              <w:t>159,750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FFC080"/>
          </w:tcPr>
          <w:p>
            <w:pPr>
              <w:ind w:left="320"/>
              <w:spacing w:after="0"/>
              <w:rPr>
                <w:sz w:val="20"/>
                <w:szCs w:val="20"/>
                <w:color w:val="auto"/>
              </w:rPr>
            </w:pPr>
            <w:r>
              <w:rPr>
                <w:rFonts w:ascii="Arial" w:cs="Arial" w:eastAsia="Arial" w:hAnsi="Arial"/>
                <w:sz w:val="16"/>
                <w:szCs w:val="16"/>
                <w:color w:val="auto"/>
              </w:rPr>
              <w:t>Vested</w:t>
            </w:r>
          </w:p>
        </w:tc>
        <w:tc>
          <w:tcPr>
            <w:tcW w:w="1940" w:type="dxa"/>
            <w:vAlign w:val="bottom"/>
            <w:tcBorders>
              <w:right w:val="single" w:sz="8" w:color="FFC080"/>
            </w:tcBorders>
            <w:gridSpan w:val="3"/>
            <w:shd w:val="clear" w:color="auto" w:fill="FFC080"/>
          </w:tcPr>
          <w:p>
            <w:pPr>
              <w:jc w:val="right"/>
              <w:ind w:right="80"/>
              <w:spacing w:after="0"/>
              <w:rPr>
                <w:sz w:val="20"/>
                <w:szCs w:val="20"/>
                <w:color w:val="auto"/>
              </w:rPr>
            </w:pPr>
            <w:r>
              <w:rPr>
                <w:rFonts w:ascii="Arial" w:cs="Arial" w:eastAsia="Arial" w:hAnsi="Arial"/>
                <w:sz w:val="16"/>
                <w:szCs w:val="16"/>
                <w:color w:val="auto"/>
              </w:rPr>
              <w:t>(128,568)</w:t>
            </w:r>
          </w:p>
        </w:tc>
        <w:tc>
          <w:tcPr>
            <w:tcW w:w="220" w:type="dxa"/>
            <w:vAlign w:val="bottom"/>
            <w:shd w:val="clear" w:color="auto" w:fill="FFC080"/>
          </w:tcPr>
          <w:p>
            <w:pPr>
              <w:spacing w:after="0"/>
              <w:rPr>
                <w:sz w:val="17"/>
                <w:szCs w:val="17"/>
                <w:color w:val="auto"/>
              </w:rPr>
            </w:pPr>
          </w:p>
        </w:tc>
        <w:tc>
          <w:tcPr>
            <w:tcW w:w="148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2.68</w:t>
            </w:r>
          </w:p>
        </w:tc>
        <w:tc>
          <w:tcPr>
            <w:tcW w:w="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Forfeited prior to vesting</w:t>
            </w:r>
          </w:p>
        </w:tc>
        <w:tc>
          <w:tcPr>
            <w:tcW w:w="80" w:type="dxa"/>
            <w:vAlign w:val="bottom"/>
          </w:tcPr>
          <w:p>
            <w:pPr>
              <w:spacing w:after="0"/>
              <w:rPr>
                <w:sz w:val="17"/>
                <w:szCs w:val="17"/>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(22,000)</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00" w:type="dxa"/>
            <w:vAlign w:val="bottom"/>
            <w:shd w:val="clear" w:color="auto" w:fill="FFC080"/>
          </w:tcPr>
          <w:p>
            <w:pPr>
              <w:spacing w:after="0"/>
              <w:rPr>
                <w:sz w:val="20"/>
                <w:szCs w:val="20"/>
                <w:color w:val="auto"/>
              </w:rPr>
            </w:pPr>
            <w:r>
              <w:rPr>
                <w:rFonts w:ascii="Arial" w:cs="Arial" w:eastAsia="Arial" w:hAnsi="Arial"/>
                <w:sz w:val="16"/>
                <w:szCs w:val="16"/>
                <w:color w:val="auto"/>
              </w:rPr>
              <w:t>Non-vested at December 31, 2010</w:t>
            </w:r>
          </w:p>
        </w:tc>
        <w:tc>
          <w:tcPr>
            <w:tcW w:w="80" w:type="dxa"/>
            <w:vAlign w:val="bottom"/>
            <w:shd w:val="clear" w:color="auto" w:fill="FFC080"/>
          </w:tcPr>
          <w:p>
            <w:pPr>
              <w:spacing w:after="0"/>
              <w:rPr>
                <w:sz w:val="19"/>
                <w:szCs w:val="19"/>
                <w:color w:val="auto"/>
              </w:rPr>
            </w:pPr>
          </w:p>
        </w:tc>
        <w:tc>
          <w:tcPr>
            <w:tcW w:w="1720" w:type="dxa"/>
            <w:vAlign w:val="bottom"/>
            <w:shd w:val="clear" w:color="auto" w:fill="FFC080"/>
          </w:tcPr>
          <w:p>
            <w:pPr>
              <w:jc w:val="right"/>
              <w:spacing w:after="0"/>
              <w:rPr>
                <w:sz w:val="20"/>
                <w:szCs w:val="20"/>
                <w:color w:val="auto"/>
              </w:rPr>
            </w:pPr>
            <w:r>
              <w:rPr>
                <w:rFonts w:ascii="Arial" w:cs="Arial" w:eastAsia="Arial" w:hAnsi="Arial"/>
                <w:sz w:val="16"/>
                <w:szCs w:val="16"/>
                <w:color w:val="auto"/>
              </w:rPr>
              <w:t>252,091</w:t>
            </w:r>
          </w:p>
        </w:tc>
        <w:tc>
          <w:tcPr>
            <w:tcW w:w="140" w:type="dxa"/>
            <w:vAlign w:val="bottom"/>
            <w:tcBorders>
              <w:right w:val="single" w:sz="8" w:color="FFC080"/>
            </w:tcBorders>
            <w:shd w:val="clear" w:color="auto" w:fill="FFC080"/>
          </w:tcPr>
          <w:p>
            <w:pPr>
              <w:spacing w:after="0"/>
              <w:rPr>
                <w:sz w:val="19"/>
                <w:szCs w:val="19"/>
                <w:color w:val="auto"/>
              </w:rPr>
            </w:pPr>
          </w:p>
        </w:tc>
        <w:tc>
          <w:tcPr>
            <w:tcW w:w="220" w:type="dxa"/>
            <w:vAlign w:val="bottom"/>
            <w:shd w:val="clear" w:color="auto" w:fill="FFC080"/>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FFC080"/>
          </w:tcPr>
          <w:p>
            <w:pPr>
              <w:jc w:val="right"/>
              <w:spacing w:after="0"/>
              <w:rPr>
                <w:sz w:val="20"/>
                <w:szCs w:val="20"/>
                <w:color w:val="auto"/>
              </w:rPr>
            </w:pPr>
            <w:r>
              <w:rPr>
                <w:rFonts w:ascii="Arial" w:cs="Arial" w:eastAsia="Arial" w:hAnsi="Arial"/>
                <w:sz w:val="16"/>
                <w:szCs w:val="16"/>
                <w:color w:val="auto"/>
              </w:rPr>
              <w:t>1.39</w:t>
            </w:r>
          </w:p>
        </w:tc>
        <w:tc>
          <w:tcPr>
            <w:tcW w:w="60" w:type="dxa"/>
            <w:vAlign w:val="bottom"/>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C080"/>
              <w:right w:val="single" w:sz="8" w:color="FFC080"/>
            </w:tcBorders>
            <w:shd w:val="clear" w:color="auto" w:fill="FFC08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2010, the total compensation cost related to stock options not yet recognized and before the affect of any forfeitures was $295, which is expected to be recognized over approximately the next 3 years on a straight-line basis.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year ended December 31, 2010, six months ended December 31, 2009, and fiscal year ended June 30, 2009 was $1.37, $1.12 and $1.64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gridSpan w:val="2"/>
          </w:tcPr>
          <w:p>
            <w:pPr>
              <w:ind w:left="600"/>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Six months ended</w:t>
            </w:r>
          </w:p>
        </w:tc>
        <w:tc>
          <w:tcPr>
            <w:tcW w:w="126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2010</w:t>
            </w:r>
          </w:p>
        </w:tc>
        <w:tc>
          <w:tcPr>
            <w:tcW w:w="8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80" w:type="dxa"/>
            <w:vAlign w:val="bottom"/>
          </w:tcPr>
          <w:p>
            <w:pPr>
              <w:spacing w:after="0"/>
              <w:rPr>
                <w:sz w:val="15"/>
                <w:szCs w:val="15"/>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2009</w:t>
            </w:r>
          </w:p>
        </w:tc>
      </w:tr>
      <w:tr>
        <w:trPr>
          <w:trHeight w:val="216"/>
        </w:trPr>
        <w:tc>
          <w:tcPr>
            <w:tcW w:w="20" w:type="dxa"/>
            <w:vAlign w:val="bottom"/>
          </w:tcPr>
          <w:p>
            <w:pPr>
              <w:spacing w:after="0"/>
              <w:rPr>
                <w:sz w:val="18"/>
                <w:szCs w:val="18"/>
                <w:color w:val="auto"/>
              </w:rPr>
            </w:pPr>
          </w:p>
        </w:tc>
        <w:tc>
          <w:tcPr>
            <w:tcW w:w="2300" w:type="dxa"/>
            <w:vAlign w:val="bottom"/>
            <w:shd w:val="clear" w:color="auto" w:fill="FFC080"/>
          </w:tcPr>
          <w:p>
            <w:pPr>
              <w:spacing w:after="0"/>
              <w:rPr>
                <w:sz w:val="20"/>
                <w:szCs w:val="20"/>
                <w:color w:val="auto"/>
              </w:rPr>
            </w:pPr>
            <w:r>
              <w:rPr>
                <w:rFonts w:ascii="Arial" w:cs="Arial" w:eastAsia="Arial" w:hAnsi="Arial"/>
                <w:sz w:val="18"/>
                <w:szCs w:val="18"/>
                <w:color w:val="auto"/>
              </w:rPr>
              <w:t>Customer A</w:t>
            </w:r>
          </w:p>
        </w:tc>
        <w:tc>
          <w:tcPr>
            <w:tcW w:w="18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FFC080"/>
          </w:tcPr>
          <w:p>
            <w:pPr>
              <w:spacing w:after="0"/>
              <w:rPr>
                <w:sz w:val="18"/>
                <w:szCs w:val="18"/>
                <w:color w:val="auto"/>
              </w:rPr>
            </w:pPr>
          </w:p>
        </w:tc>
        <w:tc>
          <w:tcPr>
            <w:tcW w:w="192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26.5%</w:t>
            </w:r>
          </w:p>
        </w:tc>
        <w:tc>
          <w:tcPr>
            <w:tcW w:w="12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Customer B</w:t>
            </w:r>
          </w:p>
        </w:tc>
        <w:tc>
          <w:tcPr>
            <w:tcW w:w="184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2300" w:type="dxa"/>
            <w:vAlign w:val="bottom"/>
            <w:shd w:val="clear" w:color="auto" w:fill="FFC080"/>
          </w:tcPr>
          <w:p>
            <w:pPr>
              <w:spacing w:after="0"/>
              <w:rPr>
                <w:sz w:val="20"/>
                <w:szCs w:val="20"/>
                <w:color w:val="auto"/>
              </w:rPr>
            </w:pPr>
            <w:r>
              <w:rPr>
                <w:rFonts w:ascii="Arial" w:cs="Arial" w:eastAsia="Arial" w:hAnsi="Arial"/>
                <w:sz w:val="18"/>
                <w:szCs w:val="18"/>
                <w:color w:val="auto"/>
              </w:rPr>
              <w:t>Customer C</w:t>
            </w:r>
          </w:p>
        </w:tc>
        <w:tc>
          <w:tcPr>
            <w:tcW w:w="1840" w:type="dxa"/>
            <w:vAlign w:val="bottom"/>
            <w:shd w:val="clear" w:color="auto" w:fill="FFC080"/>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FC080"/>
          </w:tcPr>
          <w:p>
            <w:pPr>
              <w:spacing w:after="0"/>
              <w:rPr>
                <w:sz w:val="18"/>
                <w:szCs w:val="18"/>
                <w:color w:val="auto"/>
              </w:rPr>
            </w:pPr>
          </w:p>
        </w:tc>
        <w:tc>
          <w:tcPr>
            <w:tcW w:w="192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10.9%</w:t>
            </w:r>
          </w:p>
        </w:tc>
        <w:tc>
          <w:tcPr>
            <w:tcW w:w="12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20" w:type="dxa"/>
            <w:vAlign w:val="bottom"/>
          </w:tcPr>
          <w:p>
            <w:pPr>
              <w:spacing w:after="0"/>
              <w:rPr>
                <w:sz w:val="2"/>
                <w:szCs w:val="2"/>
                <w:color w:val="auto"/>
              </w:rPr>
            </w:pPr>
          </w:p>
        </w:tc>
        <w:tc>
          <w:tcPr>
            <w:tcW w:w="2300" w:type="dxa"/>
            <w:vAlign w:val="bottom"/>
            <w:shd w:val="clear" w:color="auto" w:fill="FFC08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260" w:type="dxa"/>
            <w:vAlign w:val="bottom"/>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2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Sales didn't exceed 10% of the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As at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As at</w:t>
            </w:r>
          </w:p>
        </w:tc>
      </w:tr>
      <w:tr>
        <w:trPr>
          <w:trHeight w:val="178"/>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7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December 31, 2010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FFC080"/>
          </w:tcPr>
          <w:p>
            <w:pPr>
              <w:spacing w:after="0"/>
              <w:rPr>
                <w:sz w:val="20"/>
                <w:szCs w:val="20"/>
                <w:color w:val="auto"/>
              </w:rPr>
            </w:pPr>
            <w:r>
              <w:rPr>
                <w:rFonts w:ascii="Arial" w:cs="Arial" w:eastAsia="Arial" w:hAnsi="Arial"/>
                <w:sz w:val="18"/>
                <w:szCs w:val="18"/>
                <w:color w:val="auto"/>
              </w:rPr>
              <w:t>Customer A</w:t>
            </w:r>
          </w:p>
        </w:tc>
        <w:tc>
          <w:tcPr>
            <w:tcW w:w="500" w:type="dxa"/>
            <w:vAlign w:val="bottom"/>
            <w:shd w:val="clear" w:color="auto" w:fill="FFC080"/>
          </w:tcPr>
          <w:p>
            <w:pPr>
              <w:jc w:val="right"/>
              <w:spacing w:after="0"/>
              <w:rPr>
                <w:sz w:val="20"/>
                <w:szCs w:val="20"/>
                <w:color w:val="auto"/>
              </w:rPr>
            </w:pPr>
            <w:r>
              <w:rPr>
                <w:rFonts w:ascii="Arial" w:cs="Arial" w:eastAsia="Arial" w:hAnsi="Arial"/>
                <w:sz w:val="18"/>
                <w:szCs w:val="18"/>
                <w:color w:val="auto"/>
                <w:w w:val="93"/>
              </w:rPr>
              <w:t>22.9%</w:t>
            </w:r>
          </w:p>
        </w:tc>
        <w:tc>
          <w:tcPr>
            <w:tcW w:w="80" w:type="dxa"/>
            <w:vAlign w:val="bottom"/>
            <w:shd w:val="clear" w:color="auto" w:fill="FFC080"/>
          </w:tcPr>
          <w:p>
            <w:pPr>
              <w:spacing w:after="0"/>
              <w:rPr>
                <w:sz w:val="18"/>
                <w:szCs w:val="18"/>
                <w:color w:val="auto"/>
              </w:rPr>
            </w:pPr>
          </w:p>
        </w:tc>
        <w:tc>
          <w:tcPr>
            <w:tcW w:w="23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2740" w:type="dxa"/>
            <w:vAlign w:val="bottom"/>
            <w:shd w:val="clear" w:color="auto" w:fill="FFC080"/>
          </w:tcPr>
          <w:p>
            <w:pPr>
              <w:spacing w:after="0"/>
              <w:rPr>
                <w:sz w:val="20"/>
                <w:szCs w:val="20"/>
                <w:color w:val="auto"/>
              </w:rPr>
            </w:pPr>
            <w:r>
              <w:rPr>
                <w:rFonts w:ascii="Arial" w:cs="Arial" w:eastAsia="Arial" w:hAnsi="Arial"/>
                <w:sz w:val="18"/>
                <w:szCs w:val="18"/>
                <w:color w:val="auto"/>
              </w:rPr>
              <w:t>Customer C</w:t>
            </w:r>
          </w:p>
        </w:tc>
        <w:tc>
          <w:tcPr>
            <w:tcW w:w="1740" w:type="dxa"/>
            <w:vAlign w:val="bottom"/>
            <w:shd w:val="clear" w:color="auto" w:fill="FFC080"/>
          </w:tcPr>
          <w:p>
            <w:pPr>
              <w:spacing w:after="0"/>
              <w:rPr>
                <w:sz w:val="18"/>
                <w:szCs w:val="18"/>
                <w:color w:val="auto"/>
              </w:rPr>
            </w:pPr>
          </w:p>
        </w:tc>
        <w:tc>
          <w:tcPr>
            <w:tcW w:w="5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8.6%</w:t>
            </w:r>
          </w:p>
        </w:tc>
        <w:tc>
          <w:tcPr>
            <w:tcW w:w="23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Pr>
          <w:p>
            <w:pPr>
              <w:spacing w:after="0"/>
              <w:rPr>
                <w:sz w:val="2"/>
                <w:szCs w:val="2"/>
                <w:color w:val="auto"/>
              </w:rPr>
            </w:pPr>
          </w:p>
        </w:tc>
        <w:tc>
          <w:tcPr>
            <w:tcW w:w="2740" w:type="dxa"/>
            <w:vAlign w:val="bottom"/>
            <w:shd w:val="clear" w:color="auto" w:fill="FFC08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8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40.2%</w:t>
            </w:r>
          </w:p>
        </w:tc>
        <w:tc>
          <w:tcPr>
            <w:tcW w:w="80" w:type="dxa"/>
            <w:vAlign w:val="bottom"/>
          </w:tcPr>
          <w:p>
            <w:pPr>
              <w:spacing w:after="0"/>
              <w:rPr>
                <w:sz w:val="18"/>
                <w:szCs w:val="18"/>
                <w:color w:val="auto"/>
              </w:rPr>
            </w:pP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257"/>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December 31, 2010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6"/>
              </w:rPr>
              <w:t>December 31, 2009</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June 30, 2009</w:t>
            </w:r>
          </w:p>
        </w:tc>
      </w:tr>
      <w:tr>
        <w:trPr>
          <w:trHeight w:val="216"/>
        </w:trPr>
        <w:tc>
          <w:tcPr>
            <w:tcW w:w="20" w:type="dxa"/>
            <w:vAlign w:val="bottom"/>
          </w:tcPr>
          <w:p>
            <w:pPr>
              <w:spacing w:after="0"/>
              <w:rPr>
                <w:sz w:val="18"/>
                <w:szCs w:val="18"/>
                <w:color w:val="auto"/>
              </w:rPr>
            </w:pPr>
          </w:p>
        </w:tc>
        <w:tc>
          <w:tcPr>
            <w:tcW w:w="2560" w:type="dxa"/>
            <w:vAlign w:val="bottom"/>
            <w:shd w:val="clear" w:color="auto" w:fill="FFC080"/>
          </w:tcPr>
          <w:p>
            <w:pPr>
              <w:spacing w:after="0"/>
              <w:rPr>
                <w:sz w:val="20"/>
                <w:szCs w:val="20"/>
                <w:color w:val="auto"/>
              </w:rPr>
            </w:pPr>
            <w:r>
              <w:rPr>
                <w:rFonts w:ascii="Arial" w:cs="Arial" w:eastAsia="Arial" w:hAnsi="Arial"/>
                <w:sz w:val="18"/>
                <w:szCs w:val="18"/>
                <w:color w:val="auto"/>
              </w:rPr>
              <w:t>U.S.</w:t>
            </w:r>
          </w:p>
        </w:tc>
        <w:tc>
          <w:tcPr>
            <w:tcW w:w="18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1,381</w:t>
            </w:r>
          </w:p>
        </w:tc>
        <w:tc>
          <w:tcPr>
            <w:tcW w:w="24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(36)</w:t>
            </w:r>
          </w:p>
        </w:tc>
        <w:tc>
          <w:tcPr>
            <w:tcW w:w="2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3,166</w:t>
            </w: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Non U.S.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20" w:type="dxa"/>
            <w:vAlign w:val="bottom"/>
          </w:tcPr>
          <w:p>
            <w:pPr>
              <w:spacing w:after="0"/>
              <w:rPr>
                <w:sz w:val="20"/>
                <w:szCs w:val="20"/>
                <w:color w:val="auto"/>
              </w:rPr>
            </w:pPr>
          </w:p>
        </w:tc>
        <w:tc>
          <w:tcPr>
            <w:tcW w:w="2560" w:type="dxa"/>
            <w:vAlign w:val="bottom"/>
            <w:shd w:val="clear" w:color="auto" w:fill="FFC080"/>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1,693</w:t>
            </w:r>
          </w:p>
        </w:tc>
        <w:tc>
          <w:tcPr>
            <w:tcW w:w="24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104</w:t>
            </w:r>
          </w:p>
        </w:tc>
        <w:tc>
          <w:tcPr>
            <w:tcW w:w="2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3,222</w:t>
            </w: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FFC080"/>
            </w:tcBorders>
            <w:shd w:val="clear" w:color="auto" w:fill="FFC08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FFC080"/>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FFC080"/>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FFC080"/>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December 31, 2010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December 31, 2009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FFC080"/>
          </w:tcPr>
          <w:p>
            <w:pPr>
              <w:spacing w:after="0"/>
              <w:rPr>
                <w:sz w:val="18"/>
                <w:szCs w:val="18"/>
                <w:color w:val="auto"/>
              </w:rPr>
            </w:pPr>
          </w:p>
        </w:tc>
        <w:tc>
          <w:tcPr>
            <w:tcW w:w="1360" w:type="dxa"/>
            <w:vAlign w:val="bottom"/>
            <w:tcBorders>
              <w:top w:val="single" w:sz="8" w:color="auto"/>
            </w:tcBorders>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040" w:type="dxa"/>
            <w:vAlign w:val="bottom"/>
            <w:tcBorders>
              <w:top w:val="single" w:sz="8" w:color="auto"/>
            </w:tcBorders>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U.S. 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U.S. State</w:t>
            </w:r>
          </w:p>
        </w:tc>
        <w:tc>
          <w:tcPr>
            <w:tcW w:w="12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2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1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Non-U.S.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FFC080"/>
            </w:tcBorders>
            <w:shd w:val="clear" w:color="auto" w:fill="FFC080"/>
          </w:tcPr>
          <w:p>
            <w:pPr>
              <w:ind w:left="320"/>
              <w:spacing w:after="0"/>
              <w:rPr>
                <w:sz w:val="20"/>
                <w:szCs w:val="20"/>
                <w:color w:val="auto"/>
              </w:rPr>
            </w:pPr>
            <w:r>
              <w:rPr>
                <w:rFonts w:ascii="Arial" w:cs="Arial" w:eastAsia="Arial" w:hAnsi="Arial"/>
                <w:sz w:val="18"/>
                <w:szCs w:val="18"/>
                <w:color w:val="auto"/>
              </w:rPr>
              <w:t>Total current</w:t>
            </w:r>
          </w:p>
        </w:tc>
        <w:tc>
          <w:tcPr>
            <w:tcW w:w="120" w:type="dxa"/>
            <w:vAlign w:val="bottom"/>
            <w:tcBorders>
              <w:bottom w:val="single" w:sz="8" w:color="auto"/>
            </w:tcBorders>
            <w:shd w:val="clear" w:color="auto" w:fill="FFC080"/>
          </w:tcPr>
          <w:p>
            <w:pPr>
              <w:spacing w:after="0"/>
              <w:rPr>
                <w:sz w:val="19"/>
                <w:szCs w:val="19"/>
                <w:color w:val="auto"/>
              </w:rPr>
            </w:pPr>
          </w:p>
        </w:tc>
        <w:tc>
          <w:tcPr>
            <w:tcW w:w="144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617</w:t>
            </w:r>
          </w:p>
        </w:tc>
        <w:tc>
          <w:tcPr>
            <w:tcW w:w="8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42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160" w:type="dxa"/>
            <w:vAlign w:val="bottom"/>
            <w:tcBorders>
              <w:bottom w:val="single" w:sz="8" w:color="auto"/>
            </w:tcBorders>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FFC080"/>
          </w:tcPr>
          <w:p>
            <w:pPr>
              <w:spacing w:after="0"/>
              <w:rPr>
                <w:sz w:val="18"/>
                <w:szCs w:val="18"/>
                <w:color w:val="auto"/>
              </w:rPr>
            </w:pPr>
          </w:p>
        </w:tc>
        <w:tc>
          <w:tcPr>
            <w:tcW w:w="136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0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U.S. Federal</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U.S. State</w:t>
            </w:r>
          </w:p>
        </w:tc>
        <w:tc>
          <w:tcPr>
            <w:tcW w:w="120" w:type="dxa"/>
            <w:vAlign w:val="bottom"/>
            <w:tcBorders>
              <w:bottom w:val="single" w:sz="8" w:color="auto"/>
            </w:tcBorders>
            <w:shd w:val="clear" w:color="auto" w:fill="FFC080"/>
          </w:tcPr>
          <w:p>
            <w:pPr>
              <w:spacing w:after="0"/>
              <w:rPr>
                <w:sz w:val="19"/>
                <w:szCs w:val="19"/>
                <w:color w:val="auto"/>
              </w:rPr>
            </w:pPr>
          </w:p>
        </w:tc>
        <w:tc>
          <w:tcPr>
            <w:tcW w:w="144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420" w:type="dxa"/>
            <w:vAlign w:val="bottom"/>
            <w:tcBorders>
              <w:bottom w:val="single" w:sz="8" w:color="auto"/>
            </w:tcBorders>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160" w:type="dxa"/>
            <w:vAlign w:val="bottom"/>
            <w:tcBorders>
              <w:bottom w:val="single" w:sz="8" w:color="auto"/>
            </w:tcBorders>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Change in deferred before valuation allowance</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Borders>
              <w:bottom w:val="single" w:sz="8" w:color="auto"/>
            </w:tcBorders>
            <w:shd w:val="clear" w:color="auto" w:fill="FFC080"/>
          </w:tcPr>
          <w:p>
            <w:pPr>
              <w:spacing w:after="0"/>
              <w:rPr>
                <w:sz w:val="19"/>
                <w:szCs w:val="19"/>
                <w:color w:val="auto"/>
              </w:rPr>
            </w:pPr>
          </w:p>
        </w:tc>
        <w:tc>
          <w:tcPr>
            <w:tcW w:w="1440" w:type="dxa"/>
            <w:vAlign w:val="bottom"/>
            <w:tcBorders>
              <w:bottom w:val="single" w:sz="8" w:color="auto"/>
            </w:tcBorders>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420" w:type="dxa"/>
            <w:vAlign w:val="bottom"/>
            <w:tcBorders>
              <w:bottom w:val="single" w:sz="8" w:color="auto"/>
            </w:tcBorders>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160" w:type="dxa"/>
            <w:vAlign w:val="bottom"/>
            <w:tcBorders>
              <w:bottom w:val="single" w:sz="8" w:color="auto"/>
            </w:tcBorders>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(927)</w:t>
            </w:r>
          </w:p>
        </w:tc>
        <w:tc>
          <w:tcPr>
            <w:tcW w:w="8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FFC080"/>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681</w:t>
            </w:r>
          </w:p>
        </w:tc>
        <w:tc>
          <w:tcPr>
            <w:tcW w:w="2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320</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(995)</w:t>
            </w:r>
          </w:p>
        </w:tc>
        <w:tc>
          <w:tcPr>
            <w:tcW w:w="80" w:type="dxa"/>
            <w:vAlign w:val="bottom"/>
            <w:shd w:val="clear" w:color="auto" w:fill="FFC08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December 31, 2010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December 31, 2009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June 30, 2009</w:t>
            </w: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U.S. federal statutory income tax rate at 34.0 percent</w:t>
            </w:r>
          </w:p>
        </w:tc>
        <w:tc>
          <w:tcPr>
            <w:tcW w:w="100" w:type="dxa"/>
            <w:vAlign w:val="bottom"/>
            <w:shd w:val="clear" w:color="auto" w:fill="FFC080"/>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(576)</w:t>
            </w:r>
          </w:p>
        </w:tc>
        <w:tc>
          <w:tcPr>
            <w:tcW w:w="18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(36)</w:t>
            </w:r>
          </w:p>
        </w:tc>
        <w:tc>
          <w:tcPr>
            <w:tcW w:w="18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(1,096)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6"/>
              </w:rPr>
              <w:t>State income tax (provision) benefit, net of federal income</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Non-deductible ASC Topic 718 compensation expense</w:t>
            </w:r>
          </w:p>
        </w:tc>
        <w:tc>
          <w:tcPr>
            <w:tcW w:w="100" w:type="dxa"/>
            <w:vAlign w:val="bottom"/>
            <w:shd w:val="clear" w:color="auto" w:fill="FFC080"/>
          </w:tcPr>
          <w:p>
            <w:pPr>
              <w:spacing w:after="0"/>
              <w:rPr>
                <w:sz w:val="18"/>
                <w:szCs w:val="18"/>
                <w:color w:val="auto"/>
              </w:rPr>
            </w:pPr>
          </w:p>
        </w:tc>
        <w:tc>
          <w:tcPr>
            <w:tcW w:w="150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(20)</w:t>
            </w:r>
          </w:p>
        </w:tc>
        <w:tc>
          <w:tcPr>
            <w:tcW w:w="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2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Foreign earnings or losses taxed at different rates</w:t>
            </w:r>
          </w:p>
        </w:tc>
        <w:tc>
          <w:tcPr>
            <w:tcW w:w="100" w:type="dxa"/>
            <w:vAlign w:val="bottom"/>
            <w:shd w:val="clear" w:color="auto" w:fill="FFC080"/>
          </w:tcPr>
          <w:p>
            <w:pPr>
              <w:spacing w:after="0"/>
              <w:rPr>
                <w:sz w:val="18"/>
                <w:szCs w:val="18"/>
                <w:color w:val="auto"/>
              </w:rPr>
            </w:pPr>
          </w:p>
        </w:tc>
        <w:tc>
          <w:tcPr>
            <w:tcW w:w="15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57</w:t>
            </w:r>
          </w:p>
        </w:tc>
        <w:tc>
          <w:tcPr>
            <w:tcW w:w="6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48</w:t>
            </w:r>
          </w:p>
        </w:tc>
        <w:tc>
          <w:tcPr>
            <w:tcW w:w="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2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Non-deductible items and other</w:t>
            </w:r>
          </w:p>
        </w:tc>
        <w:tc>
          <w:tcPr>
            <w:tcW w:w="100" w:type="dxa"/>
            <w:vAlign w:val="bottom"/>
            <w:shd w:val="clear" w:color="auto" w:fill="FFC080"/>
          </w:tcPr>
          <w:p>
            <w:pPr>
              <w:spacing w:after="0"/>
              <w:rPr>
                <w:sz w:val="18"/>
                <w:szCs w:val="18"/>
                <w:color w:val="auto"/>
              </w:rPr>
            </w:pPr>
          </w:p>
        </w:tc>
        <w:tc>
          <w:tcPr>
            <w:tcW w:w="15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22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334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Tax (provision) benefit</w:t>
            </w:r>
          </w:p>
        </w:tc>
        <w:tc>
          <w:tcPr>
            <w:tcW w:w="100" w:type="dxa"/>
            <w:vAlign w:val="bottom"/>
            <w:shd w:val="clear" w:color="auto" w:fill="FFC080"/>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FFC080"/>
          </w:tcPr>
          <w:p>
            <w:pPr>
              <w:spacing w:after="0"/>
              <w:rPr>
                <w:sz w:val="22"/>
                <w:szCs w:val="22"/>
                <w:color w:val="auto"/>
              </w:rPr>
            </w:pPr>
          </w:p>
        </w:tc>
        <w:tc>
          <w:tcPr>
            <w:tcW w:w="60" w:type="dxa"/>
            <w:vAlign w:val="bottom"/>
            <w:shd w:val="clear" w:color="auto" w:fill="FFC080"/>
          </w:tcPr>
          <w:p>
            <w:pPr>
              <w:spacing w:after="0"/>
              <w:rPr>
                <w:sz w:val="22"/>
                <w:szCs w:val="22"/>
                <w:color w:val="auto"/>
              </w:rPr>
            </w:pPr>
          </w:p>
        </w:tc>
        <w:tc>
          <w:tcPr>
            <w:tcW w:w="12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320</w:t>
            </w:r>
          </w:p>
        </w:tc>
        <w:tc>
          <w:tcPr>
            <w:tcW w:w="18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(995)</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480" w:type="dxa"/>
            <w:vAlign w:val="bottom"/>
            <w:tcBorders>
              <w:top w:val="single" w:sz="8" w:color="FFC08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F-23</w:t>
            </w:r>
          </w:p>
        </w:tc>
        <w:tc>
          <w:tcPr>
            <w:tcW w:w="120" w:type="dxa"/>
            <w:vAlign w:val="bottom"/>
            <w:tcBorders>
              <w:top w:val="single" w:sz="8" w:color="FFC080"/>
            </w:tcBorders>
          </w:tcPr>
          <w:p>
            <w:pPr>
              <w:spacing w:after="0"/>
              <w:rPr>
                <w:sz w:val="24"/>
                <w:szCs w:val="24"/>
                <w:color w:val="auto"/>
              </w:rPr>
            </w:pPr>
          </w:p>
        </w:tc>
        <w:tc>
          <w:tcPr>
            <w:tcW w:w="60" w:type="dxa"/>
            <w:vAlign w:val="bottom"/>
            <w:tcBorders>
              <w:top w:val="single" w:sz="8" w:color="FFC08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FFC080"/>
            </w:tcBorders>
          </w:tcPr>
          <w:p>
            <w:pPr>
              <w:spacing w:after="0"/>
              <w:rPr>
                <w:sz w:val="24"/>
                <w:szCs w:val="24"/>
                <w:color w:val="auto"/>
              </w:rPr>
            </w:pPr>
          </w:p>
        </w:tc>
        <w:tc>
          <w:tcPr>
            <w:tcW w:w="40" w:type="dxa"/>
            <w:vAlign w:val="bottom"/>
            <w:tcBorders>
              <w:top w:val="single" w:sz="8" w:color="FFC08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FFC080"/>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Significant components of the net U.S. deferred income tax assets and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As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ind w:left="940"/>
              <w:spacing w:after="0"/>
              <w:rPr>
                <w:sz w:val="20"/>
                <w:szCs w:val="20"/>
                <w:color w:val="auto"/>
              </w:rPr>
            </w:pPr>
            <w:r>
              <w:rPr>
                <w:rFonts w:ascii="Arial" w:cs="Arial" w:eastAsia="Arial" w:hAnsi="Arial"/>
                <w:sz w:val="14"/>
                <w:szCs w:val="14"/>
                <w:b w:val="1"/>
                <w:bCs w:val="1"/>
                <w:color w:val="auto"/>
              </w:rPr>
              <w:t>As 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2010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 2009</w:t>
            </w: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Current</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Long-term</w:t>
            </w:r>
          </w:p>
        </w:tc>
        <w:tc>
          <w:tcPr>
            <w:tcW w:w="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Current</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Long-term</w:t>
            </w:r>
          </w:p>
        </w:tc>
        <w:tc>
          <w:tcPr>
            <w:tcW w:w="1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FFC080"/>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FC080"/>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FFC080"/>
          </w:tcPr>
          <w:p>
            <w:pPr>
              <w:spacing w:after="0"/>
              <w:rPr>
                <w:sz w:val="18"/>
                <w:szCs w:val="18"/>
                <w:color w:val="auto"/>
              </w:rPr>
            </w:pPr>
          </w:p>
        </w:tc>
        <w:tc>
          <w:tcPr>
            <w:tcW w:w="3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Inventory reserve</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9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Accumulated research and development credits</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FFC080"/>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9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Deductible ASC 718 compensation expense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Allowance for sales returns and doubtful accounts</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9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Difference in property and equipment basis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9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FFC080"/>
          </w:tcPr>
          <w:p>
            <w:pPr>
              <w:spacing w:after="0"/>
              <w:rPr>
                <w:sz w:val="18"/>
                <w:szCs w:val="18"/>
                <w:color w:val="auto"/>
              </w:rPr>
            </w:pP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9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4480" w:type="dxa"/>
            <w:vAlign w:val="bottom"/>
            <w:shd w:val="clear" w:color="auto" w:fill="FFC08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FFC080"/>
            </w:tcBorders>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FFC08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Total net deferred income tax asset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1,917</w:t>
            </w:r>
          </w:p>
        </w:tc>
      </w:tr>
      <w:tr>
        <w:trPr>
          <w:trHeight w:val="216"/>
        </w:trPr>
        <w:tc>
          <w:tcPr>
            <w:tcW w:w="20" w:type="dxa"/>
            <w:vAlign w:val="bottom"/>
          </w:tcPr>
          <w:p>
            <w:pPr>
              <w:spacing w:after="0"/>
              <w:rPr>
                <w:sz w:val="18"/>
                <w:szCs w:val="18"/>
                <w:color w:val="auto"/>
              </w:rPr>
            </w:pPr>
          </w:p>
        </w:tc>
        <w:tc>
          <w:tcPr>
            <w:tcW w:w="4480" w:type="dxa"/>
            <w:vAlign w:val="bottom"/>
            <w:shd w:val="clear" w:color="auto" w:fill="FFC080"/>
          </w:tcPr>
          <w:p>
            <w:pPr>
              <w:ind w:left="12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FFC080"/>
          </w:tcPr>
          <w:p>
            <w:pPr>
              <w:spacing w:after="0"/>
              <w:rPr>
                <w:sz w:val="18"/>
                <w:szCs w:val="18"/>
                <w:color w:val="auto"/>
              </w:rPr>
            </w:pPr>
          </w:p>
        </w:tc>
        <w:tc>
          <w:tcPr>
            <w:tcW w:w="960" w:type="dxa"/>
            <w:vAlign w:val="bottom"/>
            <w:tcBorders>
              <w:right w:val="single" w:sz="8" w:color="FFC080"/>
            </w:tcBorders>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2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(944)</w:t>
            </w:r>
          </w:p>
        </w:tc>
        <w:tc>
          <w:tcPr>
            <w:tcW w:w="26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(880)</w:t>
            </w:r>
          </w:p>
        </w:tc>
      </w:tr>
      <w:tr>
        <w:trPr>
          <w:trHeight w:val="27"/>
        </w:trPr>
        <w:tc>
          <w:tcPr>
            <w:tcW w:w="20" w:type="dxa"/>
            <w:vAlign w:val="bottom"/>
          </w:tcPr>
          <w:p>
            <w:pPr>
              <w:spacing w:after="0"/>
              <w:rPr>
                <w:sz w:val="2"/>
                <w:szCs w:val="2"/>
                <w:color w:val="auto"/>
              </w:rPr>
            </w:pPr>
          </w:p>
        </w:tc>
        <w:tc>
          <w:tcPr>
            <w:tcW w:w="4480" w:type="dxa"/>
            <w:vAlign w:val="bottom"/>
            <w:shd w:val="clear" w:color="auto" w:fill="FFC08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tcBorders>
              <w:right w:val="single" w:sz="8" w:color="FFC080"/>
            </w:tcBorders>
            <w:shd w:val="clear" w:color="auto" w:fill="000000"/>
          </w:tcPr>
          <w:p>
            <w:pPr>
              <w:spacing w:after="0"/>
              <w:rPr>
                <w:sz w:val="2"/>
                <w:szCs w:val="2"/>
                <w:color w:val="auto"/>
              </w:rPr>
            </w:pPr>
          </w:p>
        </w:tc>
        <w:tc>
          <w:tcPr>
            <w:tcW w:w="2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FFC08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Net deferred income tax asset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has not provided for U.S. deferred income taxes or foreign withholding taxes on undistributed earnings of its non-U.S. subsidiaries located in Hong Kong and the United Kingdom since these earnings are intended to be reinvested indefinitely in operations in the respective countries, in accordance with guidelines contained in ASC Topic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It is not practical to estimate the amount of additional taxes that might be payable on such undistributed earnings.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ASC Topic 740, the Company analyzed its valuation allowance at December 31, 2010 and determined that, based upon available evidence, it is more likely than not that certain of its deferred tax assets may not be realized and, as such, has established a valuation allowance against certain deferred tax assets. These deferred tax assets include capital loss carryovers and state research and development credits.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31, 2010, the Company had federal alternative minimum tax (“AMT”) credit carryforwards of $409 which have no expiration date. The Company had federal and state research credit carryovers of $405 and $912, respectively, which will begin to expire in 2030 and 2016, respectively, if not utilized. The Company has federal and state net operating loss (“NOL”) carryforwards of approximately $1,133 and $1,491, respectively. The federal NOL carryforwards will begin to expire in 2028. The state NOL carryforwards will expire depending on the rules of the various states to which the carryovers relate.</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During the six months ended December 31, 2009, the Company acquired all of the stock of NetStreams, Inc. (“NetStreams”). At the time of the acquisition, NetStreams had approximately $29,383 in federal NOL carryovers. Due to change in ownership limitations imposed by Internal Revenue Code Section 382, the Company will only be able to utilize approximately $1,207 of these NOL carryovers and only approximately $63 per year.</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adopted the provisions of Topic 740 related to uncertain tax positions on July 1, 2007. This interpretation clarifies the accounting for uncertain tax positions and requires companies to recognize the impact of a tax position in their financial statements if that position is more likely than not of being sustained on audit, based on the technical merits of the position.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2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total liability for unrecognized tax benefits at December 31, 2010 and 2009 and June 30, 2009, including temporary tax differences, was $421, $1,304 and $1,262, respectively, of which $421, $1,232 and $1,189, respectively, would favorably impact our effective tax rate if recognized. As of December 31, 2010 and 2009 and June 30, 2009, the balance of this liability included $17, $84 and $63, respectively, of interest and penalties related to unrecognized tax benefits.</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In the statement of operations for the year ended December 31, 2010, the six months ended December 31, 2009, and the year ended June 30, 2009, we recorded expense (benefit) of ($67), $21, and $6, respectively, related to interest expense and penalties for unrecognized tax benefits. We account for interest expense and penalties for unrecognized tax benefits as part of our income tax provision. We do not anticipate that unrecognized tax benefits will significantly increase or decrease within 12 months of the reporting date.</w:t>
      </w:r>
    </w:p>
    <w:p>
      <w:pPr>
        <w:spacing w:after="0" w:line="19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twelve month period ended December 31, 2010, we decreased our liability for unrecognized tax benefits by $883. This decrease in our unrecognized tax benefits is a mainly a result of a settlement with taxing authorities on the utilization of certain tax attributes for which we typically record an unrecognized tax benefit. We recorded a benefit related to the settlement of $937, of which $864 favorably impacted our effective tax rate. We also recorded an unrecognized tax benefit related to the lapse of applicable statute of limitations of $99, of which $99 favorably impacted our effective tax rate. We also added $220 to our liability for unrecognized tax benefits, of which $220 had an unfavorable impact on our effective tax rate.</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six month period ended December 31, 2009, we increased our liability for unrecognized tax benefits by $42. Of our total liability for unrecognized tax benefits, approximately $49 would favorably impact our effective tax rate if recognized. Included in this amount is approximately $21 for the six months ended December 31, 2009 related to interest expense and penalties. We did not record any unrecognized tax benefit related to the lapse of applicable statutes of limitations during this six month period.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 2009</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June 30, 2009</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FFC080"/>
          </w:tcPr>
          <w:p>
            <w:pPr>
              <w:spacing w:after="0"/>
              <w:rPr>
                <w:sz w:val="20"/>
                <w:szCs w:val="20"/>
                <w:color w:val="auto"/>
              </w:rPr>
            </w:pPr>
            <w:r>
              <w:rPr>
                <w:rFonts w:ascii="Arial" w:cs="Arial" w:eastAsia="Arial" w:hAnsi="Arial"/>
                <w:sz w:val="18"/>
                <w:szCs w:val="18"/>
                <w:color w:val="auto"/>
                <w:w w:val="97"/>
              </w:rPr>
              <w:t>Unrecognized tax benefits, beginning balance</w:t>
            </w:r>
          </w:p>
        </w:tc>
        <w:tc>
          <w:tcPr>
            <w:tcW w:w="4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FFC080"/>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1,199</w:t>
            </w:r>
          </w:p>
        </w:tc>
        <w:tc>
          <w:tcPr>
            <w:tcW w:w="20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FFC080"/>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Tax positions taken in a prior period: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FFC080"/>
          </w:tcPr>
          <w:p>
            <w:pPr>
              <w:ind w:left="160"/>
              <w:spacing w:after="0"/>
              <w:rPr>
                <w:sz w:val="20"/>
                <w:szCs w:val="20"/>
                <w:color w:val="auto"/>
              </w:rPr>
            </w:pPr>
            <w:r>
              <w:rPr>
                <w:rFonts w:ascii="Arial" w:cs="Arial" w:eastAsia="Arial" w:hAnsi="Arial"/>
                <w:sz w:val="18"/>
                <w:szCs w:val="18"/>
                <w:color w:val="auto"/>
              </w:rPr>
              <w:t>Gross increases</w:t>
            </w:r>
          </w:p>
        </w:tc>
        <w:tc>
          <w:tcPr>
            <w:tcW w:w="3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8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Gross decreases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FFC080"/>
          </w:tcPr>
          <w:p>
            <w:pPr>
              <w:spacing w:after="0"/>
              <w:rPr>
                <w:sz w:val="20"/>
                <w:szCs w:val="20"/>
                <w:color w:val="auto"/>
              </w:rPr>
            </w:pPr>
            <w:r>
              <w:rPr>
                <w:rFonts w:ascii="Arial" w:cs="Arial" w:eastAsia="Arial" w:hAnsi="Arial"/>
                <w:sz w:val="18"/>
                <w:szCs w:val="18"/>
                <w:color w:val="auto"/>
              </w:rPr>
              <w:t>Tax positions taken in the current period:</w:t>
            </w:r>
          </w:p>
        </w:tc>
        <w:tc>
          <w:tcPr>
            <w:tcW w:w="3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8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0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Gross increases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FFC080"/>
          </w:tcPr>
          <w:p>
            <w:pPr>
              <w:spacing w:after="0"/>
              <w:rPr>
                <w:sz w:val="20"/>
                <w:szCs w:val="20"/>
                <w:color w:val="auto"/>
              </w:rPr>
            </w:pPr>
            <w:r>
              <w:rPr>
                <w:rFonts w:ascii="Arial" w:cs="Arial" w:eastAsia="Arial" w:hAnsi="Arial"/>
                <w:sz w:val="18"/>
                <w:szCs w:val="18"/>
                <w:color w:val="auto"/>
              </w:rPr>
              <w:t>Settlements with taxing authorities</w:t>
            </w:r>
          </w:p>
        </w:tc>
        <w:tc>
          <w:tcPr>
            <w:tcW w:w="3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5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0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Lapse of applicable statute of limitations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3580" w:type="dxa"/>
            <w:vAlign w:val="bottom"/>
            <w:shd w:val="clear" w:color="auto" w:fill="FFC080"/>
          </w:tcPr>
          <w:p>
            <w:pPr>
              <w:spacing w:after="0"/>
              <w:rPr>
                <w:sz w:val="20"/>
                <w:szCs w:val="20"/>
                <w:color w:val="auto"/>
              </w:rPr>
            </w:pPr>
            <w:r>
              <w:rPr>
                <w:rFonts w:ascii="Arial" w:cs="Arial" w:eastAsia="Arial" w:hAnsi="Arial"/>
                <w:sz w:val="18"/>
                <w:szCs w:val="18"/>
                <w:color w:val="auto"/>
              </w:rPr>
              <w:t>Unrecognized tax benefits, ending balance</w:t>
            </w:r>
          </w:p>
        </w:tc>
        <w:tc>
          <w:tcPr>
            <w:tcW w:w="32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400" w:type="dxa"/>
            <w:vAlign w:val="bottom"/>
            <w:tcBorders>
              <w:top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80" w:type="dxa"/>
            <w:vAlign w:val="bottom"/>
            <w:tcBorders>
              <w:top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tcBorders>
              <w:top w:val="single" w:sz="8" w:color="auto"/>
            </w:tcBorders>
            <w:shd w:val="clear" w:color="auto" w:fill="FFC080"/>
          </w:tcPr>
          <w:p>
            <w:pPr>
              <w:spacing w:after="0"/>
              <w:rPr>
                <w:sz w:val="18"/>
                <w:szCs w:val="18"/>
                <w:color w:val="auto"/>
              </w:rPr>
            </w:pPr>
          </w:p>
        </w:tc>
        <w:tc>
          <w:tcPr>
            <w:tcW w:w="1000" w:type="dxa"/>
            <w:vAlign w:val="bottom"/>
            <w:tcBorders>
              <w:top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FFC080"/>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Add: Accrual for interest and penalties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FFC080"/>
          </w:tcPr>
          <w:p>
            <w:pPr>
              <w:spacing w:after="0"/>
              <w:rPr>
                <w:sz w:val="20"/>
                <w:szCs w:val="20"/>
                <w:color w:val="auto"/>
              </w:rPr>
            </w:pPr>
            <w:r>
              <w:rPr>
                <w:rFonts w:ascii="Arial" w:cs="Arial" w:eastAsia="Arial" w:hAnsi="Arial"/>
                <w:sz w:val="18"/>
                <w:szCs w:val="18"/>
                <w:color w:val="auto"/>
              </w:rPr>
              <w:t>Total Liability</w:t>
            </w:r>
          </w:p>
        </w:tc>
        <w:tc>
          <w:tcPr>
            <w:tcW w:w="4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FFC080"/>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1,304</w:t>
            </w:r>
          </w:p>
        </w:tc>
        <w:tc>
          <w:tcPr>
            <w:tcW w:w="20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FFC080"/>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FFC080"/>
            </w:tcBorders>
            <w:shd w:val="clear" w:color="auto" w:fill="FFC080"/>
          </w:tcPr>
          <w:p>
            <w:pPr>
              <w:spacing w:after="0" w:line="20" w:lineRule="exact"/>
              <w:rPr>
                <w:sz w:val="1"/>
                <w:szCs w:val="1"/>
                <w:color w:val="auto"/>
              </w:rPr>
            </w:pPr>
          </w:p>
        </w:tc>
        <w:tc>
          <w:tcPr>
            <w:tcW w:w="32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U.S. federal income tax returns for 2007 through 2010 are open tax years. The Company also files in various state and foreign jurisdictions. With few exceptions, the Company is no longer subject to federal, state, or non-U.S. income tax examinations by tax authorities for years prior to 2007. The Company recently completed its audit by the Internal Revenue Service (“IRS”) for its 2007 tax return. As a result of the audit by the IRS there were no material adjustments made to the Company’s tax return.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dollars, except per share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Sales Information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December 31, 2010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December 31, 2009</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June 30, 2009</w:t>
            </w:r>
          </w:p>
        </w:tc>
        <w:tc>
          <w:tcPr>
            <w:tcW w:w="1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FFC080"/>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26,123</w:t>
            </w:r>
          </w:p>
        </w:tc>
        <w:tc>
          <w:tcPr>
            <w:tcW w:w="20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10,774</w:t>
            </w: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FC080"/>
          </w:tcPr>
          <w:p>
            <w:pPr>
              <w:ind w:left="600"/>
              <w:spacing w:after="0"/>
              <w:rPr>
                <w:sz w:val="20"/>
                <w:szCs w:val="20"/>
                <w:color w:val="auto"/>
              </w:rPr>
            </w:pPr>
            <w:r>
              <w:rPr>
                <w:rFonts w:ascii="Arial" w:cs="Arial" w:eastAsia="Arial" w:hAnsi="Arial"/>
                <w:sz w:val="18"/>
                <w:szCs w:val="18"/>
                <w:color w:val="auto"/>
              </w:rPr>
              <w:t>24,214</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3"/>
              </w:rPr>
              <w:t>11,486</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FFC080"/>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FFC080"/>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FFC080"/>
          </w:tcPr>
          <w:p>
            <w:pPr>
              <w:jc w:val="right"/>
              <w:spacing w:after="0"/>
              <w:rPr>
                <w:sz w:val="20"/>
                <w:szCs w:val="20"/>
                <w:color w:val="auto"/>
              </w:rPr>
            </w:pPr>
            <w:r>
              <w:rPr>
                <w:rFonts w:ascii="Arial" w:cs="Arial" w:eastAsia="Arial" w:hAnsi="Arial"/>
                <w:sz w:val="18"/>
                <w:szCs w:val="18"/>
                <w:color w:val="auto"/>
              </w:rPr>
              <w:t>41,284</w:t>
            </w:r>
          </w:p>
        </w:tc>
        <w:tc>
          <w:tcPr>
            <w:tcW w:w="80" w:type="dxa"/>
            <w:vAlign w:val="bottom"/>
            <w:shd w:val="clear" w:color="auto" w:fill="FFC080"/>
          </w:tcPr>
          <w:p>
            <w:pPr>
              <w:spacing w:after="0"/>
              <w:rPr>
                <w:sz w:val="20"/>
                <w:szCs w:val="20"/>
                <w:color w:val="auto"/>
              </w:rPr>
            </w:pPr>
          </w:p>
        </w:tc>
        <w:tc>
          <w:tcPr>
            <w:tcW w:w="200" w:type="dxa"/>
            <w:vAlign w:val="bottom"/>
            <w:shd w:val="clear" w:color="auto" w:fill="FFC080"/>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16,836</w:t>
            </w:r>
          </w:p>
        </w:tc>
        <w:tc>
          <w:tcPr>
            <w:tcW w:w="180" w:type="dxa"/>
            <w:vAlign w:val="bottom"/>
            <w:shd w:val="clear" w:color="auto" w:fill="FFC080"/>
          </w:tcPr>
          <w:p>
            <w:pPr>
              <w:spacing w:after="0"/>
              <w:rPr>
                <w:sz w:val="20"/>
                <w:szCs w:val="20"/>
                <w:color w:val="auto"/>
              </w:rPr>
            </w:pP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FC080"/>
          </w:tcPr>
          <w:p>
            <w:pPr>
              <w:ind w:left="600"/>
              <w:spacing w:after="0"/>
              <w:rPr>
                <w:sz w:val="20"/>
                <w:szCs w:val="20"/>
                <w:color w:val="auto"/>
              </w:rPr>
            </w:pPr>
            <w:r>
              <w:rPr>
                <w:rFonts w:ascii="Arial" w:cs="Arial" w:eastAsia="Arial" w:hAnsi="Arial"/>
                <w:sz w:val="18"/>
                <w:szCs w:val="18"/>
                <w:color w:val="auto"/>
              </w:rPr>
              <w:t>35,700</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FFC080"/>
            </w:tcBorders>
            <w:shd w:val="clear" w:color="auto" w:fill="FFC08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Company is evaluating the implications of the natural disaster in Japan that has caused supply chain disruption. Although, we didn't suffer any direct losses, our electronics manufacturing services provider's ability to source materials for producing some of our products may be impacted if production in Japan does not return to normalcy in the near future. This may lead to shortfalls in the production and supply of our products.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year ended December 31, 2010 for subsequent events through the date the Financial Statements were available to be issued. The Company is not aware of any other subsequent events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Gentner Communications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BYLAWS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Resolution dated August 24, 1993 and amended by the resolution of Board of Directors on November 11, 2009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OFFICES</w:t>
      </w:r>
    </w:p>
    <w:p>
      <w:pPr>
        <w:spacing w:after="0" w:line="22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1.1 Business Offices. The principal office of the corporation shall be located in such place as shall be designated by the board of directors. The corporation may have such other offices as the board of directors may designate or as the business of the corporation may require from time to time.</w:t>
      </w:r>
    </w:p>
    <w:p>
      <w:pPr>
        <w:spacing w:after="0" w:line="3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1.2 Registered Office. The registered office of the corporation required to be kept by the Utah Revised Business Corporation Act (as it may be amended from time to time, the "Act") shall be located within the State of Utah and may be, but need not be, identical with the principal office. The address of the registered office may be changed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SHAREHOLDERS</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2.1 Annual Meeting. The annual meeting of the shareholders shall be held at such date and time as shall be fixed by the board of directors, for the purpose of electing directors and for the transaction of such other business as may come before the meeting.</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2.2 Special Meetings. Special meetings of the shareholders, for any purpose or purposes described in the meeting notice, may be called by the chairman of the board of directors or by the president, and shall be called by the president at the written request of the directors of not less than one-tenth of all the votes entitled to be cast on any issue proposed to be considered at the meeting.</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2.3 Place of Meeting. The board of directors may designate any place as the place of meeting for any annual or any special meeting of the shareholders. If no designation is made by the directors, the place of meeting shall be the principal office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2.4 Notice of Meeting</w:t>
      </w:r>
    </w:p>
    <w:p>
      <w:pPr>
        <w:spacing w:after="0" w:line="225" w:lineRule="exact"/>
        <w:rPr>
          <w:sz w:val="20"/>
          <w:szCs w:val="20"/>
          <w:color w:val="auto"/>
        </w:rPr>
      </w:pPr>
    </w:p>
    <w:p>
      <w:pPr>
        <w:ind w:right="60" w:firstLine="8"/>
        <w:spacing w:after="0" w:line="25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Content and Mailings Requirements. Written notice stating the date, time and place of each annual or special shareholder meeting shall be delivered no fewer than 10 nor more than 60 days before the date of the meeting, either personally or by mail, by or at the direction of the president, the board of directors, or other persons calling the meeting, to each shareholder of record entitled to vote at such meeting and to any other shareholder entitled by the Act or the articles of incorporation to receive notice of the meeting. Notice of special shareholder meetings shall include a description of the purpose or purposes for which the meeting is called.</w:t>
      </w:r>
    </w:p>
    <w:p>
      <w:pPr>
        <w:spacing w:after="0" w:line="188" w:lineRule="exact"/>
        <w:rPr>
          <w:rFonts w:ascii="Arial" w:cs="Arial" w:eastAsia="Arial" w:hAnsi="Arial"/>
          <w:sz w:val="18"/>
          <w:szCs w:val="18"/>
          <w:color w:val="auto"/>
        </w:rPr>
      </w:pPr>
    </w:p>
    <w:p>
      <w:pPr>
        <w:ind w:right="420" w:firstLine="8"/>
        <w:spacing w:after="0" w:line="308"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Date. Written notice shall be deemed to be effective at the earlier of (1) when mailed, if addressed to the shareholder's address shown in the corporation's current record of shareholders; or (2) when received, if hand delivered or sent by electronic or facsimile transmission.</w:t>
      </w:r>
    </w:p>
    <w:p>
      <w:pPr>
        <w:spacing w:after="0" w:line="146" w:lineRule="exact"/>
        <w:rPr>
          <w:rFonts w:ascii="Arial" w:cs="Arial" w:eastAsia="Arial" w:hAnsi="Arial"/>
          <w:sz w:val="17"/>
          <w:szCs w:val="17"/>
          <w:color w:val="auto"/>
        </w:rPr>
      </w:pPr>
    </w:p>
    <w:p>
      <w:pPr>
        <w:ind w:right="40" w:firstLine="8"/>
        <w:spacing w:after="0" w:line="26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 of Adjournment. If any shareholder meeting is adjourned to a different date, time or place, notice need not be given of the new date, time and place, if the new date, time and place is announced at the meeting before adjournment. If a new record date for the adjourned meeting is or must be fixed, then notice must be given pursuant to the requirements of this Section to shareholders of record.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2.5 Waiver of Notice</w:t>
      </w:r>
    </w:p>
    <w:p>
      <w:pPr>
        <w:spacing w:after="0" w:line="225" w:lineRule="exact"/>
        <w:rPr>
          <w:sz w:val="20"/>
          <w:szCs w:val="20"/>
          <w:color w:val="auto"/>
        </w:rPr>
      </w:pPr>
    </w:p>
    <w:p>
      <w:pPr>
        <w:ind w:right="500" w:firstLine="8"/>
        <w:spacing w:after="0" w:line="264"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Written Waiver. A shareholder may waive any notice required by the Act, the articles of incorporation or the bylaws, by a writing signed by the shareholder, entitled to the notice, which is delivered to the corporation (either before or after the date and time stated in the notice) for inclusion in the minutes or filing with the corporate records.</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Attendance at Meetings. A shareholder's attendance at a meeting:</w:t>
      </w:r>
    </w:p>
    <w:p>
      <w:pPr>
        <w:spacing w:after="0" w:line="225" w:lineRule="exact"/>
        <w:rPr>
          <w:sz w:val="20"/>
          <w:szCs w:val="20"/>
          <w:color w:val="auto"/>
        </w:rPr>
      </w:pPr>
    </w:p>
    <w:p>
      <w:pPr>
        <w:ind w:right="20" w:firstLine="8"/>
        <w:spacing w:after="0" w:line="259"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waives objection to lack of notice or defective notice of the meeting, unless the shareholder at the beginning of the meeting objects to holding the meeting or transacting business at the meeting because of lack of notice or effective notice; and (2) waives objection to consideration of a particular matter at the meeting that is not within the purpose or purposes described in the meeting notice, unless the shareholder objects to considering the matter when it is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2.6 Record Date</w:t>
      </w:r>
    </w:p>
    <w:p>
      <w:pPr>
        <w:spacing w:after="0" w:line="225" w:lineRule="exact"/>
        <w:rPr>
          <w:sz w:val="20"/>
          <w:szCs w:val="20"/>
          <w:color w:val="auto"/>
        </w:rPr>
      </w:pPr>
    </w:p>
    <w:p>
      <w:pPr>
        <w:ind w:right="20" w:firstLine="8"/>
        <w:spacing w:after="0" w:line="271"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Fixing of Record Date. For the purpose of determining shareholders entitled to notice of or to vote at any meeting of shareholders, or shareholders entitled to receive payment of any distribution, or in order to make a determination of shareholders for any other proper purpose, the board of directors may fix in advance a date as the record date. Such record date shall not be more than 70 days prior to the date on which the particular action requiring such determination of shareholders is to be taken. If no record date is so fixed by the board for the determination of shareholders entitled to notice of, or to vote at, a meeting of, shareholders, the record date for determination of such shareholders shall be at the close of business on the day before the first notice is delivered to shareholders. If no record date is fixed by the board for the determination of shareholders entitled to receive a distribution, the record date shall be the date the board authorizes the distribution. If no record date is fixed by the board for the determination of shareholders entitled to take action without a meeting, the record date shall be the date the first shareholder signs a consent.</w:t>
      </w:r>
    </w:p>
    <w:p>
      <w:pPr>
        <w:spacing w:after="0" w:line="178" w:lineRule="exact"/>
        <w:rPr>
          <w:rFonts w:ascii="Arial" w:cs="Arial" w:eastAsia="Arial" w:hAnsi="Arial"/>
          <w:sz w:val="17"/>
          <w:szCs w:val="17"/>
          <w:color w:val="auto"/>
        </w:rPr>
      </w:pPr>
    </w:p>
    <w:p>
      <w:pPr>
        <w:ind w:right="100" w:firstLine="8"/>
        <w:spacing w:after="0" w:line="26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 of Adjournment. When a determination of shareholders entitled to vote at any meeting of shareholders has been made as provided in this section, such determination shall apply to any adjournment thereof unless the board of directors fixes a new record date, which it must do if the meeting is adjourned to a date more than 120 days after the date fixed for the original meeting.</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2.7 Shareholder List. After fixing a record date for a shareholders' meeting, the corporation shall prepare a list of the names of its shareholders entitled to be given notice of the meeting. The list must be arranged by voting group and within each young group by class or series of shares, must be alphabetical within each class or series, and must show the address of, and the number of shares held by, each shareholder. The shareholder list must be available for inspection by any shareholder, beginning on the earlier of ten days before the meeting for which the list was prepared or two business days after notice of the meeting is given for which the list was prepared and continuing through the meeting and any adjournment thereof. The list shall be available at the corporation's principal office or at a place identified in the meeting notice in the city where the meeting will be held.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2.8 Shareholder Quorum and Voting Requirements</w:t>
      </w:r>
    </w:p>
    <w:p>
      <w:pPr>
        <w:spacing w:after="0" w:line="225" w:lineRule="exact"/>
        <w:rPr>
          <w:sz w:val="20"/>
          <w:szCs w:val="20"/>
          <w:color w:val="auto"/>
        </w:rPr>
      </w:pPr>
    </w:p>
    <w:p>
      <w:pPr>
        <w:ind w:right="20" w:firstLine="8"/>
        <w:spacing w:after="0" w:line="302"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Quorum. Shares entitled to vote as a separate voting group may take action on a matter at a meeting only if a quorum of those shares exists with respect to that matter. Unless the articles of incorporation or the Act provide otherwise, the number of shares of a voting group that is present at a meeting shall constitute a quorum of that voting group for action on that matter. Once a share is represented for any purpose at a meeting, it is deemed present for quorum purposes for the remainder of the meeting and for any adjournment of that meeting unless a new record date is or must be set for that adjourned meeting.</w:t>
      </w:r>
    </w:p>
    <w:p>
      <w:pPr>
        <w:spacing w:after="0" w:line="154" w:lineRule="exact"/>
        <w:rPr>
          <w:rFonts w:ascii="Arial" w:cs="Arial" w:eastAsia="Arial" w:hAnsi="Arial"/>
          <w:sz w:val="16"/>
          <w:szCs w:val="16"/>
          <w:color w:val="auto"/>
        </w:rPr>
      </w:pPr>
    </w:p>
    <w:p>
      <w:pPr>
        <w:ind w:firstLine="8"/>
        <w:spacing w:after="0" w:line="259"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Groups. If the articles of incorporation or the Act provide for voting by a single voting group on a matter, action on that matter is taken when voted upon by that voting group. If the articles of incorporation or the Act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140" w:firstLine="8"/>
        <w:spacing w:after="0" w:line="312"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Shareholder Action. If a quorum exists, action on a matter, other than the election of directors, by a voting group is approved if the votes cast within the voting group favoring the action exceed the votes cast opposing the action, unless the articles of incorporation or the Act require a greater number of affirmative votes. Directors are elected by a plurality of the votes cast by the shares entitled to vote in the election at a meeting at which a quorum is present.</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2.9 Proxies. At all meetings of shareholders, a shareholder may vote in person or by proxy which is executed in writing by the shareholder or which is executed by his or her duly authorized attorney-in-fact. Such proxy shall be filed with the secretary of the corporation or other person authorized to tabulate votes before or at the time of the meeting. No proxy shall be valid after 11 months from the date of its execution unless otherwise provided in the proxy.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2.10 Voting of Shares. Unless otherwise provided in the articles of incorporation or by applicable law, each outstanding share, regardless of class, is entitled to one vote upon each matter submitted to a vote at a meeting of shareholders. Except as provided by specific court order, no shares of the corporation owned, directly or indirectly, by a second corporation, domestic or foreign, shall be voted at any meeting or counted in determining the total number of outstanding shares at any given time for purposes of any meeting if a majority of the shares entitled to vote for the election of directors of such second corporation arc held by the corporation. The prior sentence shall not limit the power of the corporation to vote any shares, including its own shares, held by it in a fiduciary capacity.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2.11 Meetings by Telecommunications. Any or all shareholders may participate in an annual of special meeting by, or conduct the meeting through the use of, any means of communication by which all shareholders participating may hear each other during the meeting. A shareholder participating in a meeting by this means is deemed to be present in person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2.12 Action Without a Meeting</w:t>
      </w:r>
    </w:p>
    <w:p>
      <w:pPr>
        <w:spacing w:after="0" w:line="225" w:lineRule="exact"/>
        <w:rPr>
          <w:sz w:val="20"/>
          <w:szCs w:val="20"/>
          <w:color w:val="auto"/>
        </w:rPr>
      </w:pPr>
    </w:p>
    <w:p>
      <w:pPr>
        <w:ind w:right="80" w:firstLine="8"/>
        <w:spacing w:after="0" w:line="25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Written Consent. Any action which may be taken at a meeting of the shareholders may be taken without a meeting and without prior notice if one or more consents in writing, setting forth the action so taken, shall be signed by the holders of outstanding shares having not less than the minimum number of votes that would be necessary to authorize or take such action at a meeting at which all shareholders entitled to vote with respect to the subject matter thereof were present and voted. Action taken under this Section has the same effect as action taken at a meeting of shareholders and may be described as such in any document.</w:t>
      </w:r>
    </w:p>
    <w:p>
      <w:pPr>
        <w:spacing w:after="0" w:line="188" w:lineRule="exact"/>
        <w:rPr>
          <w:rFonts w:ascii="Arial" w:cs="Arial" w:eastAsia="Arial" w:hAnsi="Arial"/>
          <w:sz w:val="18"/>
          <w:szCs w:val="18"/>
          <w:color w:val="auto"/>
        </w:rPr>
      </w:pPr>
    </w:p>
    <w:p>
      <w:pPr>
        <w:ind w:right="220" w:firstLine="8"/>
        <w:spacing w:after="0" w:line="25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Post-Consent Notice. Unless the written consents of all shareholders entitled to vote have been obtained, notice of any shareholder approval without a meeting shall be given at least ten days before the consummation of the action authorized by such approval of those shareholders entitled to vote who have not consented in writing; and (2) those shareholders not entitled to vote and to whom the Act requires that notice of the proposed action be given. Any such notice must contain or be accompanied by the same material that is required under the Act to be sent in a notice of meeting at which the proposed action would have been submitted to the shareholders for action.</w:t>
      </w:r>
    </w:p>
    <w:p>
      <w:pPr>
        <w:spacing w:after="0" w:line="188" w:lineRule="exact"/>
        <w:rPr>
          <w:rFonts w:ascii="Arial" w:cs="Arial" w:eastAsia="Arial" w:hAnsi="Arial"/>
          <w:sz w:val="18"/>
          <w:szCs w:val="18"/>
          <w:color w:val="auto"/>
        </w:rPr>
      </w:pPr>
    </w:p>
    <w:p>
      <w:pPr>
        <w:ind w:right="40" w:firstLine="8"/>
        <w:spacing w:after="0" w:line="271" w:lineRule="auto"/>
        <w:tabs>
          <w:tab w:leader="none" w:pos="2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Date and Revocation of Consents. No action taken pursuant to this Section 2.12 shall be effective unless all written consents on which the corporation relies for the taking of an action are received by the corporation within a 60-day period and not revoked. Such action is effective as of the date the last written consent necessary to effect the action is received, unless all of the written consents specify a later date as the effective date of the action. If the corporation has received written consents signed by all shareholders entitled to vote with respect to the action, the effective date of the action may be any date that is specified in all the written consents as the effective date of the action. Any such writing may be received by the corporation by electronically transmitted facsimile or other form of communication providing the corporation with a complete copy thereof, including a copy of the signatures thereto. Any shareholder giving a written consent pursuant to this Section may revoke the consent by a signed writing describing the action and stating that the consent is revoked, provided that such writing is received by the corporation prior to the effective date of the action.</w:t>
      </w:r>
    </w:p>
    <w:p>
      <w:pPr>
        <w:spacing w:after="0" w:line="178" w:lineRule="exact"/>
        <w:rPr>
          <w:rFonts w:ascii="Arial" w:cs="Arial" w:eastAsia="Arial" w:hAnsi="Arial"/>
          <w:sz w:val="17"/>
          <w:szCs w:val="17"/>
          <w:color w:val="auto"/>
        </w:rPr>
      </w:pPr>
    </w:p>
    <w:p>
      <w:pPr>
        <w:ind w:right="10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Unanimous Consent for Election of Directors. Notwithstanding subsection (a) of this Section 2.12, directors may not be elected by written consent unless such consent is unanimous by all shares entitled to vote for the election of directors.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4"/>
          <w:szCs w:val="14"/>
          <w:b w:val="1"/>
          <w:bCs w:val="1"/>
          <w:color w:val="auto"/>
        </w:rPr>
        <w:t>EXHIBIT 3.2 - BYLAWS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III. BOARD OF DIRECTORS</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3.1 General Powers. All corporate powers shall be exercised by or under the authority of, and the business and affairs of the corporation shall be managed under the direction of, the board of directors.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3.2 Number, Tenure and Qualifications. The authorized number of directors shall be not less than three nor more than nine. The current number of directors shall be within the limits specified above, as determined (or as amended from time-to-time) by resolution adopted by either the shareholders or the directors. Each director shall hold office until the next annual meeting of shareholders or until, the director's earlier death, resignation or removal. However, if a director's term expires, the director shall continue to serve until his or her successor shall have been elected and qualified, or until there is a decrease in the number of directors.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3.3 Regular Meetings. The board of directors may provide, by resolution, the time and place for the holding of regular meetings without other notice than such resolution.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3.4 Special Meetings. Special meetings of the board of directors may be called by or at the request of the chairman of the board of directors or the president. The person authorized to call special meetings of the board of directors may fix any place as the place for holding any special meeting of the board of directors.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3.5 Notice of Special Meetings. Notice of the date, time and place of any special director meeting shall be given at least two days previously thereto either orally or in writing. Oral notice shall be effective when communicated in a comprehensive manner. Written notice is effective as to each director at the earlier of: (1) two days after mailing, if sent to the address of the director shown on the records of the corporation; or (2) when received, if sent by electronic or facsimile transmission. Any director may waive notice of any meeting before or after the date and time of the meeting stated in the notice. Except as provided in the next sentence, the waiver must be in writing and signed by the director entitled to the notice. A director's attendance at or participation in a meeting shall constitute a waiver of notice of such meeting, unless the director at the beginning of the meeting, or promptly upon his or her arrival, objects to holding the meeting or transacting business at the meeting because of lack of or defective notice; and does not thereafter vote for or assent to action taken at the meeting. Unless required by the articles of incorporation, neither the business to be transacted at, nor the purpose of, any special meeting of the board of directors need be specified in the notice or waiver of notice of such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3.6 Quorum and Voting</w:t>
      </w:r>
    </w:p>
    <w:p>
      <w:pPr>
        <w:spacing w:after="0" w:line="225" w:lineRule="exact"/>
        <w:rPr>
          <w:sz w:val="20"/>
          <w:szCs w:val="20"/>
          <w:color w:val="auto"/>
        </w:rPr>
      </w:pPr>
    </w:p>
    <w:p>
      <w:pPr>
        <w:ind w:right="20"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Quorum. A majority of the number of directors prescribed by resolution adopted pursuant to Section 3.2 of these Bylaws, or if no number is prescribed, the number in office immediately before the meeting begins, shall constitute a quorum for the transaction of business at any meeting of the board of directors, unless the articles of incorporation require a greater number.</w:t>
      </w:r>
    </w:p>
    <w:p>
      <w:pPr>
        <w:spacing w:after="0" w:line="181" w:lineRule="exact"/>
        <w:rPr>
          <w:rFonts w:ascii="Arial" w:cs="Arial" w:eastAsia="Arial" w:hAnsi="Arial"/>
          <w:sz w:val="18"/>
          <w:szCs w:val="18"/>
          <w:color w:val="auto"/>
        </w:rPr>
      </w:pPr>
    </w:p>
    <w:p>
      <w:pPr>
        <w:ind w:right="32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Voting. The act of the majority of the directors present at a meeting at which a quorum is present when the vote a taken shall be the act of the board of directors unless the articles of incorporation require a greater percentage.</w:t>
      </w:r>
    </w:p>
    <w:p>
      <w:pPr>
        <w:spacing w:after="0" w:line="170" w:lineRule="exact"/>
        <w:rPr>
          <w:rFonts w:ascii="Arial" w:cs="Arial" w:eastAsia="Arial" w:hAnsi="Arial"/>
          <w:sz w:val="18"/>
          <w:szCs w:val="18"/>
          <w:color w:val="auto"/>
        </w:rPr>
      </w:pPr>
    </w:p>
    <w:p>
      <w:pPr>
        <w:ind w:firstLine="8"/>
        <w:spacing w:after="0" w:line="293"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Presumption of Assent. A director who is present at a meeting of the board of directors or a committee of the board of directors when corporate action is taken is deemed to have assented to the action taken unless: (1) the director objects at the beginning of the meeting, or promptly upon his or her arrival, to holding or transacting business at the meeting and does not thereafter vote for or assent to any action taken at the meeting; (2) the director contemporaneously requests that his or her dissent or abstention as to any specific action be entered in the minutes of the meeting; or (3) the director causes written notice of his or her dissent or abstention as to any specific action be received by the presiding officer of the meeting before its adjournment of to the corporation immediately after adjournment of the meeting. The right of dissent or abstention is nor available to a director who votes in favor of the action taken.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5"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3.7 Meetings by Telecommunications. Any or all directors may participate in a regular or special meeting by, or conduct the meeting through the use of, any means of communication by which all directors participating may hear each other during the meeting. A director participating in a meeting by this means is deemed to be present in person at the meeting.</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3.8 Action Without a Meeting. Any action required or permitted to be taken by the board of directors at a meeting may be taken without a meeting if all, the directors consent to such action in writing. Action taken by written consent is effective when the last director signs the consent, unless, prior to such time, any director has revoked a consent by a signed writing received by the corporation, or unless the consent specifies a different effective date. A signed consent has the effect of an action taken at a meeting of directors and may be described as such in any document.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3.9 Resignation. A director may resign at any time by giving a written notice of resignation to the corporation. Such a resignation is effective when the notice is received by the corporation unless the notice specifies a later effective date, and the acceptance of such resignation shall not be necessary to make it effective.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3.10 Removal. The shareholders may remove one or more directors at a meeting called for that purpose if notice has been given that a purpose of the meeting is such removal. The removal may be with or without cause unless the articles of incorporation provide that directors may only be removed with cause. If a director is elected by a voting group of shareholders, only the shareholders of that voting group may participate in the vote to remove that director. A director may be removed only if the number of votes cast to remove him or her exceeds the number of votes cast not to remove him or her.</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3.11 Vacancies. Unless the articles of incorporation provide otherwise, if a vacancy occurs on the board of directors, including a vacancy resulting from an increase in the number of directors; the shareholders may fill the vacancy. During such time that the shareholders fail or are unable to fill such vacancies then and until the shareholders act: (1) the board of directors may fill the vacancy; or (2) if the directors remaining in office constitute fewer than a quorum of the board, they may fill the vacancy by the affirmative vote of a majority of all the directors remaining in office. If the vacant office was held by a director elected by a voting group of shareholders; (1) if one or more directors are elected by the same voting group, only such directors are entitled to vote to fill the vacancy if it is filled by the directors; and (2) only the holders of shares of that voting group are entitled to vote to fill the vacancy if it is filled by the shareholders. A vacancy that will occur at a specific later date (by reason of a resignation effective at a later date) may be filled before the vacancy occurs but the new director may not take office until the vacancy occurs.</w:t>
      </w:r>
    </w:p>
    <w:p>
      <w:pPr>
        <w:spacing w:after="0" w:line="17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3.12 Compensation. By resolution of the board of directors, each director may be paid his or her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3.13 Committees. The board of directors may create one or more committees and appoint members of the board of directors to serve on them. Each committee must have two or more members, who serve at the pleasure of the board of directors. Those sections of this Article 3 which govern meetings, action without meetings, notice and waiver of notice, and quorum and voting requirements of the board of directors, apply to committees and their members.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 OFFICERS</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4.1 Number. The officers of the corporation shall be a chief executive officer, a chief operating officer, a president, a chief financial officer, and a secretary, each of whom shall be appointed by the board of directors. Such other officers and assistant officers as may be deemed necessary, including any vice presidents, may also be appointed by the board of directors. If specifically authorized by the board of directors, an officer may appoint one or more officers or assistant officers. The same individual may simultaneously hold more than one office in the corporation.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4.2 Appointment and Term of Office. The officers of the corporation shall be appointed by the board of directors, for a term as determined by the board of directors. The designation of a specified term does not grant to the officer any contract rights, and the board can remove the officer at any time prior to the termination of such term. If no term is specified, the officer shall hold office until he or she resigns, dies or until he or she is removed in the manner provided in Section 4.3 of these Bylaws.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4.3 Removal. Any officer or agent may be removed by the board of directors at any time, with or without cause. Such removal shall be subject to any rights and obligations that such person may have under any contract with the corporation.</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4.4 Resignation. Any officer may resign at any time, subject to any rights or obligation under any existing contracts between the officer and the corporation, by giving notice to the president or board of directors. An officer's resignation shall be effective when received by the corporation, unless the notice specifies a later effective date, and the acceptance of such resignation shall not be necessary to make it effective.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4.5 Authority and Duties of Officers. The officers of the corporation shall have the authority and shall exercise the powers and perform the duties specified below and as may be additionally specified by the board of directors or these Bylaws, except that in each event each officer shall exercise such powers and perform such duties as may be required by law.</w:t>
      </w:r>
    </w:p>
    <w:p>
      <w:pPr>
        <w:spacing w:after="0" w:line="181" w:lineRule="exact"/>
        <w:rPr>
          <w:sz w:val="20"/>
          <w:szCs w:val="20"/>
          <w:color w:val="auto"/>
        </w:rPr>
      </w:pPr>
    </w:p>
    <w:p>
      <w:pPr>
        <w:ind w:right="100" w:firstLine="8"/>
        <w:spacing w:after="0" w:line="264"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Chief Executive Officer. The chief executive officer shall supervise and control all the business and affairs of the corporation, subject to the direction of the board of directors. Unless a chairman of the board has been appointed, the chief executive officer shall preside at all meetings of the board of directors or shareholders.</w:t>
      </w:r>
    </w:p>
    <w:p>
      <w:pPr>
        <w:spacing w:after="0" w:line="181"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Chief Operating Officer. The chief operating officer shall be responsible for overseeing all the operations of the corporation, subject to the direction of the chief executive officer.</w:t>
      </w:r>
    </w:p>
    <w:p>
      <w:pPr>
        <w:spacing w:after="0" w:line="170" w:lineRule="exact"/>
        <w:rPr>
          <w:rFonts w:ascii="Arial" w:cs="Arial" w:eastAsia="Arial" w:hAnsi="Arial"/>
          <w:sz w:val="18"/>
          <w:szCs w:val="18"/>
          <w:color w:val="auto"/>
        </w:rPr>
      </w:pPr>
    </w:p>
    <w:p>
      <w:pPr>
        <w:ind w:right="40" w:firstLine="8"/>
        <w:spacing w:after="0" w:line="273" w:lineRule="auto"/>
        <w:tabs>
          <w:tab w:leader="none" w:pos="2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President. The president shall manage the day-to-day affairs of the corporation, subject to the direction of the chief executive and chief operating officers. The president may sign, with the secretary or any other proper officer of the corporation thereunto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In general, the president shall perform all duties incident to the office of president and such other duties as may be prescribed by the board of directors from time to time.</w:t>
      </w:r>
    </w:p>
    <w:p>
      <w:pPr>
        <w:spacing w:after="0" w:line="178" w:lineRule="exact"/>
        <w:rPr>
          <w:rFonts w:ascii="Arial" w:cs="Arial" w:eastAsia="Arial" w:hAnsi="Arial"/>
          <w:sz w:val="17"/>
          <w:szCs w:val="17"/>
          <w:color w:val="auto"/>
        </w:rPr>
      </w:pPr>
    </w:p>
    <w:p>
      <w:pPr>
        <w:ind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Vice-President. If appointed, the vice-president (or if there is more than one, each vice-president) shall assist the president and shall perform such duties as may be assigned to him or her by the president or by the board of directors. If appointed, in the absence of the president or in the event of his death, inability or refusal to act, the vice-president (or in the event there is more than one vice-president, the vice presidents in the order designated at the time of their election, or in the absence of, any designation, then in the order of their appointment) shall perform the duties of the president, and when so acting, shall have all the powers of and be subject to all the restrictions upon the president. (If there is no vice-president, then the chief financial officer shall perform such duties of the president.)</w:t>
      </w:r>
    </w:p>
    <w:p>
      <w:pPr>
        <w:spacing w:after="0" w:line="193"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Chief Financial Officer. The chief financial officer shall: (i) have charge and custody of and be responsible for all funds and securities of the corporation;</w:t>
      </w:r>
    </w:p>
    <w:p>
      <w:pPr>
        <w:spacing w:after="0" w:line="46" w:lineRule="exact"/>
        <w:rPr>
          <w:rFonts w:ascii="Arial" w:cs="Arial" w:eastAsia="Arial" w:hAnsi="Arial"/>
          <w:sz w:val="16"/>
          <w:szCs w:val="16"/>
          <w:color w:val="auto"/>
        </w:rPr>
      </w:pPr>
    </w:p>
    <w:p>
      <w:pPr>
        <w:ind w:right="140" w:firstLine="8"/>
        <w:spacing w:after="0" w:line="271"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 and give receipts for moneys due and payable to the corporation from any source whatsoever, and deposit all such moneys in the name of the corporation in such banks, trust companies, or other depositaries as shall be selected by the board of directors; and (iii) in general, perform all of the duties incident to the office of chief financial officer and such other duties as from time to time may be assigned by the president or by the board of directors. If required by the board of directors, the chief financial officer shall give a bond for the faithful discharge of his or her duties in such sum and with such surety or sureties as the board of directors shall determine. A controller may be appointed to assist the chief financial officer.</w:t>
      </w:r>
    </w:p>
    <w:p>
      <w:pPr>
        <w:spacing w:after="0" w:line="178" w:lineRule="exact"/>
        <w:rPr>
          <w:rFonts w:ascii="Arial" w:cs="Arial" w:eastAsia="Arial" w:hAnsi="Arial"/>
          <w:sz w:val="17"/>
          <w:szCs w:val="17"/>
          <w:color w:val="auto"/>
        </w:rPr>
      </w:pPr>
    </w:p>
    <w:p>
      <w:pPr>
        <w:ind w:firstLine="8"/>
        <w:spacing w:after="0" w:line="291" w:lineRule="auto"/>
        <w:tabs>
          <w:tab w:leader="none" w:pos="2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Secretary. The secretary shall: (i) keep the minutes of the proceedings of the shareholders, the board of directors and any committees of the board in one or more books provided for that purpose; (ii) see that all notices are duly given in accordance with the provisions of these bylaws or as required by law; (iii) be custodian of the corporate records; (iv) when requested or required, authenticate any records of the corporation; (v) keep a register of the post office address of each shareholder which shall be furnished to the secretary by such shareholder; (vi) sign with the president, or a vice-president, certificates for shares of the corporation, the issuance of which shall have been authorized by resolution of the board of directors; (vii) have general charge of the stock transfer books of the corporation; and (viii) in general, perform all duties incident to the office of secretary and such other duties as from time to time may be assigned by the president or by the board of directors. Assistant secretaries if any, shall have the same duties and powers, subject to the supervision of the secretary.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4.6 Compensation. The salaries, bonuses, and other benefits of the officers shall be fixed from time to time by the board of directors.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 INDEMNIFICATION OF DIRECTORS, OFFICERS, AGENTS AND EMPLOYEES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5.1 Indemnification of Directors. The corporation shall indemnify any individual made a party to a proceeding because the individual is or was a director of the corporation, against liability incurred in the proceeding, but only if such indemnification is both (i) determined permissible and (ii) authorized, as such are defined in subsection (a) of this Section 5.1. Such indemnification is further subject to the limitation specified in subsection 5.1(c).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Determination and Authorization. The corporation shall not indemnify a director under this section unless:</w:t>
      </w:r>
    </w:p>
    <w:p>
      <w:pPr>
        <w:spacing w:after="0" w:line="225" w:lineRule="exact"/>
        <w:rPr>
          <w:sz w:val="20"/>
          <w:szCs w:val="20"/>
          <w:color w:val="auto"/>
        </w:rPr>
      </w:pPr>
    </w:p>
    <w:p>
      <w:pPr>
        <w:ind w:right="54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determination has been made in accordance with the procedures set forth in Section 16-10a-906(2) of the Act that the director met the standard of conduct set forth in subsection (b) below; and</w:t>
      </w:r>
    </w:p>
    <w:p>
      <w:pPr>
        <w:spacing w:after="0" w:line="170" w:lineRule="exact"/>
        <w:rPr>
          <w:rFonts w:ascii="Arial" w:cs="Arial" w:eastAsia="Arial" w:hAnsi="Arial"/>
          <w:sz w:val="18"/>
          <w:szCs w:val="18"/>
          <w:color w:val="auto"/>
        </w:rPr>
      </w:pPr>
    </w:p>
    <w:p>
      <w:pPr>
        <w:ind w:right="12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has been authorized in accordance with the procedures set forth in Section 16-10a-906(4) of the Act based on a conclusion that the expenses are reasonable, the corporation has the financial ability to make the payment, and the financial resources of-the corporation should be devoted to this use rather than some other use by the corporation.</w:t>
      </w:r>
    </w:p>
    <w:p>
      <w:pPr>
        <w:spacing w:after="0" w:line="18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Standard of Conduct. The individual shall demonstrate that: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his or her conduct was in good faith; and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he or she reasonably believed that his or her conduct was in, or not opposed to, the corporation's best interests; and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in the case of any criminal proceeding, he or she had no reasonable cause to believe his or her conduct was unlawful.</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Indemnification in Certain Circumstances. The corporation shall not indemnify a director under this Section 5.1:</w:t>
      </w:r>
    </w:p>
    <w:p>
      <w:pPr>
        <w:spacing w:after="0" w:line="225"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a proceeding by or in the right of the corporation in which the director was adjudged liable to the corporation; or</w:t>
      </w:r>
    </w:p>
    <w:p>
      <w:pPr>
        <w:spacing w:after="0" w:line="225" w:lineRule="exact"/>
        <w:rPr>
          <w:rFonts w:ascii="Arial" w:cs="Arial" w:eastAsia="Arial" w:hAnsi="Arial"/>
          <w:sz w:val="18"/>
          <w:szCs w:val="18"/>
          <w:color w:val="auto"/>
        </w:rPr>
      </w:pPr>
    </w:p>
    <w:p>
      <w:pPr>
        <w:ind w:right="400" w:firstLine="8"/>
        <w:spacing w:after="0" w:line="308"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connection with any other proceeding charging that the director derived an improper personal benefit, whether or not involving action in his or her official capacity, in which proceeding he or she was adjudged liable on the basis that he or she derived an improper personal benefit.</w:t>
      </w:r>
    </w:p>
    <w:p>
      <w:pPr>
        <w:spacing w:after="0" w:line="147" w:lineRule="exact"/>
        <w:rPr>
          <w:sz w:val="20"/>
          <w:szCs w:val="20"/>
          <w:color w:val="auto"/>
        </w:rPr>
      </w:pPr>
    </w:p>
    <w:p>
      <w:pPr>
        <w:ind w:right="12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in Derivative Actions Limited. Indemnification permitted under this Section 5.1 in connection with a proceeding by or in the right of the corporation is limited to reasonable expenses incurred in connection with the proceeding.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5.2 Advance of Expenses for Directors. If a determination is made, following the procedures of Section 16-10a-906(2) of the Act, that the director has met the following requirements and if an authorization of payment is made following the procedures and standards set forth in Section 16-10a-906(4) of the Act, then the corporation shall pay for or reimburse the reasonable expenses incurred by a director who is a party to a proceeding in advance of final disposition of the proceeding, if:</w:t>
      </w:r>
    </w:p>
    <w:p>
      <w:pPr>
        <w:spacing w:after="0" w:line="187" w:lineRule="exact"/>
        <w:rPr>
          <w:sz w:val="20"/>
          <w:szCs w:val="20"/>
          <w:color w:val="auto"/>
        </w:rPr>
      </w:pPr>
    </w:p>
    <w:p>
      <w:pPr>
        <w:ind w:right="48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 furnishes the corporation a written affirmation of his or her good faith belief that he or she has met, the standard of conduct described in Section 5.1;</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4"/>
          <w:szCs w:val="14"/>
          <w:b w:val="1"/>
          <w:bCs w:val="1"/>
          <w:color w:val="auto"/>
        </w:rPr>
        <w:t>EXHIBIT 3.2 - BYLAWS</w:t>
      </w:r>
    </w:p>
    <w:p>
      <w:pPr>
        <w:spacing w:after="0" w:line="200" w:lineRule="exact"/>
        <w:rPr>
          <w:sz w:val="20"/>
          <w:szCs w:val="20"/>
          <w:color w:val="auto"/>
        </w:rPr>
      </w:pPr>
    </w:p>
    <w:p>
      <w:pPr>
        <w:spacing w:after="0" w:line="255" w:lineRule="exact"/>
        <w:rPr>
          <w:sz w:val="20"/>
          <w:szCs w:val="20"/>
          <w:color w:val="auto"/>
        </w:rPr>
      </w:pPr>
    </w:p>
    <w:p>
      <w:pPr>
        <w:ind w:right="6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director furnishes the corporation a written undertaking, executed personally or on his or her behalf, to repay the advance if it is ultimately determined that he or she did not meet the standard of conduct; and</w:t>
      </w:r>
    </w:p>
    <w:p>
      <w:pPr>
        <w:spacing w:after="0" w:line="170" w:lineRule="exact"/>
        <w:rPr>
          <w:rFonts w:ascii="Arial" w:cs="Arial" w:eastAsia="Arial" w:hAnsi="Arial"/>
          <w:sz w:val="18"/>
          <w:szCs w:val="18"/>
          <w:color w:val="auto"/>
        </w:rPr>
      </w:pPr>
    </w:p>
    <w:p>
      <w:pPr>
        <w:ind w:right="52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is made that the facts then known to those making the determination would not preclude indemnification under Section 5.1 of these Bylaws or Part 9 of the Act.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5.3 Indemnification of Officers, Agents and Employee Who Are Not Directors. The board of directors may indemnify and advance expenses to any officer, employee or agent of the corporation who is not a director of the corporation to any extent consistent with public policy, as determined by the general or specific actions of the board of directors.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5.4 Insurance. By action of the board of directors, notwithstanding any interest of the directors in such action, the corporation may purchase and maintain liability insurance on behalf of a person who is or was a director, officer, employee, fiduciary or agent of the corporation, against any liability asserted against or incurred by such person in that capacity or arising from such person's status as a director, officer, employee, fiduciary or agent, whether or not the corporation would have the power to indemnify such person under the applicable provisions of the Act.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VI. STOCK</w:t>
      </w:r>
    </w:p>
    <w:p>
      <w:pPr>
        <w:spacing w:after="0" w:line="2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6.1 Issuance of Shares. The corporation may issue the number of shares of each class or series of capital stock authorized by the articles of incorporation. The issuance or sale by the corporation of any shares of its authorized capital stock of any class shall be made only upon authorization by the board of directors, unless otherwise provided by statute. The board of directors may authorize the issuance of shares for consideration consisting of any tangible or intangible properly or benefit to the corporation, including cash, promissory notes, services performed, contracts or arrangements for services to be performed, or other securities of the corporation. Shares shall be issued for such consideration as shall be fixed from time to time by the board of directors. The terms of any issuance of stock in exchange for property or services to be received by the corporation in the future shall be set forth in writing.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6.2 Certificates for Shares</w:t>
      </w:r>
    </w:p>
    <w:p>
      <w:pPr>
        <w:spacing w:after="0" w:line="225" w:lineRule="exact"/>
        <w:rPr>
          <w:sz w:val="20"/>
          <w:szCs w:val="20"/>
          <w:color w:val="auto"/>
        </w:rPr>
      </w:pPr>
    </w:p>
    <w:p>
      <w:pPr>
        <w:ind w:right="140" w:firstLine="8"/>
        <w:spacing w:after="0" w:line="25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Content. Shares may but need not be represented by certificates in such form as determined by the board of directors and stating on their face, at a minimum, the name of the corporation and that it is formed under the laws of the State of Utah, the name of the person to whom issued, and the number and class of shares and the designation of the series, if any, the certificate represents. Such certificates shall be signed (either manually or by facsimile) by the president or a vice-president and by the secretary or an assistant secretary and may be sealed with a corporate seal or a facsimile thereof. Each certificate for shares shall be consecutively numbered or otherwise identified.</w:t>
      </w:r>
    </w:p>
    <w:p>
      <w:pPr>
        <w:spacing w:after="0" w:line="188"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Legend as to Class or Series. If the corporation is authorized to issue different classes of shares or different series within a class, the designations, relative rights, preferences and limitations applicable to each class and the variations in rights, preferences and limitations determined for each series (and the authority of the board of directors to determine variations for future series) must be summarized on the front or back of each certificate. Alternatively, each certificate may state conspicuously on its front or back that the corporation will furnish the shareholder this information on request in writing and without charge.</w:t>
      </w:r>
    </w:p>
    <w:p>
      <w:pPr>
        <w:spacing w:after="0" w:line="188" w:lineRule="exact"/>
        <w:rPr>
          <w:rFonts w:ascii="Arial" w:cs="Arial" w:eastAsia="Arial" w:hAnsi="Arial"/>
          <w:sz w:val="18"/>
          <w:szCs w:val="18"/>
          <w:color w:val="auto"/>
        </w:rPr>
      </w:pPr>
    </w:p>
    <w:p>
      <w:pPr>
        <w:ind w:right="360"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Shareholder List. The name and address of the person to whom the shares represented thereby are issued, with the number of shares and date of issue, shall be entered on the stock transfer books of the corporation.</w:t>
      </w:r>
    </w:p>
    <w:p>
      <w:pPr>
        <w:spacing w:after="0" w:line="170" w:lineRule="exact"/>
        <w:rPr>
          <w:rFonts w:ascii="Arial" w:cs="Arial" w:eastAsia="Arial" w:hAnsi="Arial"/>
          <w:sz w:val="18"/>
          <w:szCs w:val="18"/>
          <w:color w:val="auto"/>
        </w:rPr>
      </w:pPr>
    </w:p>
    <w:p>
      <w:pPr>
        <w:jc w:val="both"/>
        <w:ind w:right="240" w:firstLine="8"/>
        <w:spacing w:after="0" w:line="286"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Transferring Shares. All certificates surrendered to the corporation for transfer shall be cancelled and no new certificate shall be issued until the former certificate for a like number of shares shall have been surrendered and cancelled, except that in case of a lost, destroyed, or mutilated certificate, a new one may be issued therefor upon such terms and indemnity to the corporation as the board of directors may prescribe.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6.3 Shares Without Certificates. The board of directors may authorize the issuance of some or all of the shares of any or all of its classes or series without certificates. Within a reasonable time after the issuance or transfer of shares without certificates, the corporation shall send the shareholder a written statement of the information required on certificates under Section 6.2 of these Bylaws.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4"/>
          <w:szCs w:val="14"/>
          <w:b w:val="1"/>
          <w:bCs w:val="1"/>
          <w:color w:val="auto"/>
        </w:rPr>
        <w:t>EXHIBIT 3.2 - BYLAWS</w:t>
      </w:r>
    </w:p>
    <w:p>
      <w:pPr>
        <w:spacing w:after="0" w:line="2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6.4 Registration of the Transfer of Shares. Registration of the transfer of shares of the corporation shall be made only on the stock transfer books of the corporation. In order to register a transfer, the record owner shall surrender the shares to the corporation for cancellation, properly endorsed by the appropriate person or persons with reasonable assurances that the endorsements are genuine and effective. Unless the corporation has established a procedure by which a beneficial owner of shares held by a nominee is to be recognized by the corporation as the owner, the person in whose name shares stand in the books of the corporation shall be deemed by the corporation to be the owner thereof for all purposes.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 MISCELLANEOUS</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7.1 Inspection of Records by Shareholders and Directors. A shareholder or director of a corporation is entitled to inspect and copy, during regular business hours at the corporation's principal office, any of the records of the corporation required to be maintained by the corporation under the Act, if such person gives the corporation written notice of the demand at least five business days before the date on which such a person wishes to inspect and copy. The scope of such inspection right shall be as provided under the Act.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7.2 Corporate Seal. The board of directors may provide a corporate seal which may be circular in form and have inscribed thereon any designation including the name of the corporation, the state of incorporation, and the words "Corporate Seal."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7.3 Amendments. The corporation's board of directors may amend or repeal the corporation's Bylaws at any time unless:</w:t>
      </w:r>
    </w:p>
    <w:p>
      <w:pPr>
        <w:spacing w:after="0" w:line="22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articles of incorporation or the Act reserve this power exclusively to the shareholders in whole or part;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shareholders, in adopting, amending or repealing a particular bylaw, provide expressly that the board of directors may not amend or repeal that bylaw;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bylaw either establishes, amends or deletes a greater shareholder quorum or voting requirement.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Any amendment which changes the voting or quorum requirement for the board must meet the same quorum requirement and be adopted by the same vote and voting groups required to take action under the quorum and voting requirements then in effect or proposed to be adopted, whichever are greater.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7.4 Fiscal Year. The fiscal year of the corporation shall be established by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00"/>
          </w:cols>
          <w:pgMar w:left="240" w:top="265"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1753235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Communications, Inc. on Forms S-8 of our financial statement audit report dated March 30, 2011, appearing in this annual report on Form 10-K of ClearOne Communications, Inc. for the year ended December 31, 2010, the six months ended December 31, 2009 and the year ended June 30, 2009.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w:t>
      </w:r>
      <w:r>
        <w:rPr>
          <w:rFonts w:ascii="Arial" w:cs="Arial" w:eastAsia="Arial" w:hAnsi="Arial"/>
          <w:sz w:val="12"/>
          <w:szCs w:val="12"/>
          <w:i w:val="1"/>
          <w:iCs w:val="1"/>
          <w:color w:val="auto"/>
        </w:rPr>
        <w:t>ONES</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2"/>
          <w:szCs w:val="12"/>
          <w:i w:val="1"/>
          <w:iCs w:val="1"/>
          <w:color w:val="auto"/>
        </w:rPr>
        <w:t>IMKINS</w:t>
      </w:r>
      <w:r>
        <w:rPr>
          <w:rFonts w:ascii="Arial" w:cs="Arial" w:eastAsia="Arial" w:hAnsi="Arial"/>
          <w:sz w:val="18"/>
          <w:szCs w:val="18"/>
          <w:i w:val="1"/>
          <w:iCs w:val="1"/>
          <w:color w:val="auto"/>
        </w:rPr>
        <w:t>,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07"/>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599"/>
        <w:spacing w:after="0" w:line="264" w:lineRule="auto"/>
        <w:tabs>
          <w:tab w:leader="none" w:pos="1300" w:val="left"/>
        </w:tabs>
        <w:numPr>
          <w:ilvl w:val="3"/>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07"/>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March 30,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07"/>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599"/>
        <w:spacing w:after="0" w:line="264" w:lineRule="auto"/>
        <w:tabs>
          <w:tab w:leader="none" w:pos="1300" w:val="left"/>
        </w:tabs>
        <w:numPr>
          <w:ilvl w:val="3"/>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07"/>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March 30,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 Zeynep Hakimoglu, certify, to the best of my knowledge, pursuant to 18 U.S.C. Section 1350, as adopted pursuant to Section 906 of the Sarbanes-Oxley Act of 2002, that the annual report of ClearOne Communications, Inc. on Form 10-K for the year ended December 31, 2010, fully complies with the requirements of Section 13(a) or 15(d) of the Securities Exchange Act of 1934 and that information contained in the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March 30,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636270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 Narsi Narayanan, certify, to the best of my knowledge, pursuant to 18 U.S.C. Section 1350, as adopted pursuant to Section 906 of the Sarbanes-Oxley Act of 2002, that the annual report of ClearOne Communications, Inc. on Form 10-K for the year ended December 31, 2010 fully complies with the requirements of Section 13(a) or 15(d) of the Securities Exchange Act of 1934 and that information contained in the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00" w:val="left"/>
          <w:tab w:leader="none" w:pos="5080" w:val="left"/>
        </w:tabs>
        <w:rPr>
          <w:sz w:val="20"/>
          <w:szCs w:val="20"/>
          <w:color w:val="auto"/>
        </w:rPr>
      </w:pPr>
      <w:r>
        <w:rPr>
          <w:rFonts w:ascii="Arial" w:cs="Arial" w:eastAsia="Arial" w:hAnsi="Arial"/>
          <w:sz w:val="18"/>
          <w:szCs w:val="18"/>
          <w:color w:val="auto"/>
        </w:rPr>
        <w:t>Date: March 30,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lvl w:ilvl="1">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decimal"/>
      <w:start w:val="805"/>
    </w:lvl>
  </w:abstractNum>
  <w:abstractNum w:abstractNumId="16">
    <w:nsid w:val="2901D82"/>
    <w:multiLevelType w:val="hybridMultilevel"/>
    <w:lvl w:ilvl="0">
      <w:lvlJc w:val="left"/>
      <w:lvlText w:val="%1."/>
      <w:numFmt w:val="decimal"/>
      <w:start w:val="1"/>
    </w:lvl>
    <w:lvl w:ilvl="1">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3"/>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35"/>
    </w:lvl>
  </w:abstractNum>
  <w:abstractNum w:abstractNumId="30">
    <w:nsid w:val="5072367"/>
    <w:multiLevelType w:val="hybridMultilevel"/>
    <w:lvl w:ilvl="0">
      <w:lvlJc w:val="left"/>
      <w:lvlText w:val="(%1)"/>
      <w:numFmt w:val="lowerLetter"/>
      <w:start w:val="6"/>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4"/>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40">
    <w:nsid w:val="153EA43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45" Type="http://schemas.openxmlformats.org/officeDocument/2006/relationships/hyperlink" Target="http://www.sec.gov/Archives/edgar/data/840715/000095012309060284/p16247exv2w2.htm" TargetMode="External"/><Relationship Id="rId46" Type="http://schemas.openxmlformats.org/officeDocument/2006/relationships/hyperlink" Target="http://www.sec.gov/Archives/edgar/data/840715/000084071508000040/exhibit3-1.htm" TargetMode="External"/><Relationship Id="rId47" Type="http://schemas.openxmlformats.org/officeDocument/2006/relationships/hyperlink" Target="http://www.sec.gov/Archives/edgar/data/840715/000114036105006521/ex10_1.htm" TargetMode="External"/><Relationship Id="rId48" Type="http://schemas.openxmlformats.org/officeDocument/2006/relationships/hyperlink" Target="http://www.sec.gov/Archives/edgar/data/840715/000114036105006521/ex10_2.htm" TargetMode="External"/><Relationship Id="rId49" Type="http://schemas.openxmlformats.org/officeDocument/2006/relationships/hyperlink" Target="http://www.sec.gov/Archives/edgar/data/840715/000114036105006521/ex10_7.htm" TargetMode="External"/><Relationship Id="rId50" Type="http://schemas.openxmlformats.org/officeDocument/2006/relationships/hyperlink" Target="http://www.sec.gov/Archives/edgar/data/840715/000084071506000050/ex4_9.htm" TargetMode="External"/><Relationship Id="rId51" Type="http://schemas.openxmlformats.org/officeDocument/2006/relationships/hyperlink" Target="http://www.sec.gov/Archives/edgar/data/840715/000084071506000050/ex4_8.htm" TargetMode="External"/><Relationship Id="rId52" Type="http://schemas.openxmlformats.org/officeDocument/2006/relationships/hyperlink" Target="http://www.sec.gov/Archives/edgar/data/840715/000084071508000005/equityincentiveplan.htm" TargetMode="External"/><Relationship Id="rId53" Type="http://schemas.openxmlformats.org/officeDocument/2006/relationships/hyperlink" Target="http://www.sec.gov/Archives/edgar/data/840715/000084071506000045/ex10_19.htm" TargetMode="External"/><Relationship Id="rId54" Type="http://schemas.openxmlformats.org/officeDocument/2006/relationships/hyperlink" Target="http://www.sec.gov/Archives/edgar/data/840715/000114036107021574/ex10_1.htm" TargetMode="External"/><Relationship Id="rId55" Type="http://schemas.openxmlformats.org/officeDocument/2006/relationships/hyperlink" Target="http://www.sec.gov/Archives/edgar/data/840715/000084071507000049/ex10_14.htm" TargetMode="External"/><Relationship Id="rId56" Type="http://schemas.openxmlformats.org/officeDocument/2006/relationships/hyperlink" Target="http://www.sec.gov/Archives/edgar/data/840715/000084071507000049/ex10_15.htm" TargetMode="External"/><Relationship Id="rId57" Type="http://schemas.openxmlformats.org/officeDocument/2006/relationships/hyperlink" Target="http://www.sec.gov/Archives/edgar/data/840715/000114036108021099/ex10_20.htm" TargetMode="External"/><Relationship Id="rId58" Type="http://schemas.openxmlformats.org/officeDocument/2006/relationships/hyperlink" Target="http://www.sec.gov/Archives/edgar/data/840715/000084071509000061/manufagmt.htm" TargetMode="External"/><Relationship Id="rId59" Type="http://schemas.openxmlformats.org/officeDocument/2006/relationships/hyperlink" Target="http://www.sec.gov/Archives/edgar/data/840715/000084071509000061/settlementagmt.htm" TargetMode="External"/><Relationship Id="rId60" Type="http://schemas.openxmlformats.org/officeDocument/2006/relationships/hyperlink" Target="http://www.sec.gov/Archives/edgar/data/840715/000095012309060284/p16247exv10w23.htm" TargetMode="External"/><Relationship Id="rId61" Type="http://schemas.openxmlformats.org/officeDocument/2006/relationships/hyperlink" Target="http://www.sec.gov/Archives/edgar/data/840715/000095012309060284/p16247exv10w24.htm" TargetMode="External"/><Relationship Id="rId62" Type="http://schemas.openxmlformats.org/officeDocument/2006/relationships/hyperlink" Target="http://www.sec.gov/Archives/edgar/data/840715/000084071506000045/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2019-12-10T10:06:25Z</dcterms:created>
  <dcterms:modified xsi:type="dcterms:W3CDTF">2019-12-10T10:06:25Z</dcterms:modified>
</cp:coreProperties>
</file>