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30, 2025 (October 24, 2025)</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7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001-33660</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28"/>
        </w:trPr>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80" w:type="dxa"/>
            <w:vAlign w:val="bottom"/>
          </w:tcPr>
          <w:p>
            <w:pPr>
              <w:spacing w:after="0"/>
              <w:rPr>
                <w:sz w:val="19"/>
                <w:szCs w:val="19"/>
                <w:color w:val="auto"/>
              </w:rPr>
            </w:pPr>
          </w:p>
        </w:tc>
        <w:tc>
          <w:tcPr>
            <w:tcW w:w="22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(Commission File Number)</w:t>
            </w: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764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7440" w:type="dxa"/>
            <w:vAlign w:val="bottom"/>
            <w:tcBorders>
              <w:top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 under the Exchange Act (17 CFR 240.13e-4©)</w:t>
      </w:r>
    </w:p>
    <w:p>
      <w:pPr>
        <w:spacing w:after="0" w:line="205"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440" w:type="dxa"/>
            <w:vAlign w:val="bottom"/>
          </w:tcPr>
          <w:p>
            <w:pPr>
              <w:spacing w:after="0"/>
              <w:rPr>
                <w:sz w:val="18"/>
                <w:szCs w:val="18"/>
                <w:color w:val="auto"/>
              </w:rPr>
            </w:pPr>
          </w:p>
        </w:tc>
        <w:tc>
          <w:tcPr>
            <w:tcW w:w="416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7"/>
        </w:trPr>
        <w:tc>
          <w:tcPr>
            <w:tcW w:w="42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Common Stock, $0.001</w:t>
            </w:r>
          </w:p>
        </w:tc>
        <w:tc>
          <w:tcPr>
            <w:tcW w:w="280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color w:val="auto"/>
                <w:w w:val="99"/>
              </w:rPr>
              <w:t>CLRO</w:t>
            </w:r>
          </w:p>
        </w:tc>
        <w:tc>
          <w:tcPr>
            <w:tcW w:w="416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533"/>
        </w:trPr>
        <w:tc>
          <w:tcPr>
            <w:tcW w:w="1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1" w:name="page2"/>
    <w:bookmarkEnd w:id="1"/>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On October 24, 2025 (the “Effective Date”), ClearOne, Inc., a Delaware corporation (the “Company”), entered into an Asset Purchase Agreement (the “Purchase Agreement”) with Biamp Systems, LLC., a Delaware limited liability company (the “Purchaser”), pursuant to which the Purchaser purchased on and as of the Effective Date a significant portion of the Company’s intellectual property and product inventory and non-exclusive rights to customer data of the Company for a gross purchase price of $3.0 million (the “Asset Sale”). The Asset Sale is part of the Company’s previously announced and ongoing strategic process and in support of its previously disclosed plan to pursue one or more transactions involving the eventual sale of all or substantially all of the Company’s current assets and operations.</w:t>
      </w:r>
    </w:p>
    <w:p>
      <w:pPr>
        <w:spacing w:after="0" w:line="160"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Under the terms of the Purchase Agreement, the Company retains ownership of its books and records and all of the Company’s equity in all of its subsidiaries. The Company plans to continue to provide product warranty and support services to its existing customers.</w:t>
      </w:r>
    </w:p>
    <w:p>
      <w:pPr>
        <w:spacing w:after="0" w:line="121"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Once the Company completes its accounting for the Asset Sale and determines the net proceeds from the Asset Sale, such net proceeds will be used to redeem the Company’s Class A Redeemable Preferred Stock (the “Class A Preferred Stock”) in accordance with the terms and conditions of the Certificate of Designation for the Class A Preferred Stock.</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Purchase Agreement contains customary representations and warranties and agreements of the Company and the Purchaser.</w:t>
      </w:r>
    </w:p>
    <w:p>
      <w:pPr>
        <w:spacing w:after="0" w:line="18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foregoing summary of the Purchase Agreement does not purport to be complete and is subject to, and qualified in its entirety by, the Purchase Agreement in the form filed as Exhibit 10.1 to this Current Report on Form 8-K, which is incorporated herein by reference.</w:t>
      </w:r>
    </w:p>
    <w:p>
      <w:pPr>
        <w:spacing w:after="0" w:line="13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Completion of Acquisition or Disposition of Assets.</w:t>
      </w:r>
    </w:p>
    <w:p>
      <w:pPr>
        <w:spacing w:after="0" w:line="18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On October 24, 2025, the Company completed the Asset Sale as described under Item 1.01 above. There were no material relationships between the Purchaser and any of the Company, its affiliates, officers or directors.</w:t>
      </w:r>
    </w:p>
    <w:p>
      <w:pPr>
        <w:spacing w:after="0" w:line="11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Pro Forma Financial Information.</w:t>
      </w:r>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pro forma financial information with respect to the Company's disposition of the assets sold to Biamp Systems, LLC is filed as Exhibit 99.1 to this Current Report on Form 8-K and is incorporated herein by reference.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45"/>
        </w:trPr>
        <w:tc>
          <w:tcPr>
            <w:tcW w:w="2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80" w:type="dxa"/>
            <w:vAlign w:val="bottom"/>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gridSpan w:val="2"/>
          </w:tcPr>
          <w:p>
            <w:pPr>
              <w:ind w:left="1660"/>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169"/>
        </w:trPr>
        <w:tc>
          <w:tcPr>
            <w:tcW w:w="420" w:type="dxa"/>
            <w:vAlign w:val="bottom"/>
            <w:tcBorders>
              <w:bottom w:val="single" w:sz="8" w:color="0000EE"/>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w:t>
            </w: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900" w:type="dxa"/>
            <w:vAlign w:val="bottom"/>
            <w:tcBorders>
              <w:bottom w:val="single" w:sz="8" w:color="0000EE"/>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w w:val="99"/>
              </w:rPr>
              <w:t>Asset Purchase Agreement dated October 24, 2025 by and between ClearOne, Inc. and Biamp Systems, LLC.</w:t>
            </w:r>
          </w:p>
        </w:tc>
        <w:tc>
          <w:tcPr>
            <w:tcW w:w="1240" w:type="dxa"/>
            <w:vAlign w:val="bottom"/>
          </w:tcPr>
          <w:p>
            <w:pPr>
              <w:spacing w:after="0"/>
              <w:rPr>
                <w:sz w:val="14"/>
                <w:szCs w:val="14"/>
                <w:color w:val="auto"/>
              </w:rPr>
            </w:pPr>
          </w:p>
        </w:tc>
      </w:tr>
      <w:tr>
        <w:trPr>
          <w:trHeight w:val="196"/>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1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Pro Forma Financial Information.</w:t>
            </w:r>
          </w:p>
        </w:tc>
      </w:tr>
      <w:tr>
        <w:trPr>
          <w:trHeight w:val="20"/>
        </w:trPr>
        <w:tc>
          <w:tcPr>
            <w:tcW w:w="320" w:type="dxa"/>
            <w:vAlign w:val="bottom"/>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r>
      <w:tr>
        <w:trPr>
          <w:trHeight w:val="250"/>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104.1</w:t>
            </w:r>
          </w:p>
        </w:tc>
        <w:tc>
          <w:tcPr>
            <w:tcW w:w="92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bl>
    <w:p>
      <w:pPr>
        <w:spacing w:after="0" w:line="180" w:lineRule="exact"/>
        <w:rPr>
          <w:sz w:val="20"/>
          <w:szCs w:val="20"/>
          <w:color w:val="auto"/>
        </w:rPr>
      </w:pPr>
    </w:p>
    <w:p>
      <w:pPr>
        <w:ind w:left="660" w:right="200" w:hanging="652"/>
        <w:spacing w:after="0" w:line="282" w:lineRule="auto"/>
        <w:tabs>
          <w:tab w:leader="none" w:pos="623"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portions of this exhibit (indicated by “[***]”) have been omitted as the Registrant determined (i) the omitted pursuant to Item 601(b)(10)(iv) of Regulation S-K, and exhibits and schedules have been 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788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CLEARONE, INC.</w:t>
            </w:r>
          </w:p>
        </w:tc>
      </w:tr>
      <w:tr>
        <w:trPr>
          <w:trHeight w:val="459"/>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2025</w:t>
            </w:r>
          </w:p>
        </w:tc>
        <w:tc>
          <w:tcPr>
            <w:tcW w:w="788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Simon Brewer</w:t>
            </w:r>
          </w:p>
        </w:tc>
      </w:tr>
      <w:tr>
        <w:trPr>
          <w:trHeight w:val="228"/>
        </w:trPr>
        <w:tc>
          <w:tcPr>
            <w:tcW w:w="33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Simon Brewer</w:t>
            </w:r>
          </w:p>
        </w:tc>
      </w:tr>
      <w:tr>
        <w:trPr>
          <w:trHeight w:val="441"/>
        </w:trPr>
        <w:tc>
          <w:tcPr>
            <w:tcW w:w="33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549"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CERTAIN INFORMATION CONTAINED IN THIS EXHIBIT, MARKED BY [***], HAS BEEN EXCLUDED FROM THIS EXHIBIT BECAUSE THE REGISTRANT HAS DETERMINED THAT IT IS BOTH NOT MATERIAL AND IS THE TYPE THAT THE REGISTRANT TREATS AS PRIVATE OR CONFIDENTIAL.</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ASSET PURCHASE AGREEMENT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and among</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SERVICES, LLC,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HOLDING, LLC</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BIAMP SYSTEMS, LLC</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24, 2025</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ASSET PURCHASE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Asset Purchase Agreement is made and entered into as of the 24th day of October, 2025 by and among ClearOne, Inc., a corporation organized under the laws of Delaware (“</w:t>
      </w:r>
      <w:r>
        <w:rPr>
          <w:rFonts w:ascii="Times New Roman" w:cs="Times New Roman" w:eastAsia="Times New Roman" w:hAnsi="Times New Roman"/>
          <w:sz w:val="18"/>
          <w:szCs w:val="18"/>
          <w:u w:val="single" w:color="auto"/>
          <w:color w:val="auto"/>
        </w:rPr>
        <w:t>ClearOne Parent</w:t>
      </w:r>
      <w:r>
        <w:rPr>
          <w:rFonts w:ascii="Times New Roman" w:cs="Times New Roman" w:eastAsia="Times New Roman" w:hAnsi="Times New Roman"/>
          <w:sz w:val="18"/>
          <w:szCs w:val="18"/>
          <w:color w:val="auto"/>
        </w:rPr>
        <w:t>”), ClearOne Services, LLC, a limited liability company organized under the laws of Utah and a subsidiary of ClearOne Parent (“</w:t>
      </w: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 ClearOne Holding, LLC, a limited liability company organized under the laws of Utah and a subsidiary of ClearOne Parent (“Holding”, and together with Services and ClearOne Parent, the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and Biamp Systems, LLC, a limited liability company organized under the laws of Delaware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Sellers are engaged in the design, development and sale of those conferencing, collaboration and network streaming products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voice and visual communications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Business Products</w:t>
      </w:r>
      <w:r>
        <w:rPr>
          <w:rFonts w:ascii="Times New Roman" w:cs="Times New Roman" w:eastAsia="Times New Roman" w:hAnsi="Times New Roman"/>
          <w:sz w:val="18"/>
          <w:szCs w:val="18"/>
          <w:color w:val="auto"/>
        </w:rPr>
        <w:t xml:space="preserve">”), and in connection therewith own the Intellectual Property Rights and Business Products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Sellers make use of certain (i) production assets in connection with designing, developing, manufacturing and selling the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Products, including tooling, technical drawings and designs, software source code and the assets listed as closing deliverables on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(ii) inventory listed as closing deliverables on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xml:space="preserve">”) and (iii) material contracts listed as closing deliverables on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(items (i) – (iii) collectively, the “</w:t>
      </w:r>
      <w:r>
        <w:rPr>
          <w:rFonts w:ascii="Times New Roman" w:cs="Times New Roman" w:eastAsia="Times New Roman" w:hAnsi="Times New Roman"/>
          <w:sz w:val="18"/>
          <w:szCs w:val="18"/>
          <w:u w:val="single" w:color="auto"/>
          <w:color w:val="auto"/>
        </w:rPr>
        <w:t>Business Production Assets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Sellers own all right, title and interest in and to the Conveyed Assets (as defined below);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hereto desire that Sellers sell and transfer to Buyer, and Buyer purchase and acquire from Sellers, the Conveyed Assets.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in consideration of the premises and the mutual covenants and undertakings contained herein, subject to and on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conditions herein set forth, and intending to be bound hereby, the parties hereto agree as follows: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 AND TERMS</w:t>
      </w:r>
    </w:p>
    <w:p>
      <w:pPr>
        <w:spacing w:after="0" w:line="203"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Agreement, the following terms shall have the meanings set forth below:</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directly or indirectly controlling, controlled by, or under common control with such Person at any time during the period for which the determination is being made. The term “control” (including, with correlative meaning, the terms “controlled by” and “under common control with”), as used with respect to any Person, means the possession, directly or indirectly, of the power to elect a majority of the board of directors (or other governing body) or to direct or cause the direction of the management and policies of such Person, whether through the ownership of voting securities, by contract or otherwise.</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Asset Purchase Agreement, as the same may be amended or supplemented from time to time in accordance with the terms hereof.</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 w:name="page6"/>
    <w:bookmarkEnd w:id="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Allocation</w:t>
      </w:r>
      <w:r>
        <w:rPr>
          <w:rFonts w:ascii="Times New Roman" w:cs="Times New Roman" w:eastAsia="Times New Roman" w:hAnsi="Times New Roman"/>
          <w:sz w:val="18"/>
          <w:szCs w:val="18"/>
          <w:color w:val="auto"/>
        </w:rPr>
        <w:t>” has the meaning set forth in Section 2.8.</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Agreements</w:t>
      </w:r>
      <w:r>
        <w:rPr>
          <w:rFonts w:ascii="Times New Roman" w:cs="Times New Roman" w:eastAsia="Times New Roman" w:hAnsi="Times New Roman"/>
          <w:sz w:val="18"/>
          <w:szCs w:val="18"/>
          <w:color w:val="auto"/>
        </w:rPr>
        <w:t>” means the Bill of Sale, the Assignment and Assumption Agreement, the Intellectual Property Assignment and all of the certificates, instruments, and agreements required to be delivered under this Agreement by any of the parties 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 Agreement</w:t>
      </w:r>
      <w:r>
        <w:rPr>
          <w:rFonts w:ascii="Times New Roman" w:cs="Times New Roman" w:eastAsia="Times New Roman" w:hAnsi="Times New Roman"/>
          <w:sz w:val="18"/>
          <w:szCs w:val="18"/>
          <w:color w:val="auto"/>
        </w:rPr>
        <w:t>” has the meaning set forth in Section 2.2(a)(iii).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Assumed Liabilities</w:t>
      </w:r>
      <w:r>
        <w:rPr>
          <w:rFonts w:ascii="Times New Roman" w:cs="Times New Roman" w:eastAsia="Times New Roman" w:hAnsi="Times New Roman"/>
          <w:sz w:val="18"/>
          <w:szCs w:val="18"/>
          <w:color w:val="auto"/>
        </w:rPr>
        <w:t>” has the meaning set forth in Section 2.4.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Purchase Price</w:t>
      </w:r>
      <w:r>
        <w:rPr>
          <w:rFonts w:ascii="Times New Roman" w:cs="Times New Roman" w:eastAsia="Times New Roman" w:hAnsi="Times New Roman"/>
          <w:sz w:val="18"/>
          <w:szCs w:val="18"/>
          <w:color w:val="auto"/>
        </w:rPr>
        <w:t>” has the meaning set forth in Section 2.7.</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Bill of Sale</w:t>
      </w:r>
      <w:r>
        <w:rPr>
          <w:rFonts w:ascii="Times New Roman" w:cs="Times New Roman" w:eastAsia="Times New Roman" w:hAnsi="Times New Roman"/>
          <w:sz w:val="18"/>
          <w:szCs w:val="18"/>
          <w:color w:val="auto"/>
        </w:rPr>
        <w:t>” has the meaning set forth in Section 2.2(a)(ii).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a Sunday, or a day on which the Federal Reserve Bank of Dallas, Texas is closed.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Production Assets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Products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Contemplated Transactions.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date on which the Closing occurs.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 all non-public information provided by one party hereto to the other party in connection with the Contemplated Transactions, including strategic, financial, operational, other information of a like nature relating to its business, and information with respect to sales, marketing, operations, structure, strategy, research, development, plans, drawings, specifications, product samples, customer lists, pricing information, reports and studies.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Contemplated Transactions</w:t>
      </w:r>
      <w:r>
        <w:rPr>
          <w:rFonts w:ascii="Times New Roman" w:cs="Times New Roman" w:eastAsia="Times New Roman" w:hAnsi="Times New Roman"/>
          <w:sz w:val="18"/>
          <w:szCs w:val="18"/>
          <w:color w:val="auto"/>
        </w:rPr>
        <w:t>” means all of the transactions to be carried out in accordance with this Agreement and the Ancillary Agreements.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Conveyed Assets</w:t>
      </w:r>
      <w:r>
        <w:rPr>
          <w:rFonts w:ascii="Times New Roman" w:cs="Times New Roman" w:eastAsia="Times New Roman" w:hAnsi="Times New Roman"/>
          <w:sz w:val="18"/>
          <w:szCs w:val="18"/>
          <w:color w:val="auto"/>
        </w:rPr>
        <w:t>” has the meaning set forth in Section 2.2(a).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Domain Names</w:t>
      </w:r>
      <w:r>
        <w:rPr>
          <w:rFonts w:ascii="Times New Roman" w:cs="Times New Roman" w:eastAsia="Times New Roman" w:hAnsi="Times New Roman"/>
          <w:sz w:val="18"/>
          <w:szCs w:val="18"/>
          <w:color w:val="auto"/>
        </w:rPr>
        <w:t>” has the meaning set forth in Section 5.3.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means 11:59 p.m. Eastern Daylight Time on the Closing Date.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Encumbrance</w:t>
      </w:r>
      <w:r>
        <w:rPr>
          <w:rFonts w:ascii="Times New Roman" w:cs="Times New Roman" w:eastAsia="Times New Roman" w:hAnsi="Times New Roman"/>
          <w:sz w:val="18"/>
          <w:szCs w:val="18"/>
          <w:color w:val="auto"/>
        </w:rPr>
        <w:t xml:space="preserve">” means any charge, claim, lien (statutory or otherwise), option, pledge, security interest, mortgage, deed of trust, conditional sale contract, easement, right-of-way, right of first refusal or restriction or other encumbrance on the title or transfer of property or any defect in registration with respect to any item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has the meaning set forth in Section 2.3.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 Amount</w:t>
      </w:r>
      <w:r>
        <w:rPr>
          <w:rFonts w:ascii="Times New Roman" w:cs="Times New Roman" w:eastAsia="Times New Roman" w:hAnsi="Times New Roman"/>
          <w:sz w:val="18"/>
          <w:szCs w:val="18"/>
          <w:color w:val="auto"/>
        </w:rPr>
        <w:t>” means $[***], which is the total amount owed by Sellers to [***] with respect to Inventory held by [***].</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supranational, national, federal, state, regional, provincial, local or municipal administrative, judicial, legislative, executive, regulatory, police or taxing government or governmental or quasi-governmental authority of any nature, including any agency, branch, bureau, department, official, or entity, or any court or other tribunal, whether domestic or foreign.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Holding</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Assignment</w:t>
      </w:r>
      <w:r>
        <w:rPr>
          <w:rFonts w:ascii="Times New Roman" w:cs="Times New Roman" w:eastAsia="Times New Roman" w:hAnsi="Times New Roman"/>
          <w:sz w:val="18"/>
          <w:szCs w:val="18"/>
          <w:color w:val="auto"/>
        </w:rPr>
        <w:t>” has the meaning set forth in Section 2.2(a)(iv).</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xml:space="preserve">” means the following intellectual property assets and rights owned or licensed by a Seller: (a) those patents and patent applications (including reissues, provisionals, divisions, continuations, continuations-in-part, reexaminations, and extensions thereof)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(b) those domain names, trade names, trademarks, service marks, logos, and trade dress (collectively, the “</w:t>
      </w:r>
      <w:r>
        <w:rPr>
          <w:rFonts w:ascii="Times New Roman" w:cs="Times New Roman" w:eastAsia="Times New Roman" w:hAnsi="Times New Roman"/>
          <w:sz w:val="18"/>
          <w:szCs w:val="18"/>
          <w:u w:val="single" w:color="auto"/>
          <w:color w:val="auto"/>
        </w:rPr>
        <w:t>Marks</w:t>
      </w:r>
      <w:r>
        <w:rPr>
          <w:rFonts w:ascii="Times New Roman" w:cs="Times New Roman" w:eastAsia="Times New Roman" w:hAnsi="Times New Roman"/>
          <w:sz w:val="18"/>
          <w:szCs w:val="18"/>
          <w:color w:val="auto"/>
        </w:rPr>
        <w:t xml:space="preserve">”)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including any issued registrations or pending applications (U.S. and foreign) for such domain names, trade names, trademarks, service marks, and trade dress, and all renewals, modifications, and extensions thereof, as well as the goodwill connected with the use of and symbolized by such domain names, trade names, trademarks, service marks, and trade dress, (c) all works of authorship (including backlog orders, financial, manufacturing, and quality control records, files, data, and documents) used primarily in connection with the Business Products (whether or not registered or registrable), as well as all copyright rights and moral rights related thereto, (d) all trade secrets, concepts, ideas, methods, know-how, formulations, processes, procedures, techniques, technical information, specifications, operating and maintenance manuals, drawings, technical data, databases, discoveries, inventions for which patents have not been issued or applied, modifications, improvements, and other confidential or proprietary information, in each case to the extent used in connection with the Business Products, and (e) those computer software programs, including all source code, object code, and documentation related thereto,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 Maintenance Obligations</w:t>
      </w:r>
      <w:r>
        <w:rPr>
          <w:rFonts w:ascii="Times New Roman" w:cs="Times New Roman" w:eastAsia="Times New Roman" w:hAnsi="Times New Roman"/>
          <w:sz w:val="18"/>
          <w:szCs w:val="18"/>
          <w:color w:val="auto"/>
        </w:rPr>
        <w:t>” has the meaning set forth in Section 3.4.</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shall include any supranational, national, federal, state, regional, provincial, local or municipal constitution, treaty, law, statute, ordinance, rule, regulation, or any Order, decision, or decree of any court or tribunal, whether in any state, the United States, or a foreign jurisdiction.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debts, losses, damages, adverse claims, fines, penalties, liabilities or obligations (whether accrued or fixed, known or unknown, absolute or contingent, matured or unmatured or determined or determinable, direct or indirect, disputed or undisputed, liquidated or unliquidated, or due or to become due, and whether in contract, tort, strict liability or otherwise), and including all reasonable costs and expenses relating thereto (including all reasonable fees, disbursements and expenses of legal counsel, experts, engineers and consultants and costs of investigation).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 Term</w:t>
      </w:r>
      <w:r>
        <w:rPr>
          <w:rFonts w:ascii="Times New Roman" w:cs="Times New Roman" w:eastAsia="Times New Roman" w:hAnsi="Times New Roman"/>
          <w:sz w:val="18"/>
          <w:szCs w:val="18"/>
          <w:color w:val="auto"/>
        </w:rPr>
        <w:t>” has the meaning set forth in Section 5.3.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 Maintenance Obligations</w:t>
      </w:r>
      <w:r>
        <w:rPr>
          <w:rFonts w:ascii="Times New Roman" w:cs="Times New Roman" w:eastAsia="Times New Roman" w:hAnsi="Times New Roman"/>
          <w:sz w:val="18"/>
          <w:szCs w:val="18"/>
          <w:color w:val="auto"/>
        </w:rPr>
        <w:t>” has the meaning set forth in Section 3.4.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Marks</w:t>
      </w:r>
      <w:r>
        <w:rPr>
          <w:rFonts w:ascii="Times New Roman" w:cs="Times New Roman" w:eastAsia="Times New Roman" w:hAnsi="Times New Roman"/>
          <w:sz w:val="18"/>
          <w:szCs w:val="18"/>
          <w:color w:val="auto"/>
        </w:rPr>
        <w:t>” has the meaning set forth in the Intellectual Property Rights definition.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order, writ, judgment, injunction, decree, ruling, assessment, stipulation, determination or award entered by or with any court or other Governmental Authority or arbitrator.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Course of Business</w:t>
      </w:r>
      <w:r>
        <w:rPr>
          <w:rFonts w:ascii="Times New Roman" w:cs="Times New Roman" w:eastAsia="Times New Roman" w:hAnsi="Times New Roman"/>
          <w:sz w:val="18"/>
          <w:szCs w:val="18"/>
          <w:color w:val="auto"/>
        </w:rPr>
        <w:t>” means, with respect to any Person, actions that are consistent with the past practices of such Person, taken in the ordinary course of the normal day-to-day operations of such Person.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 Maintenance Obligations</w:t>
      </w:r>
      <w:r>
        <w:rPr>
          <w:rFonts w:ascii="Times New Roman" w:cs="Times New Roman" w:eastAsia="Times New Roman" w:hAnsi="Times New Roman"/>
          <w:sz w:val="18"/>
          <w:szCs w:val="18"/>
          <w:color w:val="auto"/>
        </w:rPr>
        <w:t>” has the meaning set forth in Section 3.4.</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 (a) statutory Encumbrances for current Taxes or assessments, or other similar governmental charges, not yet delinquent or the amount or validity of which is being contested in good faith by appropriate proceedings, and (b) mechanics’, carriers’, workers’, repairers’ and other similar Encumbrances (I) arising or incurred in the Ordinary Course of Business and (II) which do not relate to a dispute with any third party or the failure of the a Seller to comply with its obligations to any third party.</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corporation, a general or limited partnership, a limited liability company, an association, a trust, another legal entity or organization, or a Governmental Authority.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action, arbitration, audit, hearing, litigation, claim or suit (whether civil, commercial, administrative or criminal), or other proceeding, commenced, brought, conducted or heard by or before any Governmental Authority or arbitrator.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Retained Liabilities</w:t>
      </w:r>
      <w:r>
        <w:rPr>
          <w:rFonts w:ascii="Times New Roman" w:cs="Times New Roman" w:eastAsia="Times New Roman" w:hAnsi="Times New Roman"/>
          <w:sz w:val="18"/>
          <w:szCs w:val="18"/>
          <w:color w:val="auto"/>
        </w:rPr>
        <w:t>” has the meaning set forth in Section 2.5.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 has the meaning set forth in the Preamble.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taxes, charges, duties, renditions, fees, levies, or other assessments, including income, corporation, excise, property, sales, value added, goods and services, gross receipts, profits, gains, license, withholding (with respect to compensation or otherwise), payroll, employment, unemployment, disability, wealth, welfare, escheat, net worth, capital gains, purchase, transfer, stamp, registration, social security, environmental, occupation, franchise, alternative minimum, estimated, or other similar taxes imposed by any Governmental Authority, and including any interest, penalties, and additions attributable thereto.</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report, declaration, information return, statement, or other document filed or required to be filed with any Governmental Authority, in connection with the determination, assessment, or collection of any Tax.</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w:t>
      </w:r>
    </w:p>
    <w:p>
      <w:pPr>
        <w:spacing w:after="0" w:line="203"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2.1</w:t>
      </w:r>
      <w:r>
        <w:rPr>
          <w:sz w:val="20"/>
          <w:szCs w:val="20"/>
          <w:color w:val="auto"/>
        </w:rPr>
        <w:tab/>
      </w:r>
      <w:r>
        <w:rPr>
          <w:rFonts w:ascii="Times New Roman" w:cs="Times New Roman" w:eastAsia="Times New Roman" w:hAnsi="Times New Roman"/>
          <w:sz w:val="17"/>
          <w:szCs w:val="17"/>
          <w:b w:val="1"/>
          <w:bCs w:val="1"/>
          <w:color w:val="auto"/>
        </w:rPr>
        <w:t>Purchase and Sale of Conveyed Assets.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Upon the terms and subject to the conditions set forth herein, including Buyer’s payment of the Base Purchase Price as set forth in Section 2.7, at the Closing and effective as of the Effective Time, Sellers are selling, conveying, assigning, transferring, and delivering to Buyer the Conveyed Assets, free and clear of all Encumbrances except for Permitted Encumbrances, and in exchange therefor, Buyer is purchasing, acquiring, and accepting the Conveyed Assets, free and clear of all Encumbrances except for Permitted Encumbrances, and accepting, assuming, and agreeing to pay, perform, or otherwise discharge, in accordance with the respective terms and subject to the respective conditions thereof and hereof, the Assumed Liabilities.</w:t>
      </w:r>
    </w:p>
    <w:p>
      <w:pPr>
        <w:spacing w:after="0" w:line="179"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2.2</w:t>
      </w:r>
      <w:r>
        <w:rPr>
          <w:sz w:val="20"/>
          <w:szCs w:val="20"/>
          <w:color w:val="auto"/>
        </w:rPr>
        <w:tab/>
      </w:r>
      <w:r>
        <w:rPr>
          <w:rFonts w:ascii="Times New Roman" w:cs="Times New Roman" w:eastAsia="Times New Roman" w:hAnsi="Times New Roman"/>
          <w:sz w:val="18"/>
          <w:szCs w:val="18"/>
          <w:b w:val="1"/>
          <w:bCs w:val="1"/>
          <w:color w:val="auto"/>
        </w:rPr>
        <w:t>Conveyed Assets.</w:t>
      </w:r>
    </w:p>
    <w:p>
      <w:pPr>
        <w:spacing w:after="0" w:line="270" w:lineRule="exact"/>
        <w:rPr>
          <w:sz w:val="20"/>
          <w:szCs w:val="20"/>
          <w:color w:val="auto"/>
        </w:rPr>
      </w:pPr>
    </w:p>
    <w:p>
      <w:pPr>
        <w:ind w:left="2000" w:right="20" w:hanging="796"/>
        <w:spacing w:after="0" w:line="282" w:lineRule="auto"/>
        <w:tabs>
          <w:tab w:leader="none" w:pos="2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“Conveyed Assets” means all of Sellers’ right, title, and interest in, to, and under the properties, assets, and rights listed below, including all goodwill associated therewith:</w:t>
      </w:r>
    </w:p>
    <w:p>
      <w:pPr>
        <w:spacing w:after="0" w:line="121" w:lineRule="exact"/>
        <w:rPr>
          <w:rFonts w:ascii="Times New Roman" w:cs="Times New Roman" w:eastAsia="Times New Roman" w:hAnsi="Times New Roman"/>
          <w:sz w:val="18"/>
          <w:szCs w:val="18"/>
          <w:color w:val="auto"/>
        </w:rPr>
      </w:pPr>
    </w:p>
    <w:p>
      <w:pPr>
        <w:ind w:left="2660" w:hanging="668"/>
        <w:spacing w:after="0"/>
        <w:tabs>
          <w:tab w:leader="none" w:pos="2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Business Products;</w:t>
      </w:r>
    </w:p>
    <w:p>
      <w:pPr>
        <w:spacing w:after="0" w:line="184" w:lineRule="exact"/>
        <w:rPr>
          <w:rFonts w:ascii="Times New Roman" w:cs="Times New Roman" w:eastAsia="Times New Roman" w:hAnsi="Times New Roman"/>
          <w:sz w:val="18"/>
          <w:szCs w:val="18"/>
          <w:color w:val="auto"/>
        </w:rPr>
      </w:pPr>
    </w:p>
    <w:p>
      <w:pPr>
        <w:jc w:val="both"/>
        <w:ind w:left="2660" w:right="40" w:hanging="668"/>
        <w:spacing w:after="0" w:line="266" w:lineRule="auto"/>
        <w:tabs>
          <w:tab w:leader="none" w:pos="2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Business Production Assets, including Inventory, with such Business Production Assets and Inventory to be transferred to Buyer pursuant to a bill of sale, by and between Buyer and Services,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Bill of Sale</w:t>
      </w:r>
      <w:r>
        <w:rPr>
          <w:rFonts w:ascii="Times New Roman" w:cs="Times New Roman" w:eastAsia="Times New Roman" w:hAnsi="Times New Roman"/>
          <w:sz w:val="18"/>
          <w:szCs w:val="18"/>
          <w:color w:val="auto"/>
        </w:rPr>
        <w:t>”);</w:t>
      </w:r>
    </w:p>
    <w:p>
      <w:pPr>
        <w:spacing w:after="0" w:line="135" w:lineRule="exact"/>
        <w:rPr>
          <w:rFonts w:ascii="Times New Roman" w:cs="Times New Roman" w:eastAsia="Times New Roman" w:hAnsi="Times New Roman"/>
          <w:sz w:val="18"/>
          <w:szCs w:val="18"/>
          <w:color w:val="auto"/>
        </w:rPr>
      </w:pPr>
    </w:p>
    <w:p>
      <w:pPr>
        <w:jc w:val="both"/>
        <w:ind w:left="2660" w:right="40" w:hanging="668"/>
        <w:spacing w:after="0" w:line="266" w:lineRule="auto"/>
        <w:tabs>
          <w:tab w:leader="none" w:pos="2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Material Contracts, with such Material Contracts to be transferred to Buyer pursuant to an assignment and assumption agreement in substantially the form attached hereto at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135" w:lineRule="exact"/>
        <w:rPr>
          <w:rFonts w:ascii="Times New Roman" w:cs="Times New Roman" w:eastAsia="Times New Roman" w:hAnsi="Times New Roman"/>
          <w:sz w:val="18"/>
          <w:szCs w:val="18"/>
          <w:color w:val="auto"/>
        </w:rPr>
      </w:pPr>
    </w:p>
    <w:p>
      <w:pPr>
        <w:jc w:val="both"/>
        <w:ind w:left="2660" w:right="20" w:hanging="668"/>
        <w:spacing w:after="0" w:line="266" w:lineRule="auto"/>
        <w:tabs>
          <w:tab w:leader="none" w:pos="2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Intellectual Property Rights, with certain of the Intellectual Property Rights to be transferred to Buyer pursuant to an intellectual property assignment, by and between Buyer and Holding, in substantially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Intellectual Property Assignment</w:t>
      </w:r>
      <w:r>
        <w:rPr>
          <w:rFonts w:ascii="Times New Roman" w:cs="Times New Roman" w:eastAsia="Times New Roman" w:hAnsi="Times New Roman"/>
          <w:sz w:val="18"/>
          <w:szCs w:val="18"/>
          <w:color w:val="auto"/>
        </w:rPr>
        <w:t>”); and</w:t>
      </w:r>
    </w:p>
    <w:p>
      <w:pPr>
        <w:spacing w:after="0" w:line="135" w:lineRule="exact"/>
        <w:rPr>
          <w:rFonts w:ascii="Times New Roman" w:cs="Times New Roman" w:eastAsia="Times New Roman" w:hAnsi="Times New Roman"/>
          <w:sz w:val="18"/>
          <w:szCs w:val="18"/>
          <w:color w:val="auto"/>
        </w:rPr>
      </w:pPr>
    </w:p>
    <w:p>
      <w:pPr>
        <w:jc w:val="both"/>
        <w:ind w:left="2660" w:right="20" w:hanging="668"/>
        <w:spacing w:after="0" w:line="266" w:lineRule="auto"/>
        <w:tabs>
          <w:tab w:leader="none" w:pos="2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claims, causes of action, lawsuits or demands that a Seller may have against any Person, known or unknown, whether arising by way of counterclaim or otherwise, and any judgments or recoveries in favor of or for the benefit of a Seller, in each case, to the extent arising exclusively from any Conveyed Assets.</w:t>
      </w:r>
    </w:p>
    <w:p>
      <w:pPr>
        <w:spacing w:after="0" w:line="199"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2.3</w:t>
      </w:r>
      <w:r>
        <w:rPr>
          <w:sz w:val="20"/>
          <w:szCs w:val="20"/>
          <w:color w:val="auto"/>
        </w:rPr>
        <w:tab/>
      </w:r>
      <w:r>
        <w:rPr>
          <w:rFonts w:ascii="Times New Roman" w:cs="Times New Roman" w:eastAsia="Times New Roman" w:hAnsi="Times New Roman"/>
          <w:sz w:val="18"/>
          <w:szCs w:val="18"/>
          <w:b w:val="1"/>
          <w:bCs w:val="1"/>
          <w:color w:val="auto"/>
        </w:rPr>
        <w:t>Excluded Assets.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avoidance of doubt, the Conveyed Assets shall not include any inventory that is not Inventory, the books and records of ClearOne Parent, the Sellers’ employees, the equity of any of the Sellers or the subsidiaries of the Sellers or any assets of ClearOne Parent primarily related to ClearOne Parent’s public company status (including ClearOne Parent’s transfer records, registrations, stock ticker and listings) (the “</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 w:name="page10"/>
    <w:bookmarkEnd w:id="9"/>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2.4</w:t>
      </w:r>
      <w:r>
        <w:rPr>
          <w:sz w:val="20"/>
          <w:szCs w:val="20"/>
          <w:color w:val="auto"/>
        </w:rPr>
        <w:tab/>
      </w:r>
      <w:r>
        <w:rPr>
          <w:rFonts w:ascii="Times New Roman" w:cs="Times New Roman" w:eastAsia="Times New Roman" w:hAnsi="Times New Roman"/>
          <w:sz w:val="17"/>
          <w:szCs w:val="17"/>
          <w:b w:val="1"/>
          <w:bCs w:val="1"/>
          <w:color w:val="auto"/>
        </w:rPr>
        <w:t>Assumed Liabilities.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the terms and subject to the conditions of this Agreement, Buyer agrees, effective as of the Effective Time, to assume, pay and discharge when due, and otherwise become responsible for, any Liabilities relating to the Conveyed Assets pursuant to the Assignment and Assumption Agreement or which accrue after the Effective Time and which do not arise out of any action taken by any Seller prior to Closing (the “</w:t>
      </w:r>
      <w:r>
        <w:rPr>
          <w:rFonts w:ascii="Times New Roman" w:cs="Times New Roman" w:eastAsia="Times New Roman" w:hAnsi="Times New Roman"/>
          <w:sz w:val="18"/>
          <w:szCs w:val="18"/>
          <w:u w:val="single" w:color="auto"/>
          <w:color w:val="auto"/>
        </w:rPr>
        <w:t>Assumed Liabilities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2.5</w:t>
      </w:r>
      <w:r>
        <w:rPr>
          <w:sz w:val="20"/>
          <w:szCs w:val="20"/>
          <w:color w:val="auto"/>
        </w:rPr>
        <w:tab/>
      </w:r>
      <w:r>
        <w:rPr>
          <w:rFonts w:ascii="Times New Roman" w:cs="Times New Roman" w:eastAsia="Times New Roman" w:hAnsi="Times New Roman"/>
          <w:sz w:val="18"/>
          <w:szCs w:val="18"/>
          <w:b w:val="1"/>
          <w:bCs w:val="1"/>
          <w:color w:val="auto"/>
        </w:rPr>
        <w:t>Retained Liabilities.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Sellers shall retain and be responsible for all, and Buyer shall not assume and shall have no obligation to pay, discharge, or fulfill, any Liabilities other than the Assumed Liabilities (the “</w:t>
      </w:r>
      <w:r>
        <w:rPr>
          <w:rFonts w:ascii="Times New Roman" w:cs="Times New Roman" w:eastAsia="Times New Roman" w:hAnsi="Times New Roman"/>
          <w:sz w:val="18"/>
          <w:szCs w:val="18"/>
          <w:u w:val="single" w:color="auto"/>
          <w:color w:val="auto"/>
        </w:rPr>
        <w:t>Retained Liabilities</w:t>
      </w:r>
      <w:r>
        <w:rPr>
          <w:rFonts w:ascii="Times New Roman" w:cs="Times New Roman" w:eastAsia="Times New Roman" w:hAnsi="Times New Roman"/>
          <w:sz w:val="18"/>
          <w:szCs w:val="18"/>
          <w:color w:val="auto"/>
        </w:rPr>
        <w:t>”). For the avoidance of doubt, all Liabilities to Seyfarth Shaw LLP for legal services provided to Sellers and its Affiliates prior to Closing shall be Retained Liabilities.</w:t>
      </w:r>
    </w:p>
    <w:p>
      <w:pPr>
        <w:spacing w:after="0" w:line="172"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2.6</w:t>
      </w:r>
      <w:r>
        <w:rPr>
          <w:sz w:val="20"/>
          <w:szCs w:val="20"/>
          <w:color w:val="auto"/>
        </w:rPr>
        <w:tab/>
      </w:r>
      <w:r>
        <w:rPr>
          <w:rFonts w:ascii="Times New Roman" w:cs="Times New Roman" w:eastAsia="Times New Roman" w:hAnsi="Times New Roman"/>
          <w:sz w:val="18"/>
          <w:szCs w:val="18"/>
          <w:b w:val="1"/>
          <w:bCs w:val="1"/>
          <w:color w:val="auto"/>
        </w:rPr>
        <w:t>Closing.</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Closing shall take place contemporaneously with the execution hereof and on the date hereof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The Closing may be accomplished by facsimile or email (in .pdf format) transmission to the respective offices of legal counsel for the parties hereto of this Agreement and the Ancillary Agreements, duly executed where required, delivered upon actual confirmed receipt. All proceedings to be taken and all documents to be executed and delivered by the parties hereto at the Closing shall be deemed to have been taken and executed simultaneously and no proceedings shall be deemed to have been taken nor documents executed or delivered until all have been taken, executed, and delivered. The Closing shall be deemed to be effective as of the Effective Time. At the Closing, except as specifically qualified on Exhibit E, Sellers will deliver to Buyer all of the assets listed on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and Sellers and Buyer will each deliver to the other the applicable Ancillary Agreements.</w:t>
      </w:r>
    </w:p>
    <w:p>
      <w:pPr>
        <w:spacing w:after="0" w:line="185"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2.7</w:t>
      </w:r>
      <w:r>
        <w:rPr>
          <w:sz w:val="20"/>
          <w:szCs w:val="20"/>
          <w:color w:val="auto"/>
        </w:rPr>
        <w:tab/>
      </w:r>
      <w:r>
        <w:rPr>
          <w:rFonts w:ascii="Times New Roman" w:cs="Times New Roman" w:eastAsia="Times New Roman" w:hAnsi="Times New Roman"/>
          <w:sz w:val="17"/>
          <w:szCs w:val="17"/>
          <w:b w:val="1"/>
          <w:bCs w:val="1"/>
          <w:color w:val="auto"/>
        </w:rPr>
        <w:t>Payment of Consideration at the Closing.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aggregate consideration for the Conveyed Assets consists of (i) the payment of three million one dollars ($3,000,001.00) (the “</w:t>
      </w:r>
      <w:r>
        <w:rPr>
          <w:rFonts w:ascii="Times New Roman" w:cs="Times New Roman" w:eastAsia="Times New Roman" w:hAnsi="Times New Roman"/>
          <w:sz w:val="18"/>
          <w:szCs w:val="18"/>
          <w:u w:val="single" w:color="auto"/>
          <w:color w:val="auto"/>
        </w:rPr>
        <w:t>Base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Price</w:t>
      </w:r>
      <w:r>
        <w:rPr>
          <w:rFonts w:ascii="Times New Roman" w:cs="Times New Roman" w:eastAsia="Times New Roman" w:hAnsi="Times New Roman"/>
          <w:sz w:val="18"/>
          <w:szCs w:val="18"/>
          <w:color w:val="auto"/>
        </w:rPr>
        <w:t>”) by Buyer and (ii) Buyer’s assumption of the Assumed Liabilities, each of which shall occur on the Closing Date. At the Closing, Buyer shall pay to Sellers the Base Purchase Price, by wire transfer in U.S. dollars in immediately available funds to a bank account designated by Sellers in writing to Buyer at least three (3) Business Days prior to the Closing Date. The Base Purchase Price shall not include any transfer Taxes set forth in Section 2.9.</w:t>
      </w:r>
    </w:p>
    <w:p>
      <w:pPr>
        <w:spacing w:after="0" w:line="176"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2.8</w:t>
      </w:r>
      <w:r>
        <w:rPr>
          <w:sz w:val="20"/>
          <w:szCs w:val="20"/>
          <w:color w:val="auto"/>
        </w:rPr>
        <w:tab/>
      </w:r>
      <w:r>
        <w:rPr>
          <w:rFonts w:ascii="Times New Roman" w:cs="Times New Roman" w:eastAsia="Times New Roman" w:hAnsi="Times New Roman"/>
          <w:sz w:val="18"/>
          <w:szCs w:val="18"/>
          <w:b w:val="1"/>
          <w:bCs w:val="1"/>
          <w:color w:val="auto"/>
        </w:rPr>
        <w:t>Allocation of the Purchase Price.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With respect to the Base Purchase Price, Sellers and Buyer have agreed that $[***] shall be allocated to Class IV Inventory and $[***] shall be allocated to Class VI Section 197 Intangibles (collectively, the “</w:t>
      </w:r>
      <w:r>
        <w:rPr>
          <w:rFonts w:ascii="Times New Roman" w:cs="Times New Roman" w:eastAsia="Times New Roman" w:hAnsi="Times New Roman"/>
          <w:sz w:val="18"/>
          <w:szCs w:val="18"/>
          <w:u w:val="single" w:color="auto"/>
          <w:color w:val="auto"/>
        </w:rPr>
        <w:t>Allocation</w:t>
      </w:r>
      <w:r>
        <w:rPr>
          <w:rFonts w:ascii="Times New Roman" w:cs="Times New Roman" w:eastAsia="Times New Roman" w:hAnsi="Times New Roman"/>
          <w:sz w:val="18"/>
          <w:szCs w:val="18"/>
          <w:color w:val="auto"/>
        </w:rPr>
        <w:t>”). Sellers and Buyer shall (i) be bound by the Allocation for purposes of determining any Taxes, (ii) prepare and file their respective Tax Returns and Tax forms (including Internal Revenue Service Form 8594 (Asset Acquisition Statement)) on a basis consistent with the Allocation and (iii) take no position inconsistent with the Allocation on any applicable Tax Return or in any Proceeding before any Governmental Authority or otherwise, unless required by a contrary “determination” within the meaning of Section 1313(a) of the Internal Revenue Code of 1986, as amended. Sellers and Buyer acknowledge that the Allocation was done on an arm’s length basis based upon a good faith estimate of fair market values of the Conveyed Assets.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 w:name="page11"/>
    <w:bookmarkEnd w:id="10"/>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2.9</w:t>
      </w:r>
      <w:r>
        <w:rPr>
          <w:sz w:val="20"/>
          <w:szCs w:val="20"/>
          <w:color w:val="auto"/>
        </w:rPr>
        <w:tab/>
      </w:r>
      <w:r>
        <w:rPr>
          <w:rFonts w:ascii="Times New Roman" w:cs="Times New Roman" w:eastAsia="Times New Roman" w:hAnsi="Times New Roman"/>
          <w:sz w:val="17"/>
          <w:szCs w:val="17"/>
          <w:b w:val="1"/>
          <w:bCs w:val="1"/>
          <w:color w:val="auto"/>
        </w:rPr>
        <w:t>Transfer Taxes.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 other provision of this Agreement, all transfer, real estate transfer, documentary, recording, sales, use, registration, value added, stamp and other similar Taxes imposed by any taxing authority in connection with the Contemplated Transactions will be borne fifty percent (50%) by Sellers and fifty percent (50%) by Buyer. Buyer shall timely prepare and file all Tax Returns that may be required to comply with applicable Laws relating to such transfer Taxes and pay all Taxes as shown thereon. The Buyer shall be entitled to reimbursement from the Sellers.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SELLERS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Each Seller represents and warrants to Buyer as follows, subject to such exceptions as are specifically disclosed in the disclosure schedule supplied by Sellers to Buyer (the “</w:t>
      </w:r>
      <w:r>
        <w:rPr>
          <w:rFonts w:ascii="Times New Roman" w:cs="Times New Roman" w:eastAsia="Times New Roman" w:hAnsi="Times New Roman"/>
          <w:sz w:val="18"/>
          <w:szCs w:val="18"/>
          <w:u w:val="single" w:color="auto"/>
          <w:color w:val="auto"/>
        </w:rPr>
        <w:t>Disclosure Schedule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3.1</w:t>
      </w:r>
      <w:r>
        <w:rPr>
          <w:sz w:val="20"/>
          <w:szCs w:val="20"/>
          <w:color w:val="auto"/>
        </w:rPr>
        <w:tab/>
      </w:r>
      <w:r>
        <w:rPr>
          <w:rFonts w:ascii="Times New Roman" w:cs="Times New Roman" w:eastAsia="Times New Roman" w:hAnsi="Times New Roman"/>
          <w:sz w:val="18"/>
          <w:szCs w:val="18"/>
          <w:b w:val="1"/>
          <w:bCs w:val="1"/>
          <w:color w:val="auto"/>
        </w:rPr>
        <w:t>Authority.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Seller has full power and authority to enter into this Agreement and each Ancillary Agreement to which Seller is a party and to perform its obligations hereunder and thereunder. This Agreement and each Ancillary Agreement to which Seller is a party have been duly authorized and approved by all necessary corporate action of Seller.</w:t>
      </w:r>
    </w:p>
    <w:p>
      <w:pPr>
        <w:spacing w:after="0" w:line="172"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3.2</w:t>
      </w:r>
      <w:r>
        <w:rPr>
          <w:sz w:val="20"/>
          <w:szCs w:val="20"/>
          <w:color w:val="auto"/>
        </w:rPr>
        <w:tab/>
      </w:r>
      <w:r>
        <w:rPr>
          <w:rFonts w:ascii="Times New Roman" w:cs="Times New Roman" w:eastAsia="Times New Roman" w:hAnsi="Times New Roman"/>
          <w:sz w:val="18"/>
          <w:szCs w:val="18"/>
          <w:b w:val="1"/>
          <w:bCs w:val="1"/>
          <w:color w:val="auto"/>
        </w:rPr>
        <w:t>Litigation.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3.2</w:t>
      </w:r>
      <w:r>
        <w:rPr>
          <w:rFonts w:ascii="Times New Roman" w:cs="Times New Roman" w:eastAsia="Times New Roman" w:hAnsi="Times New Roman"/>
          <w:sz w:val="18"/>
          <w:szCs w:val="18"/>
          <w:color w:val="auto"/>
        </w:rPr>
        <w:t>, no Proceeding by or before any court or other Governmental Authority or arbitrator is pending (or in the prior three years has been pending) or, to the Seller’s knowledge, is threatened against Seller that relates to the Conveyed Assets.</w:t>
      </w:r>
    </w:p>
    <w:p>
      <w:pPr>
        <w:spacing w:after="0" w:line="158"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3.3</w:t>
      </w:r>
      <w:r>
        <w:rPr>
          <w:sz w:val="20"/>
          <w:szCs w:val="20"/>
          <w:color w:val="auto"/>
        </w:rPr>
        <w:tab/>
      </w:r>
      <w:r>
        <w:rPr>
          <w:rFonts w:ascii="Times New Roman" w:cs="Times New Roman" w:eastAsia="Times New Roman" w:hAnsi="Times New Roman"/>
          <w:sz w:val="18"/>
          <w:szCs w:val="18"/>
          <w:b w:val="1"/>
          <w:bCs w:val="1"/>
          <w:color w:val="auto"/>
        </w:rPr>
        <w:t>Title to Conveyed Assets.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Sellers have good and marketable title to all Conveyed Assets, free and clear of all Encumbrances, except for any Permitted Encumbrances. All Inventory held by [***] has cleared U.S. customs and may be freely released to Buyer, subject to any intake procedures of [***]. Except as set forth on </w:t>
      </w:r>
      <w:r>
        <w:rPr>
          <w:rFonts w:ascii="Times New Roman" w:cs="Times New Roman" w:eastAsia="Times New Roman" w:hAnsi="Times New Roman"/>
          <w:sz w:val="18"/>
          <w:szCs w:val="18"/>
          <w:u w:val="single" w:color="auto"/>
          <w:color w:val="auto"/>
        </w:rPr>
        <w:t>Schedule 3.3</w:t>
      </w:r>
      <w:r>
        <w:rPr>
          <w:rFonts w:ascii="Times New Roman" w:cs="Times New Roman" w:eastAsia="Times New Roman" w:hAnsi="Times New Roman"/>
          <w:sz w:val="18"/>
          <w:szCs w:val="18"/>
          <w:color w:val="auto"/>
        </w:rPr>
        <w:t xml:space="preserve">, the Conveyed Assets include all material assets (other than the applicable employees and the assets held by subsidiaries of ClearOne Parent that are not Sellers under this Agreement), including all material intellectual property rights, used in or necessary for the design, development, manufacture, sale and delivery of the Business Products as currently conducted. Except as set forth on </w:t>
      </w:r>
      <w:r>
        <w:rPr>
          <w:rFonts w:ascii="Times New Roman" w:cs="Times New Roman" w:eastAsia="Times New Roman" w:hAnsi="Times New Roman"/>
          <w:sz w:val="18"/>
          <w:szCs w:val="18"/>
          <w:u w:val="single" w:color="auto"/>
          <w:color w:val="auto"/>
        </w:rPr>
        <w:t>Schedule 3.3</w:t>
      </w:r>
      <w:r>
        <w:rPr>
          <w:rFonts w:ascii="Times New Roman" w:cs="Times New Roman" w:eastAsia="Times New Roman" w:hAnsi="Times New Roman"/>
          <w:sz w:val="18"/>
          <w:szCs w:val="18"/>
          <w:color w:val="auto"/>
        </w:rPr>
        <w:t>, (i) Services owns, free and clear of all Encumbrances except for Permitted Encumbrances, all of the Business Products and the Business Production Assets, and (ii) Holding owns, free and clear of all Encumbrances except for Permitted Encumbrances, all of the Intellectual Property Rights.</w:t>
      </w:r>
    </w:p>
    <w:p>
      <w:pPr>
        <w:spacing w:after="0" w:line="185"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3.4</w:t>
      </w:r>
      <w:r>
        <w:rPr>
          <w:sz w:val="20"/>
          <w:szCs w:val="20"/>
          <w:color w:val="auto"/>
        </w:rPr>
        <w:tab/>
      </w:r>
      <w:r>
        <w:rPr>
          <w:rFonts w:ascii="Times New Roman" w:cs="Times New Roman" w:eastAsia="Times New Roman" w:hAnsi="Times New Roman"/>
          <w:sz w:val="17"/>
          <w:szCs w:val="17"/>
          <w:b w:val="1"/>
          <w:bCs w:val="1"/>
          <w:color w:val="auto"/>
        </w:rPr>
        <w:t>Intellectual Property.</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To the Seller’s knowledge, Seller’s and its subsidiaries’ use of the Intellectual Property Rights, and design, development, manufacture, use, or sale of the Business Products do not, subject to </w:t>
      </w:r>
      <w:r>
        <w:rPr>
          <w:rFonts w:ascii="Times New Roman" w:cs="Times New Roman" w:eastAsia="Times New Roman" w:hAnsi="Times New Roman"/>
          <w:sz w:val="18"/>
          <w:szCs w:val="18"/>
          <w:u w:val="single" w:color="auto"/>
          <w:color w:val="auto"/>
        </w:rPr>
        <w:t>Schedule 3.3</w:t>
      </w:r>
      <w:r>
        <w:rPr>
          <w:rFonts w:ascii="Times New Roman" w:cs="Times New Roman" w:eastAsia="Times New Roman" w:hAnsi="Times New Roman"/>
          <w:sz w:val="18"/>
          <w:szCs w:val="18"/>
          <w:color w:val="auto"/>
        </w:rPr>
        <w:t xml:space="preserve">, infringe, violate, dilute, or otherwise misappropriate any patent, trademark, copyright or trade secret right of any Person, and no claims of infringement or violation of any other Person’s patent, trademark, copyright or trade secret rights have been asserted in writing or, to the knowledge of Seller, been threatened by any Person against Seller or its subsidiaries. The patents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are</w:t>
      </w:r>
    </w:p>
    <w:p>
      <w:pPr>
        <w:spacing w:after="0" w:line="1" w:lineRule="exact"/>
        <w:rPr>
          <w:sz w:val="20"/>
          <w:szCs w:val="20"/>
          <w:color w:val="auto"/>
        </w:rPr>
      </w:pPr>
    </w:p>
    <w:p>
      <w:pPr>
        <w:jc w:val="both"/>
        <w:ind w:firstLine="8"/>
        <w:spacing w:after="0" w:line="251" w:lineRule="auto"/>
        <w:tabs>
          <w:tab w:leader="none" w:pos="21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patents and patent applications owned by or held on behalf of Seller or any Seller Affiliate, and (ii) in good standing, including with respect to the payment of any registration, maintenance or renewal fees or the filing of any documents, applications or certifications (U.S. and foreign) (such obligations, the “</w:t>
      </w:r>
      <w:r>
        <w:rPr>
          <w:rFonts w:ascii="Times New Roman" w:cs="Times New Roman" w:eastAsia="Times New Roman" w:hAnsi="Times New Roman"/>
          <w:sz w:val="18"/>
          <w:szCs w:val="18"/>
          <w:u w:val="single" w:color="auto"/>
          <w:color w:val="auto"/>
        </w:rPr>
        <w:t>Patent Maintenance Obligations</w:t>
      </w:r>
      <w:r>
        <w:rPr>
          <w:rFonts w:ascii="Times New Roman" w:cs="Times New Roman" w:eastAsia="Times New Roman" w:hAnsi="Times New Roman"/>
          <w:sz w:val="18"/>
          <w:szCs w:val="18"/>
          <w:color w:val="auto"/>
        </w:rPr>
        <w:t xml:space="preserve">”). The Marks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are (i) all of the domain names, trade name registrations, trade dress, trademark, or service mark registrations, and applications for same owned by or held on behalf of Seller or any Seller Affiliate, and (ii) in good standing, including with respect to the payment of any registration, maintenance or renewal fees or the filing of any documents, applications or certifications (U.S. and foreign) (such obligations, the “</w:t>
      </w:r>
      <w:r>
        <w:rPr>
          <w:rFonts w:ascii="Times New Roman" w:cs="Times New Roman" w:eastAsia="Times New Roman" w:hAnsi="Times New Roman"/>
          <w:sz w:val="18"/>
          <w:szCs w:val="18"/>
          <w:u w:val="single" w:color="auto"/>
          <w:color w:val="auto"/>
        </w:rPr>
        <w:t>Mark Maintenance Obligations</w:t>
      </w:r>
      <w:r>
        <w:rPr>
          <w:rFonts w:ascii="Times New Roman" w:cs="Times New Roman" w:eastAsia="Times New Roman" w:hAnsi="Times New Roman"/>
          <w:sz w:val="18"/>
          <w:szCs w:val="18"/>
          <w:color w:val="auto"/>
        </w:rPr>
        <w:t>,” and together with the Patent Maintenance Obligations, the “</w:t>
      </w:r>
      <w:r>
        <w:rPr>
          <w:rFonts w:ascii="Times New Roman" w:cs="Times New Roman" w:eastAsia="Times New Roman" w:hAnsi="Times New Roman"/>
          <w:sz w:val="18"/>
          <w:szCs w:val="18"/>
          <w:u w:val="single" w:color="auto"/>
          <w:color w:val="auto"/>
        </w:rPr>
        <w:t>IP Maintenance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3.4</w:t>
      </w:r>
      <w:r>
        <w:rPr>
          <w:rFonts w:ascii="Times New Roman" w:cs="Times New Roman" w:eastAsia="Times New Roman" w:hAnsi="Times New Roman"/>
          <w:sz w:val="18"/>
          <w:szCs w:val="18"/>
          <w:color w:val="auto"/>
        </w:rPr>
        <w:t xml:space="preserve"> sets forth a list of all IP Maintenance Obligations occurring within the first one hundred eighty (180) days of Closing with respect to any of the Intellectual Property Rights. Except as set forth on </w:t>
      </w:r>
      <w:r>
        <w:rPr>
          <w:rFonts w:ascii="Times New Roman" w:cs="Times New Roman" w:eastAsia="Times New Roman" w:hAnsi="Times New Roman"/>
          <w:sz w:val="18"/>
          <w:szCs w:val="18"/>
          <w:u w:val="single" w:color="auto"/>
          <w:color w:val="auto"/>
        </w:rPr>
        <w:t>Schedule 3.3</w:t>
      </w:r>
      <w:r>
        <w:rPr>
          <w:rFonts w:ascii="Times New Roman" w:cs="Times New Roman" w:eastAsia="Times New Roman" w:hAnsi="Times New Roman"/>
          <w:sz w:val="18"/>
          <w:szCs w:val="18"/>
          <w:color w:val="auto"/>
        </w:rPr>
        <w:t>, all Intellectual Property Rights are fully transferable, alienable, and licensable without restriction and without payment of any kind to any third party.</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 w:name="page12"/>
    <w:bookmarkEnd w:id="11"/>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3.5</w:t>
      </w:r>
      <w:r>
        <w:rPr>
          <w:sz w:val="20"/>
          <w:szCs w:val="20"/>
          <w:color w:val="auto"/>
        </w:rPr>
        <w:tab/>
      </w:r>
      <w:r>
        <w:rPr>
          <w:rFonts w:ascii="Times New Roman" w:cs="Times New Roman" w:eastAsia="Times New Roman" w:hAnsi="Times New Roman"/>
          <w:sz w:val="17"/>
          <w:szCs w:val="17"/>
          <w:b w:val="1"/>
          <w:bCs w:val="1"/>
          <w:color w:val="auto"/>
        </w:rPr>
        <w:t>Product Warranty.</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To the Seller’s knowledge, there are no facts, events, or conditions with respect to any Business Product, other than as set forth on </w:t>
      </w:r>
      <w:r>
        <w:rPr>
          <w:rFonts w:ascii="Times New Roman" w:cs="Times New Roman" w:eastAsia="Times New Roman" w:hAnsi="Times New Roman"/>
          <w:sz w:val="18"/>
          <w:szCs w:val="18"/>
          <w:u w:val="single" w:color="auto"/>
          <w:color w:val="auto"/>
        </w:rPr>
        <w:t>Schedule 3.3</w:t>
      </w:r>
      <w:r>
        <w:rPr>
          <w:rFonts w:ascii="Times New Roman" w:cs="Times New Roman" w:eastAsia="Times New Roman" w:hAnsi="Times New Roman"/>
          <w:sz w:val="18"/>
          <w:szCs w:val="18"/>
          <w:color w:val="auto"/>
        </w:rPr>
        <w:t>, which would reasonably be expected to cause the withdrawal, recall, or suspension of any Business Product from any market.</w:t>
      </w:r>
    </w:p>
    <w:p>
      <w:pPr>
        <w:spacing w:after="0" w:line="158"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3.6</w:t>
      </w:r>
      <w:r>
        <w:rPr>
          <w:sz w:val="20"/>
          <w:szCs w:val="20"/>
          <w:color w:val="auto"/>
        </w:rPr>
        <w:tab/>
      </w:r>
      <w:r>
        <w:rPr>
          <w:rFonts w:ascii="Times New Roman" w:cs="Times New Roman" w:eastAsia="Times New Roman" w:hAnsi="Times New Roman"/>
          <w:sz w:val="18"/>
          <w:szCs w:val="18"/>
          <w:b w:val="1"/>
          <w:bCs w:val="1"/>
          <w:color w:val="auto"/>
        </w:rPr>
        <w:t>Commercial.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 Amount is the full amount owed or due to [***] with respect to any Inventory held by [***] and, once [***] is paid the [***] Amount,</w:t>
      </w:r>
    </w:p>
    <w:p>
      <w:pPr>
        <w:spacing w:after="0" w:line="27" w:lineRule="exact"/>
        <w:rPr>
          <w:sz w:val="20"/>
          <w:szCs w:val="20"/>
          <w:color w:val="auto"/>
        </w:rPr>
      </w:pPr>
    </w:p>
    <w:p>
      <w:pPr>
        <w:ind w:right="20" w:firstLine="8"/>
        <w:spacing w:after="0" w:line="260" w:lineRule="auto"/>
        <w:tabs>
          <w:tab w:leader="none" w:pos="4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have no claim or action against Sellers or any rights with respect to such Inventory. As of the Closing, no amounts are owed or due to [***], whether in connection with [***] Agreement or otherwise.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BUYER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Buyer represents and warrants to Sellers as follows:</w:t>
      </w:r>
    </w:p>
    <w:p>
      <w:pPr>
        <w:spacing w:after="0" w:line="221"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4.1</w:t>
      </w:r>
      <w:r>
        <w:rPr>
          <w:sz w:val="20"/>
          <w:szCs w:val="20"/>
          <w:color w:val="auto"/>
        </w:rPr>
        <w:tab/>
      </w:r>
      <w:r>
        <w:rPr>
          <w:rFonts w:ascii="Times New Roman" w:cs="Times New Roman" w:eastAsia="Times New Roman" w:hAnsi="Times New Roman"/>
          <w:sz w:val="17"/>
          <w:szCs w:val="17"/>
          <w:b w:val="1"/>
          <w:bCs w:val="1"/>
          <w:color w:val="auto"/>
        </w:rPr>
        <w:t>Authority.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Buyer has full power and authority to enter into this Agreement and each Ancillary Agreement to which Buyer is a party and to perform its obligations hereunder and thereunder. This Agreement and each Ancillary Agreement to which Buyer is a party have been duly authorized and approved by all necessary corporate action of Buyer.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POST-CLOSING</w:t>
      </w:r>
    </w:p>
    <w:p>
      <w:pPr>
        <w:spacing w:after="0" w:line="203"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5.1</w:t>
      </w:r>
      <w:r>
        <w:rPr>
          <w:sz w:val="20"/>
          <w:szCs w:val="20"/>
          <w:color w:val="auto"/>
        </w:rPr>
        <w:tab/>
      </w:r>
      <w:r>
        <w:rPr>
          <w:rFonts w:ascii="Times New Roman" w:cs="Times New Roman" w:eastAsia="Times New Roman" w:hAnsi="Times New Roman"/>
          <w:sz w:val="18"/>
          <w:szCs w:val="18"/>
          <w:b w:val="1"/>
          <w:bCs w:val="1"/>
          <w:color w:val="auto"/>
        </w:rPr>
        <w:t>Survival.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representations and warranties of the parties under this Agreement shall survive the execution and delivery of this Agreement but shall expire on the date that is eighteen (18) months after the Closing Date. None of the covenants or other agreements contained in this Agreement shall survive the Closing Date other than those which by their terms contemplate performance after the Closing Date, and each such surviving covenant and agreement shall survive the Closing.</w:t>
      </w:r>
    </w:p>
    <w:p>
      <w:pPr>
        <w:spacing w:after="0" w:line="176"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5.2</w:t>
      </w:r>
      <w:r>
        <w:rPr>
          <w:sz w:val="20"/>
          <w:szCs w:val="20"/>
          <w:color w:val="auto"/>
        </w:rPr>
        <w:tab/>
      </w:r>
      <w:r>
        <w:rPr>
          <w:rFonts w:ascii="Times New Roman" w:cs="Times New Roman" w:eastAsia="Times New Roman" w:hAnsi="Times New Roman"/>
          <w:sz w:val="17"/>
          <w:szCs w:val="17"/>
          <w:b w:val="1"/>
          <w:bCs w:val="1"/>
          <w:color w:val="auto"/>
        </w:rPr>
        <w:t>[***] Payment.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Promptly following Closing, ClearOne Parent shall pay [***] the [***] Amount, and shall instruct [***] to ship all of the Inventory that is held by [***] to the location requested by Buyer.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2" w:name="page13"/>
    <w:bookmarkEnd w:id="12"/>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5.3</w:t>
      </w:r>
      <w:r>
        <w:rPr>
          <w:sz w:val="20"/>
          <w:szCs w:val="20"/>
          <w:color w:val="auto"/>
        </w:rPr>
        <w:tab/>
      </w:r>
      <w:r>
        <w:rPr>
          <w:rFonts w:ascii="Times New Roman" w:cs="Times New Roman" w:eastAsia="Times New Roman" w:hAnsi="Times New Roman"/>
          <w:sz w:val="17"/>
          <w:szCs w:val="17"/>
          <w:b w:val="1"/>
          <w:bCs w:val="1"/>
          <w:color w:val="auto"/>
        </w:rPr>
        <w:t>Domain Names.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Buyer hereby grants Sellers a non-exclusive, non-transferable, revokable license to use the domain names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Domain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Names</w:t>
      </w:r>
      <w:r>
        <w:rPr>
          <w:rFonts w:ascii="Times New Roman" w:cs="Times New Roman" w:eastAsia="Times New Roman" w:hAnsi="Times New Roman"/>
          <w:sz w:val="18"/>
          <w:szCs w:val="18"/>
          <w:color w:val="auto"/>
        </w:rPr>
        <w:t xml:space="preserve">”) for the sole purpose of winding down Sellers’ commercial and corporate activities;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Sellers use the Domain Names to host active websites, solicit or make sales or facilitate commercial activity that could compete with Buyer’s business or the Conveyed Assets. The license granted pursuant to this Section 5.3 shall run from the Closing and, unless earlier revoked in connection with Sellers’ breach of its obligations hereunder, expire on April 30, 2026 (the “</w:t>
      </w:r>
      <w:r>
        <w:rPr>
          <w:rFonts w:ascii="Times New Roman" w:cs="Times New Roman" w:eastAsia="Times New Roman" w:hAnsi="Times New Roman"/>
          <w:sz w:val="18"/>
          <w:szCs w:val="18"/>
          <w:u w:val="single" w:color="auto"/>
          <w:color w:val="auto"/>
        </w:rPr>
        <w:t>License Term</w:t>
      </w:r>
      <w:r>
        <w:rPr>
          <w:rFonts w:ascii="Times New Roman" w:cs="Times New Roman" w:eastAsia="Times New Roman" w:hAnsi="Times New Roman"/>
          <w:sz w:val="18"/>
          <w:szCs w:val="18"/>
          <w:color w:val="auto"/>
        </w:rPr>
        <w:t>”). During the License Term, Sellers shall (i) redirect all Domain Names as instructed by Buyer, including redirecting ClearOne.com to Biamp.com, (ii) use and maintain the Domain Names in a commercially reasonable manner, and (iii) be responsible for any of its employees, representatives, agents, subcontractors or other users who use and access the Domain Names. No later than the expiration of the License Term, Sellers shall deliver full control of the Domain Names to Buyer and, if requested by Buyer, work with the domain registrar to facilitate such delivery.</w:t>
      </w:r>
    </w:p>
    <w:p>
      <w:pPr>
        <w:spacing w:after="0" w:line="184"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5.4</w:t>
      </w:r>
      <w:r>
        <w:rPr>
          <w:sz w:val="20"/>
          <w:szCs w:val="20"/>
          <w:color w:val="auto"/>
        </w:rPr>
        <w:tab/>
      </w:r>
      <w:r>
        <w:rPr>
          <w:rFonts w:ascii="Times New Roman" w:cs="Times New Roman" w:eastAsia="Times New Roman" w:hAnsi="Times New Roman"/>
          <w:sz w:val="18"/>
          <w:szCs w:val="18"/>
          <w:b w:val="1"/>
          <w:bCs w:val="1"/>
          <w:color w:val="auto"/>
        </w:rPr>
        <w:t>Further Assurances.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From and after the Closing Date and from time to time at the request of the other party hereto, Buyer shall, and shall cause its respective Affiliates to, and Sellers shall, and shall cause their respective Affiliates to, without further consideration, execute and deliver such instruments of transfer, conveyance, assignment, and assumption, and take such other action or cooperation, as may reasonably be necessary or advisable, to (i) consummate the Contemplated Transactions, and (ii) effectuate an orderly transfer of the Conveyed Assets, including the transfer of electronic copies of (A) all files related to the prosecution, enforcement and maintenance of the Intellectual Property Rights, and (B) all other files amenable to electronic transfer. In addition, Sellers shall (i) direct those third parties that hold Inventory to deliver such Inventory to Buyer in accordance with Buyer’s instructions, and (ii) cooperate with Buyer as may be reasonably necessary in order to ensure the timely transfer of such Inventory.</w:t>
      </w:r>
    </w:p>
    <w:p>
      <w:pPr>
        <w:spacing w:after="0" w:line="185"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5.5</w:t>
      </w:r>
      <w:r>
        <w:rPr>
          <w:sz w:val="20"/>
          <w:szCs w:val="20"/>
          <w:color w:val="auto"/>
        </w:rPr>
        <w:tab/>
      </w:r>
      <w:r>
        <w:rPr>
          <w:rFonts w:ascii="Times New Roman" w:cs="Times New Roman" w:eastAsia="Times New Roman" w:hAnsi="Times New Roman"/>
          <w:sz w:val="17"/>
          <w:szCs w:val="17"/>
          <w:b w:val="1"/>
          <w:bCs w:val="1"/>
          <w:color w:val="auto"/>
        </w:rPr>
        <w:t>Public Announcements.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required by applicable Law, no party to this Agreement shall make any public announcements in respect of this Agreement or the transactions contemplated hereby without the prior written consent of the other party (which consent shall not be unreasonably withheld or delayed), and the parties shall cooperate as to the timing and contents of any such announcement.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6.1</w:t>
      </w:r>
      <w:r>
        <w:rPr>
          <w:sz w:val="20"/>
          <w:szCs w:val="20"/>
          <w:color w:val="auto"/>
        </w:rPr>
        <w:tab/>
      </w: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notices and other communications under this Agreement must be in writing and will be deemed given (a) when delivered personally, (b) on the fifth Business Day after being mailed by certified mail, return receipt requested, (c) the next Business Day after delivery to a recognized overnight courier, or (d) upon transmission and confirmation of delivery if sent by email (so long as such transmission is immediately supplemented by notice via one of the methods specified in clause (a), (b), or (c) above), to the parties hereto at the following addresses (or to such other address as such party hereto may have specified by notice given to the other party pursuant to this Section 6.1):</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3" w:name="page14"/>
    <w:bookmarkEnd w:id="13"/>
    <w:p>
      <w:pPr>
        <w:ind w:left="2040" w:hanging="1125"/>
        <w:spacing w:after="0"/>
        <w:tabs>
          <w:tab w:leader="none" w:pos="2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Buyer: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Biamp Systems, LLC</w:t>
      </w:r>
    </w:p>
    <w:p>
      <w:pPr>
        <w:spacing w:after="0" w:line="27" w:lineRule="exact"/>
        <w:rPr>
          <w:rFonts w:ascii="Times New Roman" w:cs="Times New Roman" w:eastAsia="Times New Roman" w:hAnsi="Times New Roman"/>
          <w:sz w:val="18"/>
          <w:szCs w:val="18"/>
          <w:color w:val="auto"/>
        </w:rPr>
      </w:pP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Highlander Partners, L.P.</w:t>
      </w:r>
    </w:p>
    <w:p>
      <w:pPr>
        <w:spacing w:after="0" w:line="9" w:lineRule="exact"/>
        <w:rPr>
          <w:rFonts w:ascii="Times New Roman" w:cs="Times New Roman" w:eastAsia="Times New Roman" w:hAnsi="Times New Roman"/>
          <w:sz w:val="18"/>
          <w:szCs w:val="18"/>
          <w:color w:val="auto"/>
        </w:rPr>
      </w:pPr>
    </w:p>
    <w:p>
      <w:pPr>
        <w:ind w:left="2040" w:right="70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 Crescent Court, Suite 550 Dallas, Texas 75201</w:t>
      </w: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Chris McRorie, General Counsel</w:t>
      </w:r>
    </w:p>
    <w:p>
      <w:pPr>
        <w:spacing w:after="0" w:line="9" w:lineRule="exact"/>
        <w:rPr>
          <w:rFonts w:ascii="Times New Roman" w:cs="Times New Roman" w:eastAsia="Times New Roman" w:hAnsi="Times New Roman"/>
          <w:sz w:val="18"/>
          <w:szCs w:val="18"/>
          <w:color w:val="auto"/>
        </w:rPr>
      </w:pP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w:t>
      </w:r>
    </w:p>
    <w:p>
      <w:pPr>
        <w:spacing w:after="0" w:line="44" w:lineRule="exact"/>
        <w:rPr>
          <w:rFonts w:ascii="Times New Roman" w:cs="Times New Roman" w:eastAsia="Times New Roman" w:hAnsi="Times New Roman"/>
          <w:sz w:val="18"/>
          <w:szCs w:val="18"/>
          <w:color w:val="auto"/>
        </w:rPr>
      </w:pPr>
    </w:p>
    <w:p>
      <w:pPr>
        <w:ind w:left="2040" w:hanging="1130"/>
        <w:spacing w:after="0"/>
        <w:tabs>
          <w:tab w:leader="none" w:pos="2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Sellers: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2040" w:right="7440"/>
        <w:spacing w:after="0" w:line="27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ClearOne, Inc. ClearOne Holding, LLC ClearOne Services, LLC</w:t>
      </w:r>
    </w:p>
    <w:p>
      <w:pPr>
        <w:spacing w:after="0" w:line="1" w:lineRule="exact"/>
        <w:rPr>
          <w:rFonts w:ascii="Times New Roman" w:cs="Times New Roman" w:eastAsia="Times New Roman" w:hAnsi="Times New Roman"/>
          <w:sz w:val="18"/>
          <w:szCs w:val="18"/>
          <w:color w:val="auto"/>
        </w:rPr>
      </w:pPr>
    </w:p>
    <w:p>
      <w:pPr>
        <w:ind w:left="2040" w:right="68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5225 Wiley Post Way, Suite 500 Salt Lake City, Utah 84116</w:t>
      </w: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Derek L. Graham, Chief Executive Officer</w:t>
      </w:r>
    </w:p>
    <w:p>
      <w:pPr>
        <w:spacing w:after="0" w:line="9" w:lineRule="exact"/>
        <w:rPr>
          <w:rFonts w:ascii="Times New Roman" w:cs="Times New Roman" w:eastAsia="Times New Roman" w:hAnsi="Times New Roman"/>
          <w:sz w:val="18"/>
          <w:szCs w:val="18"/>
          <w:color w:val="auto"/>
        </w:rPr>
      </w:pP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w:t>
      </w:r>
    </w:p>
    <w:p>
      <w:pPr>
        <w:spacing w:after="0" w:line="206" w:lineRule="exact"/>
        <w:rPr>
          <w:rFonts w:ascii="Times New Roman" w:cs="Times New Roman" w:eastAsia="Times New Roman" w:hAnsi="Times New Roman"/>
          <w:sz w:val="18"/>
          <w:szCs w:val="18"/>
          <w:color w:val="auto"/>
        </w:rPr>
      </w:pP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rFonts w:ascii="Times New Roman" w:cs="Times New Roman" w:eastAsia="Times New Roman" w:hAnsi="Times New Roman"/>
          <w:sz w:val="18"/>
          <w:szCs w:val="18"/>
          <w:color w:val="auto"/>
        </w:rPr>
      </w:pP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Seyfarth Shaw LLP</w:t>
      </w:r>
    </w:p>
    <w:p>
      <w:pPr>
        <w:spacing w:after="0" w:line="27" w:lineRule="exact"/>
        <w:rPr>
          <w:rFonts w:ascii="Times New Roman" w:cs="Times New Roman" w:eastAsia="Times New Roman" w:hAnsi="Times New Roman"/>
          <w:sz w:val="18"/>
          <w:szCs w:val="18"/>
          <w:color w:val="auto"/>
        </w:rPr>
      </w:pPr>
    </w:p>
    <w:p>
      <w:pPr>
        <w:ind w:left="2040" w:right="70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 Milam Street, Suite 1400 Houston, TX 77002</w:t>
      </w: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mcoffin@seyfarth.com</w:t>
      </w:r>
    </w:p>
    <w:p>
      <w:pPr>
        <w:spacing w:after="0" w:line="9" w:lineRule="exact"/>
        <w:rPr>
          <w:rFonts w:ascii="Times New Roman" w:cs="Times New Roman" w:eastAsia="Times New Roman" w:hAnsi="Times New Roman"/>
          <w:sz w:val="18"/>
          <w:szCs w:val="18"/>
          <w:color w:val="auto"/>
        </w:rPr>
      </w:pP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Telephone: (713) 225-1337</w:t>
      </w:r>
    </w:p>
    <w:p>
      <w:pPr>
        <w:spacing w:after="0" w:line="9" w:lineRule="exact"/>
        <w:rPr>
          <w:rFonts w:ascii="Times New Roman" w:cs="Times New Roman" w:eastAsia="Times New Roman" w:hAnsi="Times New Roman"/>
          <w:sz w:val="18"/>
          <w:szCs w:val="18"/>
          <w:color w:val="auto"/>
        </w:rPr>
      </w:pP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Mark Coffin</w:t>
      </w:r>
    </w:p>
    <w:p>
      <w:pPr>
        <w:spacing w:after="0" w:line="243"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6.2</w:t>
      </w:r>
      <w:r>
        <w:rPr>
          <w:sz w:val="20"/>
          <w:szCs w:val="20"/>
          <w:color w:val="auto"/>
        </w:rPr>
        <w:tab/>
      </w:r>
      <w:r>
        <w:rPr>
          <w:rFonts w:ascii="Times New Roman" w:cs="Times New Roman" w:eastAsia="Times New Roman" w:hAnsi="Times New Roman"/>
          <w:sz w:val="17"/>
          <w:szCs w:val="17"/>
          <w:b w:val="1"/>
          <w:bCs w:val="1"/>
          <w:color w:val="auto"/>
        </w:rPr>
        <w:t>Amendment; Waiver.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Agreement shall not be amended, modified, or supplemented except by a written instrument signed by Buyer and Sellers. No waiver of this Agreement, or of any term or provision hereof, shall be effective unless such waiver is made in writing by the Person against whom the waiver is to be enforced. No waiver of any provision hereunder, or any breach or default thereof, shall extend to or affect in any way any other provision or prior or subsequent breach or default.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4" w:name="page15"/>
    <w:bookmarkEnd w:id="14"/>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6.3</w:t>
      </w:r>
      <w:r>
        <w:rPr>
          <w:sz w:val="20"/>
          <w:szCs w:val="20"/>
          <w:color w:val="auto"/>
        </w:rPr>
        <w:tab/>
      </w:r>
      <w:r>
        <w:rPr>
          <w:rFonts w:ascii="Times New Roman" w:cs="Times New Roman" w:eastAsia="Times New Roman" w:hAnsi="Times New Roman"/>
          <w:sz w:val="18"/>
          <w:szCs w:val="18"/>
          <w:b w:val="1"/>
          <w:bCs w:val="1"/>
          <w:color w:val="auto"/>
        </w:rPr>
        <w:t>Assignment.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Neither party hereto may assign any of its rights or obligations under this Agreement without the prior written consent of the other party hereto. Notwithstanding the foregoing, this Agreement may be assigned by Buyer, with notice to Sellers but without Sellers’ consent, in whole or in part, to (a) one or more of Buyer’s Affiliates, (b) any Person in connection with the sale of all or substantially all the assets of Buyer to such Person, (c) any Person who acquires all or substantially all of the equity interests of Buyer, including by merger or consolidation, or (d) as collateral to Buyer’s secured lenders.</w:t>
      </w:r>
    </w:p>
    <w:p>
      <w:pPr>
        <w:spacing w:after="0" w:line="176"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6.4</w:t>
      </w:r>
      <w:r>
        <w:rPr>
          <w:sz w:val="20"/>
          <w:szCs w:val="20"/>
          <w:color w:val="auto"/>
        </w:rPr>
        <w:tab/>
      </w:r>
      <w:r>
        <w:rPr>
          <w:rFonts w:ascii="Times New Roman" w:cs="Times New Roman" w:eastAsia="Times New Roman" w:hAnsi="Times New Roman"/>
          <w:sz w:val="17"/>
          <w:szCs w:val="17"/>
          <w:b w:val="1"/>
          <w:bCs w:val="1"/>
          <w:color w:val="auto"/>
        </w:rPr>
        <w:t>Entire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Agreement, together with all Exhibits and the Ancillary Agreements, comprise the entire agreement between the parties hereto with respect to the subject matter hereof and supersede all prior agreements and understandings, oral or written, with respect to such matters. The submission of a draft of this Agreement or portions or summaries thereof does not constitute an offer to purchase or sell the Conveyed Assets, and neither Buyer nor Sellers shall be legally obligated with respect to such a purchase or sale or to any other terms or conditions set forth in such draft or portion or summary unless and until this Agreement has been duly executed and delivered by both parties hereto.</w:t>
      </w:r>
    </w:p>
    <w:p>
      <w:pPr>
        <w:spacing w:after="0" w:line="179"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6.5</w:t>
      </w:r>
      <w:r>
        <w:rPr>
          <w:sz w:val="20"/>
          <w:szCs w:val="20"/>
          <w:color w:val="auto"/>
        </w:rPr>
        <w:tab/>
      </w:r>
      <w:r>
        <w:rPr>
          <w:rFonts w:ascii="Times New Roman" w:cs="Times New Roman" w:eastAsia="Times New Roman" w:hAnsi="Times New Roman"/>
          <w:sz w:val="17"/>
          <w:szCs w:val="17"/>
          <w:b w:val="1"/>
          <w:bCs w:val="1"/>
          <w:color w:val="auto"/>
        </w:rPr>
        <w:t>Confidentiality.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Each party hereto will keep confidential and will not disclose in any manner whatsoever any of the Confidential Information provided to it by the other party hereto and shall use said Confidential Information only in connection with the Contemplated Transactions and for no other purpose, provided however, that Buyer may use Confidential Information included in the Conveyed Assets for any purpose after the Closing. Following the Closing Date, Sellers shall not, and shall cause its employees and Affiliates to not, disclose or use, directly or indirectly, any Confidential Information relating exclusively to the Business. The confidentiality covenant in this Section 6.5 shall not apply to information that (a) is generally available to and known by the public through no fault of the receiving party, any of its Affiliates, or their respective representatives, (b) is lawfully acquired by the receiving party from and after the Closing from sources that are not prohibited from disclosing such information by a legal, contractual, or fiduciary obligation, or (c) is developed independently by the receiving party without use of the disclosing party’s Confidential Information. If a party hereto or its Affiliates, or their representatives, are compelled to disclose any information by judicial or administrative process or by other requirements of Law, such receiving party shall promptly notify the disclosing party in writing and shall disclose only that portion of such information which such receiving party is advised by its counsel in writing is legally required to be disclosed, provided that such receiving party shall use commercially reasonable efforts to try to obtain an appropriate protective order or other reasonable assurance that confidential treatment will be accorded such information.</w:t>
      </w:r>
    </w:p>
    <w:p>
      <w:pPr>
        <w:spacing w:after="0" w:line="186"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6.6</w:t>
      </w:r>
      <w:r>
        <w:rPr>
          <w:sz w:val="20"/>
          <w:szCs w:val="20"/>
          <w:color w:val="auto"/>
        </w:rPr>
        <w:tab/>
      </w:r>
      <w:r>
        <w:rPr>
          <w:rFonts w:ascii="Times New Roman" w:cs="Times New Roman" w:eastAsia="Times New Roman" w:hAnsi="Times New Roman"/>
          <w:sz w:val="17"/>
          <w:szCs w:val="17"/>
          <w:b w:val="1"/>
          <w:bCs w:val="1"/>
          <w:color w:val="auto"/>
        </w:rPr>
        <w:t>Waiver of Jury Trial.</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TO THE EXTENT NOT PROHIBITED BY APPLICABLE LAW WHICH CANNOT BE WAIVED, EACH OF THE PARTIES HERETO EXPRESSLY AND IRREVOCABLY HEREBY WAIVES, AND AGREES TO CAUSE EACH OF ITS AFFILIATES TO WAIVE, AND COVENANTS THAT NEITHER IT NOR ANY OF ITS AFFILIATES SHALL ASSERT (WHETHER AS PLAINTIFF, DEFENDANT, OR OTHERWISE) ANY RIGHT TO TRIAL BY JURY IN ANY FORUM IN RESPECT OF ANY DISPUTE (WHETHER IN CONTRACT OR TORT OR OTHERWISE). ANY PARTY MAY FILE AN ORIGINAL COUNTERPART OR A COPY OF THIS SECTION 6.6 WITH ANY COURT AS WRITTEN EVIDENCE OF THE CONSENT OF EACH SUCH PARTY HERETO TO THE WAIVER OF ITS RIGHT TO TRIAL BY JURY.</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5" w:name="page16"/>
    <w:bookmarkEnd w:id="15"/>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6.7</w:t>
      </w:r>
      <w:r>
        <w:rPr>
          <w:sz w:val="20"/>
          <w:szCs w:val="20"/>
          <w:color w:val="auto"/>
        </w:rPr>
        <w:tab/>
      </w:r>
      <w:r>
        <w:rPr>
          <w:rFonts w:ascii="Times New Roman" w:cs="Times New Roman" w:eastAsia="Times New Roman" w:hAnsi="Times New Roman"/>
          <w:sz w:val="18"/>
          <w:szCs w:val="18"/>
          <w:b w:val="1"/>
          <w:bCs w:val="1"/>
          <w:color w:val="auto"/>
        </w:rPr>
        <w:t>Governing Law; Arbitration; Jurisdiction.</w:t>
      </w:r>
    </w:p>
    <w:p>
      <w:pPr>
        <w:spacing w:after="0" w:line="270" w:lineRule="exact"/>
        <w:rPr>
          <w:sz w:val="20"/>
          <w:szCs w:val="20"/>
          <w:color w:val="auto"/>
        </w:rPr>
      </w:pPr>
    </w:p>
    <w:p>
      <w:pPr>
        <w:ind w:left="2020" w:hanging="802"/>
        <w:spacing w:after="0"/>
        <w:tabs>
          <w:tab w:leader="none" w:pos="2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the Laws of the State of Delaware without regard to its choice of law rules.</w:t>
      </w:r>
    </w:p>
    <w:p>
      <w:pPr>
        <w:spacing w:after="0" w:line="184" w:lineRule="exact"/>
        <w:rPr>
          <w:rFonts w:ascii="Times New Roman" w:cs="Times New Roman" w:eastAsia="Times New Roman" w:hAnsi="Times New Roman"/>
          <w:sz w:val="18"/>
          <w:szCs w:val="18"/>
          <w:color w:val="auto"/>
        </w:rPr>
      </w:pPr>
    </w:p>
    <w:p>
      <w:pPr>
        <w:jc w:val="both"/>
        <w:ind w:left="2020" w:right="20" w:hanging="807"/>
        <w:spacing w:after="0" w:line="253" w:lineRule="auto"/>
        <w:tabs>
          <w:tab w:leader="none" w:pos="2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SUBMIT TO THE EXCLUSIVE JURISDICTION OF THE DELAWARE COURT OF CHANCERY OR ANY OTHER COURT OF THE STATE OF DELAWARE OR THE COURTS OF THE UNITED STATES LOCATED IN THE DISTRICT OF DELAWARE IN RESPECT OF THE INTERPRETATION AND ENFORCEMENT OF THIS AGREEMENT OR ANY ANCILLARY AGREEMENT. THE PARTIES HERETO HEREBY WAIVE, AND AGREE NOT TO ASSERT, ANY DEFENSE IN ANY ACTION FOR THE INTERPRETATION OR ENFORCEMENT OF THIS AGREEMENT OR ANY ANCILLARY AGREEMENT THAT (a) THEY ARE NOT SUBJECT TO SUCH JURISDICTION,</w:t>
      </w:r>
    </w:p>
    <w:p>
      <w:pPr>
        <w:spacing w:after="0" w:line="5" w:lineRule="exact"/>
        <w:rPr>
          <w:rFonts w:ascii="Times New Roman" w:cs="Times New Roman" w:eastAsia="Times New Roman" w:hAnsi="Times New Roman"/>
          <w:sz w:val="18"/>
          <w:szCs w:val="18"/>
          <w:color w:val="auto"/>
        </w:rPr>
      </w:pPr>
    </w:p>
    <w:p>
      <w:pPr>
        <w:jc w:val="both"/>
        <w:ind w:left="2020" w:right="40" w:hanging="1"/>
        <w:spacing w:after="0" w:line="253" w:lineRule="auto"/>
        <w:tabs>
          <w:tab w:leader="none" w:pos="234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MAY NOT BE BROUGHT OR IS NOT MAINTAINABLE IN SUCH COURTS, (c) THIS AGREEMENT OR ANY ANCILLARY AGREEMENT MAY NOT BE ENFORCED IN OR BY SUCH COURTS, (d) THEIR PROPERTY IS EXEMPT OR IMMUNE FROM EXECUTION, (e) THE ACTION IS BROUGHT IN AN INCONVENIENT FORUM, OR (f) THE VENUE OF THE ACTION IS IMPROPER.</w:t>
      </w:r>
    </w:p>
    <w:p>
      <w:pPr>
        <w:spacing w:after="0" w:line="225"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6.8</w:t>
      </w:r>
      <w:r>
        <w:rPr>
          <w:sz w:val="20"/>
          <w:szCs w:val="20"/>
          <w:color w:val="auto"/>
        </w:rPr>
        <w:tab/>
      </w:r>
      <w:r>
        <w:rPr>
          <w:rFonts w:ascii="Times New Roman" w:cs="Times New Roman" w:eastAsia="Times New Roman" w:hAnsi="Times New Roman"/>
          <w:sz w:val="17"/>
          <w:szCs w:val="17"/>
          <w:b w:val="1"/>
          <w:bCs w:val="1"/>
          <w:color w:val="auto"/>
        </w:rPr>
        <w:t>Counterparts.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Agreement may be executed in counterparts, each of which shall be considered an original instrument, but all of which shall be considered one and the same agreement, and shall become binding when one or more counterparts have been signed by and delivered to each of Buyer and Sellers.</w:t>
      </w:r>
    </w:p>
    <w:p>
      <w:pPr>
        <w:spacing w:after="0" w:line="158"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6.9</w:t>
      </w:r>
      <w:r>
        <w:rPr>
          <w:sz w:val="20"/>
          <w:szCs w:val="20"/>
          <w:color w:val="auto"/>
        </w:rPr>
        <w:tab/>
      </w:r>
      <w:r>
        <w:rPr>
          <w:rFonts w:ascii="Times New Roman" w:cs="Times New Roman" w:eastAsia="Times New Roman" w:hAnsi="Times New Roman"/>
          <w:sz w:val="17"/>
          <w:szCs w:val="17"/>
          <w:b w:val="1"/>
          <w:bCs w:val="1"/>
          <w:color w:val="auto"/>
        </w:rPr>
        <w:t>Severability.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provisions of this Agreement shall be deemed severable and the invalidity or unenforceability of any provision shall not affect the validity or enforceability of the other provisions hereof. If any provision of this Agreement, or the application thereof to any Person or any circumstance, is invalid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thereof in any other jurisdiction.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This Page Intentionally Left Blank</w:t>
      </w:r>
      <w:r>
        <w:rPr>
          <w:rFonts w:ascii="Times New Roman" w:cs="Times New Roman" w:eastAsia="Times New Roman" w:hAnsi="Times New Roman"/>
          <w:sz w:val="18"/>
          <w:szCs w:val="18"/>
          <w:color w:val="auto"/>
        </w:rPr>
        <w:t>]</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or caused this Agreement to be executed as of the date first written above.</w:t>
      </w:r>
    </w:p>
    <w:p>
      <w:pPr>
        <w:sectPr>
          <w:pgSz w:w="11900" w:h="16838" w:orient="portrait"/>
          <w:cols w:equalWidth="0" w:num="1">
            <w:col w:w="9479"/>
          </w:cols>
          <w:pgMar w:left="980" w:top="549" w:right="1440" w:bottom="1440" w:gutter="0" w:footer="0" w:header="0"/>
        </w:sectPr>
      </w:pPr>
    </w:p>
    <w:p>
      <w:pPr>
        <w:spacing w:after="0" w:line="27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BUYER:</w:t>
      </w:r>
    </w:p>
    <w:p>
      <w:pPr>
        <w:spacing w:after="0" w:line="33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BIAMP SYSTEMS, LLC</w:t>
      </w:r>
    </w:p>
    <w:p>
      <w:pPr>
        <w:spacing w:after="0" w:line="200" w:lineRule="exact"/>
        <w:rPr>
          <w:sz w:val="20"/>
          <w:szCs w:val="20"/>
          <w:color w:val="auto"/>
        </w:rPr>
      </w:pPr>
    </w:p>
    <w:p>
      <w:pPr>
        <w:spacing w:after="0" w:line="394" w:lineRule="exact"/>
        <w:rPr>
          <w:sz w:val="20"/>
          <w:szCs w:val="20"/>
          <w:color w:val="auto"/>
        </w:rPr>
      </w:pPr>
    </w:p>
    <w:tbl>
      <w:tblPr>
        <w:tblLayout w:type="fixed"/>
        <w:tblInd w:w="488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Christopher McRorie</w:t>
            </w:r>
          </w:p>
        </w:tc>
      </w:tr>
      <w:tr>
        <w:trPr>
          <w:trHeight w:val="29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Christopher McRorie</w:t>
            </w:r>
          </w:p>
        </w:tc>
        <w:tc>
          <w:tcPr>
            <w:tcW w:w="1620" w:type="dxa"/>
            <w:vAlign w:val="bottom"/>
          </w:tcPr>
          <w:p>
            <w:pPr>
              <w:spacing w:after="0"/>
              <w:rPr>
                <w:sz w:val="24"/>
                <w:szCs w:val="24"/>
                <w:color w:val="auto"/>
              </w:rPr>
            </w:pPr>
          </w:p>
        </w:tc>
      </w:tr>
      <w:tr>
        <w:trPr>
          <w:trHeight w:val="270"/>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Vice President, General Counsel and Secretary</w:t>
            </w:r>
          </w:p>
        </w:tc>
      </w:tr>
    </w:tbl>
    <w:p>
      <w:pPr>
        <w:spacing w:after="0" w:line="27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SELLERS:</w:t>
      </w:r>
    </w:p>
    <w:p>
      <w:pPr>
        <w:spacing w:after="0" w:line="33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200" w:lineRule="exact"/>
        <w:rPr>
          <w:sz w:val="20"/>
          <w:szCs w:val="20"/>
          <w:color w:val="auto"/>
        </w:rPr>
      </w:pPr>
    </w:p>
    <w:p>
      <w:pPr>
        <w:spacing w:after="0" w:line="394" w:lineRule="exact"/>
        <w:rPr>
          <w:sz w:val="20"/>
          <w:szCs w:val="20"/>
          <w:color w:val="auto"/>
        </w:rPr>
      </w:pPr>
    </w:p>
    <w:tbl>
      <w:tblPr>
        <w:tblLayout w:type="fixed"/>
        <w:tblInd w:w="488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 Derek L. Graham</w:t>
            </w:r>
          </w:p>
        </w:tc>
        <w:tc>
          <w:tcPr>
            <w:tcW w:w="300" w:type="dxa"/>
            <w:vAlign w:val="bottom"/>
          </w:tcPr>
          <w:p>
            <w:pPr>
              <w:spacing w:after="0"/>
              <w:rPr>
                <w:sz w:val="17"/>
                <w:szCs w:val="17"/>
                <w:color w:val="auto"/>
              </w:rPr>
            </w:pPr>
          </w:p>
        </w:tc>
      </w:tr>
      <w:tr>
        <w:trPr>
          <w:trHeight w:val="290"/>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Derek L. Graham</w:t>
            </w:r>
          </w:p>
        </w:tc>
      </w:tr>
      <w:tr>
        <w:trPr>
          <w:trHeight w:val="270"/>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13"/>
        </w:trPr>
        <w:tc>
          <w:tcPr>
            <w:tcW w:w="24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CLEARONE HOLDING, LLC</w:t>
            </w:r>
          </w:p>
        </w:tc>
      </w:tr>
      <w:tr>
        <w:trPr>
          <w:trHeight w:val="769"/>
        </w:trPr>
        <w:tc>
          <w:tcPr>
            <w:tcW w:w="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Derek L. Graham</w:t>
            </w:r>
          </w:p>
        </w:tc>
      </w:tr>
      <w:tr>
        <w:trPr>
          <w:trHeight w:val="20"/>
        </w:trPr>
        <w:tc>
          <w:tcPr>
            <w:tcW w:w="700" w:type="dxa"/>
            <w:vAlign w:val="bottom"/>
            <w:tcBorders>
              <w:right w:val="single" w:sz="8" w:color="auto"/>
            </w:tcBorders>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6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Derek L. Graham</w:t>
      </w:r>
    </w:p>
    <w:p>
      <w:pPr>
        <w:spacing w:after="0" w:line="279" w:lineRule="exact"/>
        <w:rPr>
          <w:sz w:val="20"/>
          <w:szCs w:val="20"/>
          <w:color w:val="auto"/>
        </w:rPr>
      </w:pPr>
    </w:p>
    <w:p>
      <w:pPr>
        <w:ind w:left="4980"/>
        <w:spacing w:after="0"/>
        <w:tabs>
          <w:tab w:leader="none" w:pos="55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302" w:lineRule="exact"/>
        <w:rPr>
          <w:sz w:val="20"/>
          <w:szCs w:val="20"/>
          <w:color w:val="auto"/>
        </w:rPr>
      </w:pPr>
    </w:p>
    <w:p>
      <w:pPr>
        <w:jc w:val="right"/>
        <w:ind w:right="2179"/>
        <w:spacing w:after="0"/>
        <w:rPr>
          <w:sz w:val="20"/>
          <w:szCs w:val="20"/>
          <w:color w:val="auto"/>
        </w:rPr>
      </w:pPr>
      <w:r>
        <w:rPr>
          <w:rFonts w:ascii="Times New Roman" w:cs="Times New Roman" w:eastAsia="Times New Roman" w:hAnsi="Times New Roman"/>
          <w:sz w:val="18"/>
          <w:szCs w:val="18"/>
          <w:b w:val="1"/>
          <w:bCs w:val="1"/>
          <w:color w:val="auto"/>
        </w:rPr>
        <w:t>CLEARONE SERVICES, LLC</w:t>
      </w:r>
    </w:p>
    <w:p>
      <w:pPr>
        <w:spacing w:after="0" w:line="200" w:lineRule="exact"/>
        <w:rPr>
          <w:sz w:val="20"/>
          <w:szCs w:val="20"/>
          <w:color w:val="auto"/>
        </w:rPr>
      </w:pPr>
    </w:p>
    <w:p>
      <w:pPr>
        <w:spacing w:after="0" w:line="394" w:lineRule="exact"/>
        <w:rPr>
          <w:sz w:val="20"/>
          <w:szCs w:val="20"/>
          <w:color w:val="auto"/>
        </w:rPr>
      </w:pPr>
    </w:p>
    <w:tbl>
      <w:tblPr>
        <w:tblLayout w:type="fixed"/>
        <w:tblInd w:w="488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Derek L. Graham</w:t>
            </w:r>
          </w:p>
        </w:tc>
        <w:tc>
          <w:tcPr>
            <w:tcW w:w="240" w:type="dxa"/>
            <w:vAlign w:val="bottom"/>
          </w:tcPr>
          <w:p>
            <w:pPr>
              <w:spacing w:after="0"/>
              <w:rPr>
                <w:sz w:val="18"/>
                <w:szCs w:val="18"/>
                <w:color w:val="auto"/>
              </w:rPr>
            </w:pPr>
          </w:p>
        </w:tc>
      </w:tr>
      <w:tr>
        <w:trPr>
          <w:trHeight w:val="290"/>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Derek L. Graham</w:t>
            </w:r>
          </w:p>
        </w:tc>
      </w:tr>
      <w:tr>
        <w:trPr>
          <w:trHeight w:val="270"/>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Chief Executive Officer</w:t>
            </w:r>
          </w:p>
        </w:tc>
      </w:tr>
    </w:tbl>
    <w:p>
      <w:pPr>
        <w:spacing w:after="0" w:line="23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i w:val="1"/>
          <w:iCs w:val="1"/>
          <w:color w:val="auto"/>
        </w:rPr>
        <w:t>Signature Page to</w:t>
      </w:r>
    </w:p>
    <w:p>
      <w:pPr>
        <w:spacing w:after="0" w:line="2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i w:val="1"/>
          <w:iCs w:val="1"/>
          <w:color w:val="auto"/>
        </w:rPr>
        <w:t>Asset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231775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79"/>
          </w:cols>
          <w:pgMar w:left="980" w:top="549" w:right="1440" w:bottom="1440" w:gutter="0" w:footer="0" w:header="0"/>
          <w:type w:val="continuous"/>
        </w:sectPr>
      </w:pPr>
    </w:p>
    <w:bookmarkStart w:id="17" w:name="page18"/>
    <w:bookmarkEnd w:id="17"/>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Business Products &amp; Intellectual Property Rights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 and schedules have been 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49" w:right="1440" w:bottom="1440" w:gutter="0" w:footer="0" w:header="0"/>
        </w:sectPr>
      </w:pPr>
    </w:p>
    <w:bookmarkStart w:id="18" w:name="page19"/>
    <w:bookmarkEnd w:id="18"/>
    <w:p>
      <w:pPr>
        <w:ind w:left="526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Bill of Sale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 and schedules have been 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49" w:right="1440" w:bottom="1440" w:gutter="0" w:footer="0" w:header="0"/>
        </w:sectPr>
      </w:pPr>
    </w:p>
    <w:bookmarkStart w:id="19" w:name="page20"/>
    <w:bookmarkEnd w:id="19"/>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7"/>
          <w:szCs w:val="17"/>
          <w:b w:val="1"/>
          <w:bCs w:val="1"/>
          <w:color w:val="auto"/>
        </w:rPr>
        <w:t>Assignment and Assumption Agreement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 and schedules have been 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49" w:right="1440" w:bottom="1440" w:gutter="0" w:footer="0" w:header="0"/>
        </w:sectPr>
      </w:pPr>
    </w:p>
    <w:bookmarkStart w:id="20" w:name="page21"/>
    <w:bookmarkEnd w:id="2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2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Intellectual Property Assignment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 and schedules have been 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21" w:name="page22"/>
    <w:bookmarkEnd w:id="21"/>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Exhibit E</w:t>
      </w:r>
    </w:p>
    <w:p>
      <w:pPr>
        <w:spacing w:after="0" w:line="22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b w:val="1"/>
          <w:bCs w:val="1"/>
          <w:color w:val="auto"/>
        </w:rPr>
        <w:t>Business Production Assets; Inventory; Material Contracts - Closing Deliverables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 and schedules have been 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49"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EXHIBIT 99.1 (Final Draft for Legal/Accounting Review)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Pro Forma Condensed Consolidated Financial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Sale of Certain Assets to Biamp Systems,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8-05 and Article 11 of Regulation S-X compliant)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unaudited pro forma condensed consolidated financial information illustrates the estimated effects of the Company’s sale of</w:t>
      </w:r>
    </w:p>
    <w:p>
      <w:pPr>
        <w:spacing w:after="0" w:line="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certain inventory, developed technology, and related intangible assets, along with certain contracts and transition rights (the “Transaction”), to Biamp Systems, LLC for $3,000,001 in cash, pursuant to the Asset Purchase Agreement dated October 24, 2025. The Company has prepared the unaudited pro forma condensed consolidated financial information pursuant to the requirements of Rule 8-05 of Regulation S-X, as amended by SEC Final Rule Release No. 33-10786, </w:t>
      </w:r>
      <w:r>
        <w:rPr>
          <w:rFonts w:ascii="Times New Roman" w:cs="Times New Roman" w:eastAsia="Times New Roman" w:hAnsi="Times New Roman"/>
          <w:sz w:val="18"/>
          <w:szCs w:val="18"/>
          <w:i w:val="1"/>
          <w:iCs w:val="1"/>
          <w:color w:val="auto"/>
        </w:rPr>
        <w:t>Amendments to Financial Disclosures About Acquired and Disposed Businesses</w:t>
      </w:r>
      <w:r>
        <w:rPr>
          <w:rFonts w:ascii="Times New Roman" w:cs="Times New Roman" w:eastAsia="Times New Roman" w:hAnsi="Times New Roman"/>
          <w:sz w:val="18"/>
          <w:szCs w:val="18"/>
          <w:color w:val="auto"/>
        </w:rPr>
        <w:t>. The unaudited pro forma condensed consolidated financial information is presented to illustrate the transaction accounting adjustments related to the Transaction. The unaudited pro forma condensed consolidated financial information is not intended to project the future results of operations that the Company may achieve after the Transaction.</w:t>
      </w:r>
    </w:p>
    <w:p>
      <w:pPr>
        <w:spacing w:after="0" w:line="19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condensed consolidated financial information should be read in conjunction with our historical financial statements and notes thereto as filed in our annual report on Form 10-K the year ended December 31, 2024 and quarterly report on Form 10-Q for the quarter ended June 30, 2025 filed with the Securities and Exchange Commission (the “SEC”) on March 28, 2025 and August 14, 2025,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pro forma purposes only:</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unaudited pro forma condensed consolidated balance sheet gives effect to the Transaction as if it occurred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-80645</wp:posOffset>
            </wp:positionV>
            <wp:extent cx="596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unaudited pro forma condensed consolidated statements of operations give effect to the Transaction as if it occurred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-92075</wp:posOffset>
            </wp:positionV>
            <wp:extent cx="596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retains only obligations and costs necessary to continue public-company operations and warranty support. The unaudited pro forma condensed consolidated financial information does not reflect any future restructuring or strategic alternatives. The accompanying pro forma adjustments are based on estimates that have been made solely for the purpose of providing unaudited pro forma condensed consolidated financial information prepared in accordance with the rules and regulations of the SEC. The unaudited pro forma condensed consolidated financial information does not purport to represent the actual results of operations that the Company would have achieved had the Transaction been completed on January 1, 2024 or June 25, 2025, as applicable.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Presentation of Adjustments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effects are shown as:</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Transaction Accounting Adjustments (“TAA”) — direct effects of the asset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-80645</wp:posOffset>
            </wp:positionV>
            <wp:extent cx="596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Autonomous Entity Adjustments (“AEA”) — costs required to operate the remaining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-92075</wp:posOffset>
            </wp:positionV>
            <wp:extent cx="5969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Disposal gain/loss and transaction-related costs are excluded from the unaudited pro condensed consolidated forma statements of operations because they are non-recurring.</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Balance Sheet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June 30,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$000s)</w:t>
            </w:r>
          </w:p>
        </w:tc>
        <w:tc>
          <w:tcPr>
            <w:tcW w:w="20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280" w:type="dxa"/>
            <w:vAlign w:val="bottom"/>
          </w:tcPr>
          <w:p>
            <w:pPr>
              <w:spacing w:after="0"/>
              <w:rPr>
                <w:sz w:val="20"/>
                <w:szCs w:val="20"/>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TAA</w:t>
            </w:r>
          </w:p>
        </w:tc>
        <w:tc>
          <w:tcPr>
            <w:tcW w:w="280" w:type="dxa"/>
            <w:vAlign w:val="bottom"/>
          </w:tcPr>
          <w:p>
            <w:pPr>
              <w:spacing w:after="0"/>
              <w:rPr>
                <w:sz w:val="20"/>
                <w:szCs w:val="20"/>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AEA</w:t>
            </w:r>
          </w:p>
        </w:tc>
        <w:tc>
          <w:tcPr>
            <w:tcW w:w="16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0" w:type="dxa"/>
            <w:vAlign w:val="bottom"/>
          </w:tcPr>
          <w:p>
            <w:pPr>
              <w:spacing w:after="0"/>
              <w:rPr>
                <w:sz w:val="1"/>
                <w:szCs w:val="1"/>
                <w:color w:val="auto"/>
              </w:rPr>
            </w:pPr>
          </w:p>
        </w:tc>
      </w:tr>
      <w:tr>
        <w:trPr>
          <w:trHeight w:val="223"/>
        </w:trPr>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0" w:type="dxa"/>
            <w:vAlign w:val="bottom"/>
          </w:tcPr>
          <w:p>
            <w:pPr>
              <w:spacing w:after="0"/>
              <w:rPr>
                <w:sz w:val="1"/>
                <w:szCs w:val="1"/>
                <w:color w:val="auto"/>
              </w:rPr>
            </w:pPr>
          </w:p>
        </w:tc>
      </w:tr>
      <w:tr>
        <w:trPr>
          <w:trHeight w:val="24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 net</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Income tax receivable</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Prepaids &amp; other</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Inventory, net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(8,454)</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0"/>
        </w:trPr>
        <w:tc>
          <w:tcPr>
            <w:tcW w:w="59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6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(5,454)</w:t>
            </w: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(1,030)</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10,385</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inventory, net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(4,633)</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PP&amp;E, net</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(1,453)</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43"/>
        </w:trPr>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ROU asset</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09"/>
        </w:trPr>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11,435</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0" w:type="dxa"/>
            <w:vAlign w:val="bottom"/>
          </w:tcPr>
          <w:p>
            <w:pPr>
              <w:spacing w:after="0"/>
              <w:rPr>
                <w:sz w:val="1"/>
                <w:szCs w:val="1"/>
                <w:color w:val="auto"/>
              </w:rPr>
            </w:pPr>
          </w:p>
        </w:tc>
      </w:tr>
      <w:tr>
        <w:trPr>
          <w:trHeight w:val="24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Short-term note payable</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0" w:type="dxa"/>
            <w:vAlign w:val="bottom"/>
          </w:tcPr>
          <w:p>
            <w:pPr>
              <w:spacing w:after="0"/>
              <w:rPr>
                <w:sz w:val="1"/>
                <w:szCs w:val="1"/>
                <w:color w:val="auto"/>
              </w:rPr>
            </w:pPr>
          </w:p>
        </w:tc>
      </w:tr>
      <w:tr>
        <w:trPr>
          <w:trHeight w:val="24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8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Warranty liability</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4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 LT</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43"/>
        </w:trPr>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LT liabilities</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0" w:type="dxa"/>
            <w:vAlign w:val="bottom"/>
          </w:tcPr>
          <w:p>
            <w:pPr>
              <w:spacing w:after="0"/>
              <w:rPr>
                <w:sz w:val="1"/>
                <w:szCs w:val="1"/>
                <w:color w:val="auto"/>
              </w:rPr>
            </w:pPr>
          </w:p>
        </w:tc>
      </w:tr>
      <w:tr>
        <w:trPr>
          <w:trHeight w:val="23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10,089</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Common &amp; APIC</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32,740</w:t>
            </w:r>
          </w:p>
        </w:tc>
        <w:tc>
          <w:tcPr>
            <w:tcW w:w="0" w:type="dxa"/>
            <w:vAlign w:val="bottom"/>
          </w:tcPr>
          <w:p>
            <w:pPr>
              <w:spacing w:after="0"/>
              <w:rPr>
                <w:sz w:val="1"/>
                <w:szCs w:val="1"/>
                <w:color w:val="auto"/>
              </w:rPr>
            </w:pPr>
          </w:p>
        </w:tc>
      </w:tr>
      <w:tr>
        <w:trPr>
          <w:trHeight w:val="24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(17,465)</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(12,570)*</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(1,030)</w:t>
            </w: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(31,065)</w:t>
            </w:r>
          </w:p>
        </w:tc>
        <w:tc>
          <w:tcPr>
            <w:tcW w:w="0" w:type="dxa"/>
            <w:vAlign w:val="bottom"/>
          </w:tcPr>
          <w:p>
            <w:pPr>
              <w:spacing w:after="0"/>
              <w:rPr>
                <w:sz w:val="1"/>
                <w:szCs w:val="1"/>
                <w:color w:val="auto"/>
              </w:rPr>
            </w:pPr>
          </w:p>
        </w:tc>
      </w:tr>
      <w:tr>
        <w:trPr>
          <w:trHeight w:val="243"/>
        </w:trPr>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AOCI</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3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(12,570)</w:t>
            </w: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(1,030)</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0" w:type="dxa"/>
            <w:vAlign w:val="bottom"/>
          </w:tcPr>
          <w:p>
            <w:pPr>
              <w:spacing w:after="0"/>
              <w:rPr>
                <w:sz w:val="1"/>
                <w:szCs w:val="1"/>
                <w:color w:val="auto"/>
              </w:rPr>
            </w:pPr>
          </w:p>
        </w:tc>
      </w:tr>
      <w:tr>
        <w:trPr>
          <w:trHeight w:val="210"/>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 Equity</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24,005</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(11,540)</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11,435</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Reduction to equity for disposal loss (not presented in P&amp;L)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Statement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$000s)</w:t>
            </w:r>
          </w:p>
        </w:tc>
        <w:tc>
          <w:tcPr>
            <w:tcW w:w="20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300" w:type="dxa"/>
            <w:vAlign w:val="bottom"/>
          </w:tcPr>
          <w:p>
            <w:pPr>
              <w:spacing w:after="0"/>
              <w:rPr>
                <w:sz w:val="20"/>
                <w:szCs w:val="20"/>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TAA</w:t>
            </w:r>
          </w:p>
        </w:tc>
        <w:tc>
          <w:tcPr>
            <w:tcW w:w="300" w:type="dxa"/>
            <w:vAlign w:val="bottom"/>
          </w:tcPr>
          <w:p>
            <w:pPr>
              <w:spacing w:after="0"/>
              <w:rPr>
                <w:sz w:val="20"/>
                <w:szCs w:val="20"/>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AEA</w:t>
            </w:r>
          </w:p>
        </w:tc>
        <w:tc>
          <w:tcPr>
            <w:tcW w:w="18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Pro Forma</w:t>
            </w:r>
          </w:p>
        </w:tc>
      </w:tr>
      <w:tr>
        <w:trPr>
          <w:trHeight w:val="54"/>
        </w:trPr>
        <w:tc>
          <w:tcPr>
            <w:tcW w:w="59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9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(11,386)</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11"/>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(8,730)</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59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304"/>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(2,656)</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1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(4,543)</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11"/>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(3,291)</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1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(1,483)</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w:t>
            </w:r>
          </w:p>
        </w:tc>
      </w:tr>
      <w:tr>
        <w:trPr>
          <w:trHeight w:val="311"/>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30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(9,577)</w:t>
            </w:r>
          </w:p>
        </w:tc>
        <w:tc>
          <w:tcPr>
            <w:tcW w:w="3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w:t>
            </w:r>
          </w:p>
        </w:tc>
      </w:tr>
      <w:tr>
        <w:trPr>
          <w:trHeight w:val="304"/>
        </w:trPr>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00" w:type="dxa"/>
            <w:vAlign w:val="bottom"/>
            <w:tcBorders>
              <w:top w:val="single" w:sz="8" w:color="auto"/>
            </w:tcBorders>
            <w:shd w:val="clear" w:color="auto" w:fill="CCEEFF"/>
          </w:tcPr>
          <w:p>
            <w:pPr>
              <w:spacing w:after="0"/>
              <w:rPr>
                <w:sz w:val="24"/>
                <w:szCs w:val="2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(9,211)</w:t>
            </w:r>
          </w:p>
        </w:tc>
        <w:tc>
          <w:tcPr>
            <w:tcW w:w="1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6,921</w:t>
            </w:r>
          </w:p>
        </w:tc>
        <w:tc>
          <w:tcPr>
            <w:tcW w:w="10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r>
      <w:tr>
        <w:trPr>
          <w:trHeight w:val="311"/>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(expense)</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311"/>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30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(8,828)</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w:t>
            </w:r>
          </w:p>
        </w:tc>
      </w:tr>
      <w:tr>
        <w:trPr>
          <w:trHeight w:val="311"/>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17"/>
        </w:trPr>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(8,983)</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w:t>
            </w:r>
          </w:p>
        </w:tc>
      </w:tr>
      <w:tr>
        <w:trPr>
          <w:trHeight w:val="305"/>
        </w:trPr>
        <w:tc>
          <w:tcPr>
            <w:tcW w:w="59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31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1,599,533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1,599,533</w:t>
            </w:r>
          </w:p>
        </w:tc>
      </w:tr>
      <w:tr>
        <w:trPr>
          <w:trHeight w:val="311"/>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1,599,533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1,599,533</w:t>
            </w:r>
          </w:p>
        </w:tc>
      </w:tr>
      <w:tr>
        <w:trPr>
          <w:trHeight w:val="351"/>
        </w:trPr>
        <w:tc>
          <w:tcPr>
            <w:tcW w:w="5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loss per share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(5.62)</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(5.62)</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G&amp;A retained includes exec/admin, legal, audit, D&amp;O, IT, limited facilities, and warranty labor.</w:t>
      </w:r>
    </w:p>
    <w:p>
      <w:pPr>
        <w:spacing w:after="0" w:line="25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Statement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$000s)</w:t>
            </w:r>
          </w:p>
        </w:tc>
        <w:tc>
          <w:tcPr>
            <w:tcW w:w="20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280" w:type="dxa"/>
            <w:vAlign w:val="bottom"/>
          </w:tcPr>
          <w:p>
            <w:pPr>
              <w:spacing w:after="0"/>
              <w:rPr>
                <w:sz w:val="20"/>
                <w:szCs w:val="20"/>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TAA</w:t>
            </w:r>
          </w:p>
        </w:tc>
        <w:tc>
          <w:tcPr>
            <w:tcW w:w="280" w:type="dxa"/>
            <w:vAlign w:val="bottom"/>
          </w:tcPr>
          <w:p>
            <w:pPr>
              <w:spacing w:after="0"/>
              <w:rPr>
                <w:sz w:val="20"/>
                <w:szCs w:val="20"/>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AEA</w:t>
            </w:r>
          </w:p>
        </w:tc>
        <w:tc>
          <w:tcPr>
            <w:tcW w:w="16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Pro Forma</w:t>
            </w:r>
          </w:p>
        </w:tc>
      </w:tr>
      <w:tr>
        <w:trPr>
          <w:trHeight w:val="223"/>
        </w:trPr>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(4,339)</w:t>
            </w:r>
          </w:p>
        </w:tc>
        <w:tc>
          <w:tcPr>
            <w:tcW w:w="28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59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23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w:t>
            </w: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2,499</w:t>
            </w:r>
          </w:p>
        </w:tc>
        <w:tc>
          <w:tcPr>
            <w:tcW w:w="28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(2,011)</w:t>
            </w:r>
          </w:p>
        </w:tc>
        <w:tc>
          <w:tcPr>
            <w:tcW w:w="28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(488)</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2,050</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(1,532)</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(518)</w:t>
            </w: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2,644</w:t>
            </w:r>
          </w:p>
        </w:tc>
        <w:tc>
          <w:tcPr>
            <w:tcW w:w="28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(989)</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r>
      <w:tr>
        <w:trPr>
          <w:trHeight w:val="24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237"/>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(4,634)</w:t>
            </w:r>
          </w:p>
        </w:tc>
        <w:tc>
          <w:tcPr>
            <w:tcW w:w="2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(1,006)</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r>
      <w:tr>
        <w:trPr>
          <w:trHeight w:val="20"/>
        </w:trPr>
        <w:tc>
          <w:tcPr>
            <w:tcW w:w="59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23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4,744</w:t>
            </w: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929</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(expense)</w:t>
            </w:r>
          </w:p>
        </w:tc>
        <w:tc>
          <w:tcPr>
            <w:tcW w:w="20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7"/>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(7,398)</w:t>
            </w:r>
          </w:p>
        </w:tc>
        <w:tc>
          <w:tcPr>
            <w:tcW w:w="2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4,744</w:t>
            </w:r>
          </w:p>
        </w:tc>
        <w:tc>
          <w:tcPr>
            <w:tcW w:w="2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929</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r>
      <w:tr>
        <w:trPr>
          <w:trHeight w:val="24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(7,406)</w:t>
            </w:r>
          </w:p>
        </w:tc>
        <w:tc>
          <w:tcPr>
            <w:tcW w:w="1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4,752</w:t>
            </w:r>
          </w:p>
        </w:tc>
        <w:tc>
          <w:tcPr>
            <w:tcW w:w="1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w:t>
            </w:r>
          </w:p>
        </w:tc>
      </w:tr>
      <w:tr>
        <w:trPr>
          <w:trHeight w:val="223"/>
        </w:trPr>
        <w:tc>
          <w:tcPr>
            <w:tcW w:w="5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20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1,691,836</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1,691,836</w:t>
            </w:r>
          </w:p>
        </w:tc>
      </w:tr>
      <w:tr>
        <w:trPr>
          <w:trHeight w:val="24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1,691,836</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1,691,836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Basic loss per share</w:t>
            </w:r>
          </w:p>
        </w:tc>
        <w:tc>
          <w:tcPr>
            <w:tcW w:w="26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4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26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G&amp;A retained includes exec/admin, legal, audit, D&amp;O, IT, limited facilities, and warranty labor.</w:t>
      </w:r>
    </w:p>
    <w:p>
      <w:pPr>
        <w:spacing w:after="0" w:line="25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left="787" w:hanging="787"/>
        <w:spacing w:after="0"/>
        <w:tabs>
          <w:tab w:leader="none" w:pos="78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w:t>
      </w:r>
    </w:p>
    <w:p>
      <w:pPr>
        <w:spacing w:after="0" w:line="36" w:lineRule="exact"/>
        <w:rPr>
          <w:rFonts w:ascii="Times New Roman" w:cs="Times New Roman" w:eastAsia="Times New Roman" w:hAnsi="Times New Roman"/>
          <w:sz w:val="18"/>
          <w:szCs w:val="18"/>
          <w:color w:val="auto"/>
        </w:rPr>
      </w:pPr>
    </w:p>
    <w:p>
      <w:pPr>
        <w:ind w:left="787" w:hanging="787"/>
        <w:spacing w:after="0"/>
        <w:tabs>
          <w:tab w:leader="none" w:pos="78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w:t>
      </w:r>
    </w:p>
    <w:p>
      <w:pPr>
        <w:sectPr>
          <w:pgSz w:w="11900" w:h="16838" w:orient="portrait"/>
          <w:cols w:equalWidth="0" w:num="2">
            <w:col w:w="9293" w:space="720"/>
            <w:col w:w="1227"/>
          </w:cols>
          <w:pgMar w:left="320" w:top="549"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Consolidated 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 Description of the Transaction</w:t>
      </w:r>
    </w:p>
    <w:p>
      <w:pPr>
        <w:spacing w:after="0" w:line="22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October 24, 2025, ClearOne, Inc. (the “Company”) completed the sale of certain developed technology, other identifiable intangible assets, inventory, and associated contracts and transition rights to Biamp Systems, LLC (the “Buyer”) for $3,000,001 in cash (the “Transaction”). The Transaction was executed pursuant to the Asset Purchase Agreement dated October 24, 2025 (the “APA”).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Basis of Pro Forma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condensed consolidated financial information is presented in accordance with Rule 8-05 and Article 11 of Regulation S-X.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pro forma purposes only:</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unaudited pro forma condensed consolidated balance sheet presents the Transaction as if it occurred on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-80645</wp:posOffset>
            </wp:positionV>
            <wp:extent cx="59690" cy="59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 w:lineRule="exact"/>
        <w:rPr>
          <w:sz w:val="20"/>
          <w:szCs w:val="20"/>
          <w:color w:val="auto"/>
        </w:rPr>
      </w:pPr>
    </w:p>
    <w:p>
      <w:pPr>
        <w:ind w:left="880" w:right="180"/>
        <w:spacing w:after="0" w:line="260" w:lineRule="auto"/>
        <w:rPr>
          <w:sz w:val="20"/>
          <w:szCs w:val="20"/>
          <w:color w:val="auto"/>
        </w:rPr>
      </w:pPr>
      <w:r>
        <w:rPr>
          <w:rFonts w:ascii="Times New Roman" w:cs="Times New Roman" w:eastAsia="Times New Roman" w:hAnsi="Times New Roman"/>
          <w:sz w:val="18"/>
          <w:szCs w:val="18"/>
          <w:color w:val="auto"/>
        </w:rPr>
        <w:t>The unaudited pro forma condensed consolidated statements of operations present the Transaction as if it occurred on January 1, 2024, for all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-245110</wp:posOffset>
            </wp:positionV>
            <wp:extent cx="59690" cy="59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consolidated financial statements are presented for illustrative purposes only and do not indicate the financial condition or operating results of the Company had the Transaction occurred on the dates assumed, nor do they project future financial performance.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 — Transaction Accounting Adjustments (“TAAs”)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TAAs reflect the direct accounting effects of the Transaction and include:</w:t>
      </w:r>
    </w:p>
    <w:p>
      <w:pPr>
        <w:spacing w:after="0" w:line="19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Derecognition of inventory sold of approximately $13.1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-80645</wp:posOffset>
            </wp:positionV>
            <wp:extent cx="59690"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 w:lineRule="exact"/>
        <w:rPr>
          <w:sz w:val="20"/>
          <w:szCs w:val="20"/>
          <w:color w:val="auto"/>
        </w:rPr>
      </w:pPr>
    </w:p>
    <w:p>
      <w:pPr>
        <w:ind w:left="880" w:right="2500"/>
        <w:spacing w:after="0" w:line="250" w:lineRule="auto"/>
        <w:rPr>
          <w:sz w:val="20"/>
          <w:szCs w:val="20"/>
          <w:color w:val="auto"/>
        </w:rPr>
      </w:pPr>
      <w:r>
        <w:rPr>
          <w:rFonts w:ascii="Times New Roman" w:cs="Times New Roman" w:eastAsia="Times New Roman" w:hAnsi="Times New Roman"/>
          <w:sz w:val="18"/>
          <w:szCs w:val="18"/>
          <w:color w:val="auto"/>
        </w:rPr>
        <w:t>Derecognition of developed technology and other identifiable intangible assets of approximately $1.5 million Recognition of cash proceeds of $3.0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-234315</wp:posOffset>
            </wp:positionV>
            <wp:extent cx="59690"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318135</wp:posOffset>
            </wp:positionH>
            <wp:positionV relativeFrom="paragraph">
              <wp:posOffset>-97155</wp:posOffset>
            </wp:positionV>
            <wp:extent cx="59690"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880" w:right="500"/>
        <w:spacing w:after="0" w:line="260" w:lineRule="auto"/>
        <w:rPr>
          <w:sz w:val="20"/>
          <w:szCs w:val="20"/>
          <w:color w:val="auto"/>
        </w:rPr>
      </w:pPr>
      <w:r>
        <w:rPr>
          <w:rFonts w:ascii="Times New Roman" w:cs="Times New Roman" w:eastAsia="Times New Roman" w:hAnsi="Times New Roman"/>
          <w:sz w:val="18"/>
          <w:szCs w:val="18"/>
          <w:color w:val="auto"/>
        </w:rPr>
        <w:t>Recognition of incremental Flextronics final inventory obligations of approximately $1.0 million, treated as disposal-related loss directly attributable to the sold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-245110</wp:posOffset>
            </wp:positionV>
            <wp:extent cx="59690"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disposal gain or loss is recognized as an adjustment to equity only in the unaudited pro forma condensed consolidated balance sheet and is not reflected in the unaudited pro forma condensed consolidated statements of operations because the disposal effect is a non-recurring item directly attributable to the Transaction.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 — Autonomous Entity Adjustments (“AEAs”)</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AEAs reflect adjustments to historical results to remove expenses not expected to continue and to add expenses necessary to operate the remaining public-company structure, resulting in the Company’s continuing cost profile following the Transaction: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adjustments include:</w:t>
      </w:r>
    </w:p>
    <w:p>
      <w:pPr>
        <w:spacing w:after="0" w:line="185" w:lineRule="exact"/>
        <w:rPr>
          <w:sz w:val="20"/>
          <w:szCs w:val="20"/>
          <w:color w:val="auto"/>
        </w:rPr>
      </w:pPr>
    </w:p>
    <w:p>
      <w:pPr>
        <w:ind w:left="880" w:right="20"/>
        <w:spacing w:after="0" w:line="261" w:lineRule="auto"/>
        <w:rPr>
          <w:sz w:val="20"/>
          <w:szCs w:val="20"/>
          <w:color w:val="auto"/>
        </w:rPr>
      </w:pPr>
      <w:r>
        <w:rPr>
          <w:rFonts w:ascii="Times New Roman" w:cs="Times New Roman" w:eastAsia="Times New Roman" w:hAnsi="Times New Roman"/>
          <w:sz w:val="18"/>
          <w:szCs w:val="18"/>
          <w:color w:val="auto"/>
        </w:rPr>
        <w:t>Elimination of costs associated exclusively with the disposed revenue-generating operations, including commercial sales, product development, and manufacturing support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-234950</wp:posOffset>
            </wp:positionV>
            <wp:extent cx="59690"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980" w:hanging="101"/>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public-company costs, such as audit, legal, board compensation, insurance, IT, and limited facility costs</w:t>
      </w:r>
    </w:p>
    <w:p>
      <w:pPr>
        <w:spacing w:after="0" w:line="9" w:lineRule="exact"/>
        <w:rPr>
          <w:rFonts w:ascii="Times New Roman" w:cs="Times New Roman" w:eastAsia="Times New Roman" w:hAnsi="Times New Roman"/>
          <w:sz w:val="18"/>
          <w:szCs w:val="18"/>
          <w:color w:val="auto"/>
        </w:rPr>
      </w:pPr>
    </w:p>
    <w:p>
      <w:pPr>
        <w:ind w:left="980" w:hanging="101"/>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warranty support personnel and related spare parts management activities to service existing warranties</w:t>
      </w:r>
    </w:p>
    <w:p>
      <w:pPr>
        <w:spacing w:after="0" w:line="180" w:lineRule="exact"/>
        <w:rPr>
          <w:sz w:val="20"/>
          <w:szCs w:val="20"/>
          <w:color w:val="auto"/>
        </w:rPr>
      </w:pPr>
    </w:p>
    <w:p>
      <w:pPr>
        <w:jc w:val="both"/>
        <w:ind w:right="720"/>
        <w:spacing w:after="0" w:line="258" w:lineRule="auto"/>
        <w:rPr>
          <w:sz w:val="20"/>
          <w:szCs w:val="20"/>
          <w:color w:val="auto"/>
        </w:rPr>
      </w:pPr>
      <w:r>
        <w:rPr>
          <w:rFonts w:ascii="Times New Roman" w:cs="Times New Roman" w:eastAsia="Times New Roman" w:hAnsi="Times New Roman"/>
          <w:sz w:val="18"/>
          <w:szCs w:val="18"/>
          <w:color w:val="auto"/>
        </w:rPr>
        <w:t>These adjustments are factually supportable, directly attributable to the change in operations, and are expected to have a continuing impact on the Company’s financial statements. Amounts shown in the AEA column represent the net adjustments necessary to reconcile historical results to the Company’s expected continuing operations.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Note 5 — Warranty Obligations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retained responsibility for warranty obligations related to products previously sold. The Company retained approximately $0.39</w:t>
      </w:r>
    </w:p>
    <w:p>
      <w:pPr>
        <w:spacing w:after="0" w:line="27"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million of warranty-related inventory, inclusive of capitalized manufacturing overhead (approximately 28%), which is expected to service substantially all warranty claims.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warranty liability of approximately $0.18 million is retained.</w:t>
      </w:r>
    </w:p>
    <w:p>
      <w:pPr>
        <w:spacing w:after="0" w:line="22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Company may incur future cash refund obligations once retained inventory is exhausted; however, such future outflows cannot be reliably estimated and therefore are not reflected in the unaudited pro forma condensed consolidated financial information. Warranty labor costs are presented within cost of goods sold in the unaudited pro forma condensed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6 — Income Taxes</w:t>
      </w:r>
    </w:p>
    <w:p>
      <w:pPr>
        <w:spacing w:after="0" w:line="22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has incurred operating losses in recent years and maintains a full valuation allowance against deferred tax assets. Accordingly, no tax effects have been included in the unaudited pro forma condensed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tax effects may differ materially.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7 — Excluded Non-Recurring Items</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items are directly attributable to the Transaction and are non-recurring and therefore are excluded from the unaudited pro forma condensed consolidated statements of operations:</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Employee separation and restructuring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-80645</wp:posOffset>
            </wp:positionV>
            <wp:extent cx="59690"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Facilities exit costs, including headquarters 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-92075</wp:posOffset>
            </wp:positionV>
            <wp:extent cx="59690"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880"/>
        <w:spacing w:after="0"/>
        <w:rPr>
          <w:sz w:val="20"/>
          <w:szCs w:val="20"/>
          <w:color w:val="auto"/>
        </w:rPr>
      </w:pPr>
      <w:r>
        <w:rPr>
          <w:rFonts w:ascii="Times New Roman" w:cs="Times New Roman" w:eastAsia="Times New Roman" w:hAnsi="Times New Roman"/>
          <w:sz w:val="18"/>
          <w:szCs w:val="18"/>
          <w:color w:val="auto"/>
        </w:rPr>
        <w:t>Certain country shutdown and compliance wind-down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-92075</wp:posOffset>
            </wp:positionV>
            <wp:extent cx="59690"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880"/>
        <w:spacing w:after="0"/>
        <w:rPr>
          <w:sz w:val="20"/>
          <w:szCs w:val="20"/>
          <w:color w:val="auto"/>
        </w:rPr>
      </w:pPr>
      <w:r>
        <w:rPr>
          <w:rFonts w:ascii="Times New Roman" w:cs="Times New Roman" w:eastAsia="Times New Roman" w:hAnsi="Times New Roman"/>
          <w:sz w:val="18"/>
          <w:szCs w:val="18"/>
          <w:color w:val="auto"/>
        </w:rPr>
        <w:t>Transaction-related legal, advisory, and other 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-92075</wp:posOffset>
            </wp:positionV>
            <wp:extent cx="59690"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880"/>
        <w:spacing w:after="0"/>
        <w:rPr>
          <w:sz w:val="20"/>
          <w:szCs w:val="20"/>
          <w:color w:val="auto"/>
        </w:rPr>
      </w:pPr>
      <w:r>
        <w:rPr>
          <w:rFonts w:ascii="Times New Roman" w:cs="Times New Roman" w:eastAsia="Times New Roman" w:hAnsi="Times New Roman"/>
          <w:sz w:val="18"/>
          <w:szCs w:val="18"/>
          <w:color w:val="auto"/>
        </w:rPr>
        <w:t>Disposal gain/loss recognized in connection with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-92075</wp:posOffset>
            </wp:positionV>
            <wp:extent cx="59690" cy="59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right="820" w:firstLine="871"/>
        <w:spacing w:after="0" w:line="464" w:lineRule="auto"/>
        <w:rPr>
          <w:sz w:val="20"/>
          <w:szCs w:val="20"/>
          <w:color w:val="auto"/>
        </w:rPr>
      </w:pPr>
      <w:r>
        <w:rPr>
          <w:rFonts w:ascii="Times New Roman" w:cs="Times New Roman" w:eastAsia="Times New Roman" w:hAnsi="Times New Roman"/>
          <w:sz w:val="18"/>
          <w:szCs w:val="18"/>
          <w:color w:val="auto"/>
        </w:rPr>
        <w:t>Incremental settlement amounts relating to disposition of pre-existing supply chain obligations not reflective of ongoing operations These items are reflected in the unaudited pro forma condensed consolidated balance sheet only to the extent accrued as of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-468630</wp:posOffset>
            </wp:positionV>
            <wp:extent cx="59690"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Note 8 — Subsequent Events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will continue to evaluate the effects of the Transaction on its business strategy and capital structure. The Company expects to operate with a reduced cost structure while continuing to assess alternatives available to a public registrant.</w:t>
      </w:r>
    </w:p>
    <w:p>
      <w:pPr>
        <w:spacing w:after="0" w:line="1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53" w:right="439" w:bottom="1440" w:gutter="0" w:footer="0" w:header="0"/>
        </w:sectPr>
      </w:pPr>
    </w:p>
    <w:bookmarkStart w:id="28" w:name="page29"/>
    <w:bookmarkEnd w:id="2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1"/>
    </w:lvl>
    <w:lvl w:ilvl="1">
      <w:lvlJc w:val="left"/>
      <w:lvlText w:val="(%2)"/>
      <w:numFmt w:val="lowerRoman"/>
      <w:start w:val="1"/>
    </w:lvl>
  </w:abstractNum>
  <w:abstractNum w:abstractNumId="3">
    <w:nsid w:val="2EB141F2"/>
    <w:multiLevelType w:val="hybridMultilevel"/>
    <w:lvl w:ilvl="0">
      <w:lvlJc w:val="left"/>
      <w:lvlText w:val="(%1)"/>
      <w:numFmt w:val="lowerRoman"/>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lvl w:ilvl="1">
      <w:lvlJc w:val="left"/>
      <w:lvlText w:val="(%2)"/>
      <w:numFmt w:val="lowerLetter"/>
      <w:start w:val="2"/>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2025-10-30T15:17:23Z</dcterms:created>
  <dcterms:modified xsi:type="dcterms:W3CDTF">2025-10-30T15:17:23Z</dcterms:modified>
</cp:coreProperties>
</file>