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8-K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November 5, 2007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160"/>
        <w:spacing w:after="0"/>
        <w:tabs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000-17219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87-0398877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17145</wp:posOffset>
            </wp:positionV>
            <wp:extent cx="289877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560"/>
        <w:spacing w:after="0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(I.R.S. employer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identification number)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34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33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8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Written communications pursuant to Rule 425 under the Securities Act (17 CFR 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40.14a-12)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Pre-commencement communications pursuant to Rule 14d-2(b) under the Exchange Act (17 CFR 240.14d-2(b))</w:t>
            </w:r>
          </w:p>
        </w:tc>
      </w:tr>
    </w:tbl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36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66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-381000</wp:posOffset>
            </wp:positionV>
            <wp:extent cx="7250430" cy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796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On Monday, November 5, 2007, Chief Judge Tena Campbell of the United States District Court, District of Utah, Central Division, in the case of 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ClearOne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Communications, Inc. v. Andrew Chiang, et al.</w:t>
      </w:r>
      <w:r>
        <w:rPr>
          <w:rFonts w:ascii="Arial" w:cs="Arial" w:eastAsia="Arial" w:hAnsi="Arial"/>
          <w:sz w:val="17"/>
          <w:szCs w:val="17"/>
          <w:color w:val="auto"/>
        </w:rPr>
        <w:t>, Civil No 2:07cv00037TC, issued an order establishing the amount for the bond to be posted by ClearOne in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7"/>
          <w:szCs w:val="17"/>
          <w:color w:val="auto"/>
        </w:rPr>
        <w:t>conjunction with the Court’s grant of ClearOne’s motion for a preliminary injunction. This preliminary injunction order was issued by Chief Judge Tena Campbell on October 30, 2007 and is more fully described in the Form 8-K filed by the Company on November 1, 2007. The bond was set in the amount of $907,909. In accordance with the order, the Company placed the bond with the clerk of the Court on November 6, 2007</w:t>
      </w:r>
      <w:r>
        <w:rPr>
          <w:rFonts w:ascii="Arial" w:cs="Arial" w:eastAsia="Arial" w:hAnsi="Arial"/>
          <w:sz w:val="20"/>
          <w:szCs w:val="20"/>
          <w:color w:val="auto"/>
        </w:rPr>
        <w:t>.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litigation is subject to all of the risks and uncertainties of litigation and there can be no assurance as to the probable result of this litigation.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center"/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7, 2007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Zeynep Hakimoglu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14605</wp:posOffset>
            </wp:positionV>
            <wp:extent cx="40220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Zeynep Hakimoglu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Chairman, President and Chief Executive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64" w:right="239" w:bottom="1440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2019-12-13T17:59:28Z</dcterms:created>
  <dcterms:modified xsi:type="dcterms:W3CDTF">2019-12-13T17:59:28Z</dcterms:modified>
</cp:coreProperties>
</file>