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6, 2015</w:t>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ClearOne,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ind w:left="1640"/>
              <w:spacing w:after="0"/>
              <w:rPr>
                <w:sz w:val="20"/>
                <w:szCs w:val="20"/>
                <w:color w:val="auto"/>
              </w:rPr>
            </w:pPr>
            <w:r>
              <w:rPr>
                <w:rFonts w:ascii="Arial" w:cs="Arial" w:eastAsia="Arial" w:hAnsi="Arial"/>
                <w:sz w:val="18"/>
                <w:szCs w:val="18"/>
                <w:b w:val="1"/>
                <w:bCs w:val="1"/>
                <w:color w:val="auto"/>
              </w:rPr>
              <w:t>Utah</w:t>
            </w:r>
          </w:p>
        </w:tc>
        <w:tc>
          <w:tcPr>
            <w:tcW w:w="3880" w:type="dxa"/>
            <w:vAlign w:val="bottom"/>
          </w:tcPr>
          <w:p>
            <w:pPr>
              <w:jc w:val="right"/>
              <w:ind w:right="1450"/>
              <w:spacing w:after="0"/>
              <w:rPr>
                <w:sz w:val="20"/>
                <w:szCs w:val="20"/>
                <w:color w:val="auto"/>
              </w:rPr>
            </w:pPr>
            <w:r>
              <w:rPr>
                <w:rFonts w:ascii="Arial" w:cs="Arial" w:eastAsia="Arial" w:hAnsi="Arial"/>
                <w:sz w:val="18"/>
                <w:szCs w:val="18"/>
                <w:b w:val="1"/>
                <w:bCs w:val="1"/>
                <w:color w:val="auto"/>
              </w:rPr>
              <w:t>001-33660</w:t>
            </w:r>
          </w:p>
        </w:tc>
        <w:tc>
          <w:tcPr>
            <w:tcW w:w="220" w:type="dxa"/>
            <w:vAlign w:val="bottom"/>
          </w:tcPr>
          <w:p>
            <w:pPr>
              <w:spacing w:after="0"/>
              <w:rPr>
                <w:sz w:val="20"/>
                <w:szCs w:val="20"/>
                <w:color w:val="auto"/>
              </w:rPr>
            </w:pPr>
          </w:p>
        </w:tc>
        <w:tc>
          <w:tcPr>
            <w:tcW w:w="3420" w:type="dxa"/>
            <w:vAlign w:val="bottom"/>
          </w:tcPr>
          <w:p>
            <w:pPr>
              <w:jc w:val="right"/>
              <w:ind w:right="1190"/>
              <w:spacing w:after="0"/>
              <w:rPr>
                <w:sz w:val="20"/>
                <w:szCs w:val="20"/>
                <w:color w:val="auto"/>
              </w:rPr>
            </w:pPr>
            <w:r>
              <w:rPr>
                <w:rFonts w:ascii="Arial" w:cs="Arial" w:eastAsia="Arial" w:hAnsi="Arial"/>
                <w:sz w:val="18"/>
                <w:szCs w:val="18"/>
                <w:b w:val="1"/>
                <w:bCs w:val="1"/>
                <w:color w:val="auto"/>
              </w:rPr>
              <w:t>87-0398877</w:t>
            </w:r>
          </w:p>
        </w:tc>
      </w:tr>
      <w:tr>
        <w:trPr>
          <w:trHeight w:val="27"/>
        </w:trPr>
        <w:tc>
          <w:tcPr>
            <w:tcW w:w="3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222"/>
        </w:trPr>
        <w:tc>
          <w:tcPr>
            <w:tcW w:w="39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(State or other jurisdiction</w:t>
            </w:r>
          </w:p>
        </w:tc>
        <w:tc>
          <w:tcPr>
            <w:tcW w:w="3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9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of incorporation)</w:t>
            </w:r>
          </w:p>
        </w:tc>
        <w:tc>
          <w:tcPr>
            <w:tcW w:w="41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(Commission File Number)</w:t>
            </w: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902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0"/>
              </w:rPr>
              <w:t>5225 Wiley Post Way, Suite 500</w:t>
            </w:r>
          </w:p>
        </w:tc>
        <w:tc>
          <w:tcPr>
            <w:tcW w:w="2400" w:type="dxa"/>
            <w:vAlign w:val="bottom"/>
          </w:tcPr>
          <w:p>
            <w:pPr>
              <w:spacing w:after="0"/>
              <w:rPr>
                <w:sz w:val="18"/>
                <w:szCs w:val="18"/>
                <w:color w:val="auto"/>
              </w:rPr>
            </w:pPr>
          </w:p>
        </w:tc>
      </w:tr>
      <w:tr>
        <w:trPr>
          <w:trHeight w:val="234"/>
        </w:trPr>
        <w:tc>
          <w:tcPr>
            <w:tcW w:w="902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3"/>
              </w:rPr>
              <w:t>Salt Lake City, Utah</w:t>
            </w:r>
          </w:p>
        </w:tc>
        <w:tc>
          <w:tcPr>
            <w:tcW w:w="2400" w:type="dxa"/>
            <w:vAlign w:val="bottom"/>
          </w:tcPr>
          <w:p>
            <w:pPr>
              <w:jc w:val="right"/>
              <w:ind w:right="850"/>
              <w:spacing w:after="0"/>
              <w:rPr>
                <w:sz w:val="20"/>
                <w:szCs w:val="20"/>
                <w:color w:val="auto"/>
              </w:rPr>
            </w:pPr>
            <w:r>
              <w:rPr>
                <w:rFonts w:ascii="Arial" w:cs="Arial" w:eastAsia="Arial" w:hAnsi="Arial"/>
                <w:sz w:val="18"/>
                <w:szCs w:val="18"/>
                <w:b w:val="1"/>
                <w:bCs w:val="1"/>
                <w:color w:val="auto"/>
              </w:rPr>
              <w:t>84116</w:t>
            </w:r>
          </w:p>
        </w:tc>
      </w:tr>
      <w:tr>
        <w:trPr>
          <w:trHeight w:val="27"/>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7"/>
        </w:trPr>
        <w:tc>
          <w:tcPr>
            <w:tcW w:w="9020" w:type="dxa"/>
            <w:vAlign w:val="bottom"/>
            <w:gridSpan w:val="6"/>
          </w:tcPr>
          <w:p>
            <w:pPr>
              <w:ind w:left="2980"/>
              <w:spacing w:after="0"/>
              <w:rPr>
                <w:sz w:val="20"/>
                <w:szCs w:val="20"/>
                <w:color w:val="auto"/>
              </w:rPr>
            </w:pPr>
            <w:r>
              <w:rPr>
                <w:rFonts w:ascii="Arial" w:cs="Arial" w:eastAsia="Arial" w:hAnsi="Arial"/>
                <w:sz w:val="18"/>
                <w:szCs w:val="18"/>
                <w:color w:val="auto"/>
              </w:rPr>
              <w:t>(Address of principal executive offices)</w:t>
            </w:r>
          </w:p>
        </w:tc>
        <w:tc>
          <w:tcPr>
            <w:tcW w:w="2400" w:type="dxa"/>
            <w:vAlign w:val="bottom"/>
          </w:tcPr>
          <w:p>
            <w:pPr>
              <w:jc w:val="right"/>
              <w:ind w:right="710"/>
              <w:spacing w:after="0"/>
              <w:rPr>
                <w:sz w:val="20"/>
                <w:szCs w:val="20"/>
                <w:color w:val="auto"/>
              </w:rPr>
            </w:pPr>
            <w:r>
              <w:rPr>
                <w:rFonts w:ascii="Arial" w:cs="Arial" w:eastAsia="Arial" w:hAnsi="Arial"/>
                <w:sz w:val="18"/>
                <w:szCs w:val="18"/>
                <w:color w:val="auto"/>
              </w:rPr>
              <w:t>(Zip Code)</w:t>
            </w:r>
          </w:p>
        </w:tc>
      </w:tr>
      <w:tr>
        <w:trPr>
          <w:trHeight w:val="635"/>
        </w:trPr>
        <w:tc>
          <w:tcPr>
            <w:tcW w:w="6400" w:type="dxa"/>
            <w:vAlign w:val="bottom"/>
            <w:gridSpan w:val="4"/>
          </w:tcPr>
          <w:p>
            <w:pPr>
              <w:jc w:val="center"/>
              <w:ind w:left="4950"/>
              <w:spacing w:after="0"/>
              <w:rPr>
                <w:sz w:val="20"/>
                <w:szCs w:val="20"/>
                <w:color w:val="auto"/>
              </w:rPr>
            </w:pPr>
            <w:r>
              <w:rPr>
                <w:rFonts w:ascii="Arial" w:cs="Arial" w:eastAsia="Arial" w:hAnsi="Arial"/>
                <w:sz w:val="18"/>
                <w:szCs w:val="18"/>
                <w:b w:val="1"/>
                <w:bCs w:val="1"/>
                <w:color w:val="auto"/>
                <w:w w:val="91"/>
              </w:rPr>
              <w:t>+1 (801) 975-7200</w:t>
            </w:r>
          </w:p>
        </w:tc>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37"/>
        </w:trPr>
        <w:tc>
          <w:tcPr>
            <w:tcW w:w="9020" w:type="dxa"/>
            <w:vAlign w:val="bottom"/>
            <w:gridSpan w:val="6"/>
          </w:tcPr>
          <w:p>
            <w:pPr>
              <w:jc w:val="center"/>
              <w:ind w:left="2310"/>
              <w:spacing w:after="0"/>
              <w:rPr>
                <w:sz w:val="20"/>
                <w:szCs w:val="20"/>
                <w:color w:val="auto"/>
              </w:rPr>
            </w:pPr>
            <w:r>
              <w:rPr>
                <w:rFonts w:ascii="Arial" w:cs="Arial" w:eastAsia="Arial" w:hAnsi="Arial"/>
                <w:sz w:val="18"/>
                <w:szCs w:val="18"/>
                <w:color w:val="auto"/>
                <w:w w:val="90"/>
              </w:rPr>
              <w:t>(Registrant's Telephone Number, Including Area Code)</w:t>
            </w:r>
          </w:p>
        </w:tc>
        <w:tc>
          <w:tcPr>
            <w:tcW w:w="2400" w:type="dxa"/>
            <w:vAlign w:val="bottom"/>
          </w:tcPr>
          <w:p>
            <w:pPr>
              <w:spacing w:after="0"/>
              <w:rPr>
                <w:sz w:val="20"/>
                <w:szCs w:val="20"/>
                <w:color w:val="auto"/>
              </w:rPr>
            </w:pPr>
          </w:p>
        </w:tc>
      </w:tr>
      <w:tr>
        <w:trPr>
          <w:trHeight w:val="392"/>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Not applicable</w:t>
            </w:r>
          </w:p>
        </w:tc>
        <w:tc>
          <w:tcPr>
            <w:tcW w:w="2740" w:type="dxa"/>
            <w:vAlign w:val="bottom"/>
            <w:gridSpan w:val="3"/>
          </w:tcPr>
          <w:p>
            <w:pPr>
              <w:spacing w:after="0"/>
              <w:rPr>
                <w:sz w:val="24"/>
                <w:szCs w:val="24"/>
                <w:color w:val="auto"/>
              </w:rPr>
            </w:pPr>
          </w:p>
        </w:tc>
        <w:tc>
          <w:tcPr>
            <w:tcW w:w="2400" w:type="dxa"/>
            <w:vAlign w:val="bottom"/>
          </w:tcPr>
          <w:p>
            <w:pPr>
              <w:spacing w:after="0"/>
              <w:rPr>
                <w:sz w:val="24"/>
                <w:szCs w:val="24"/>
                <w:color w:val="auto"/>
              </w:rPr>
            </w:pPr>
          </w:p>
        </w:tc>
      </w:tr>
      <w:tr>
        <w:trPr>
          <w:trHeight w:val="237"/>
        </w:trPr>
        <w:tc>
          <w:tcPr>
            <w:tcW w:w="9020" w:type="dxa"/>
            <w:vAlign w:val="bottom"/>
            <w:gridSpan w:val="6"/>
          </w:tcPr>
          <w:p>
            <w:pPr>
              <w:jc w:val="center"/>
              <w:ind w:left="231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400" w:type="dxa"/>
            <w:vAlign w:val="bottom"/>
          </w:tcPr>
          <w:p>
            <w:pPr>
              <w:spacing w:after="0"/>
              <w:rPr>
                <w:sz w:val="20"/>
                <w:szCs w:val="20"/>
                <w:color w:val="auto"/>
              </w:rPr>
            </w:pPr>
          </w:p>
        </w:tc>
      </w:tr>
    </w:tbl>
    <w:p>
      <w:pPr>
        <w:spacing w:after="0" w:line="20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w w:val="91"/>
              </w:rPr>
              <w:t>] Pre-commencement communications pursuant to Rule 14d-2(b) under the Exchange Act (17 CFR 240.14d-2(b))</w:t>
            </w: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w w:val="91"/>
              </w:rPr>
              <w:t>Pre-commencement communication pursuant to Rule 13e-4(c) under the Exchange Act (17 CFR 240.13e-4(c))</w:t>
            </w:r>
          </w:p>
        </w:tc>
      </w:tr>
    </w:tbl>
    <w:p>
      <w:pPr>
        <w:sectPr>
          <w:pgSz w:w="11900" w:h="16838" w:orient="portrait"/>
          <w:cols w:equalWidth="0" w:num="1">
            <w:col w:w="11420"/>
          </w:cols>
          <w:pgMar w:left="240" w:top="94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300" w:firstLine="4214"/>
        <w:spacing w:after="0" w:line="277" w:lineRule="auto"/>
        <w:rPr>
          <w:sz w:val="20"/>
          <w:szCs w:val="20"/>
          <w:color w:val="auto"/>
        </w:rPr>
      </w:pPr>
      <w:r>
        <w:rPr>
          <w:rFonts w:ascii="Arial" w:cs="Arial" w:eastAsia="Arial" w:hAnsi="Arial"/>
          <w:sz w:val="18"/>
          <w:szCs w:val="18"/>
          <w:color w:val="auto"/>
        </w:rPr>
        <w:t>On August 6, 2015, ClearOne, Inc. issued a press release announcing its financial results for the three and six months ended June 30, 2015. The full text of the press release is attached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Exhibit No.</w:t>
            </w:r>
          </w:p>
        </w:tc>
        <w:tc>
          <w:tcPr>
            <w:tcW w:w="120" w:type="dxa"/>
            <w:vAlign w:val="bottom"/>
          </w:tcPr>
          <w:p>
            <w:pPr>
              <w:spacing w:after="0"/>
              <w:rPr>
                <w:sz w:val="16"/>
                <w:szCs w:val="16"/>
                <w:color w:val="auto"/>
              </w:rPr>
            </w:pPr>
          </w:p>
        </w:tc>
        <w:tc>
          <w:tcPr>
            <w:tcW w:w="1004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Description</w:t>
            </w:r>
          </w:p>
        </w:tc>
      </w:tr>
      <w:tr>
        <w:trPr>
          <w:trHeight w:val="223"/>
        </w:trPr>
        <w:tc>
          <w:tcPr>
            <w:tcW w:w="1380" w:type="dxa"/>
            <w:vAlign w:val="bottom"/>
            <w:gridSpan w:val="2"/>
          </w:tcPr>
          <w:p>
            <w:pPr>
              <w:ind w:left="40"/>
              <w:spacing w:after="0"/>
              <w:rPr>
                <w:sz w:val="20"/>
                <w:szCs w:val="20"/>
                <w:color w:val="auto"/>
              </w:rPr>
            </w:pPr>
            <w:r>
              <w:rPr>
                <w:rFonts w:ascii="Arial" w:cs="Arial" w:eastAsia="Arial" w:hAnsi="Arial"/>
                <w:sz w:val="16"/>
                <w:szCs w:val="16"/>
                <w:color w:val="auto"/>
              </w:rPr>
              <w:t>Exhibit 99.1</w:t>
            </w:r>
          </w:p>
        </w:tc>
        <w:tc>
          <w:tcPr>
            <w:tcW w:w="10040" w:type="dxa"/>
            <w:vAlign w:val="bottom"/>
          </w:tcPr>
          <w:p>
            <w:pPr>
              <w:ind w:left="40"/>
              <w:spacing w:after="0"/>
              <w:rPr>
                <w:sz w:val="20"/>
                <w:szCs w:val="20"/>
                <w:color w:val="auto"/>
              </w:rPr>
            </w:pPr>
            <w:r>
              <w:rPr>
                <w:rFonts w:ascii="Arial" w:cs="Arial" w:eastAsia="Arial" w:hAnsi="Arial"/>
                <w:sz w:val="16"/>
                <w:szCs w:val="16"/>
                <w:color w:val="auto"/>
              </w:rPr>
              <w:t>Press Release dated August 6, 2015 titled “ClearOne Reports Second Quarter 2015 Financial Results”.</w:t>
            </w:r>
          </w:p>
        </w:tc>
      </w:tr>
      <w:tr>
        <w:trPr>
          <w:trHeight w:val="465"/>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3760"/>
              <w:spacing w:after="0"/>
              <w:rPr>
                <w:sz w:val="20"/>
                <w:szCs w:val="20"/>
                <w:color w:val="auto"/>
              </w:rPr>
            </w:pPr>
            <w:r>
              <w:rPr>
                <w:rFonts w:ascii="Arial" w:cs="Arial" w:eastAsia="Arial" w:hAnsi="Arial"/>
                <w:sz w:val="18"/>
                <w:szCs w:val="18"/>
                <w:b w:val="1"/>
                <w:bCs w:val="1"/>
                <w:color w:val="auto"/>
              </w:rPr>
              <w:t>SIGNATURES</w:t>
            </w: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8"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(Registrant)</w:t>
      </w:r>
    </w:p>
    <w:p>
      <w:pPr>
        <w:spacing w:after="0" w:line="184" w:lineRule="exact"/>
        <w:rPr>
          <w:sz w:val="20"/>
          <w:szCs w:val="20"/>
          <w:color w:val="auto"/>
        </w:rPr>
      </w:pPr>
    </w:p>
    <w:p>
      <w:pPr>
        <w:ind w:left="40"/>
        <w:spacing w:after="0"/>
        <w:tabs>
          <w:tab w:leader="none" w:pos="5500" w:val="left"/>
          <w:tab w:leader="none" w:pos="5960" w:val="left"/>
        </w:tabs>
        <w:rPr>
          <w:sz w:val="20"/>
          <w:szCs w:val="20"/>
          <w:color w:val="auto"/>
        </w:rPr>
      </w:pPr>
      <w:r>
        <w:rPr>
          <w:rFonts w:ascii="Arial" w:cs="Arial" w:eastAsia="Arial" w:hAnsi="Arial"/>
          <w:sz w:val="18"/>
          <w:szCs w:val="18"/>
          <w:color w:val="auto"/>
        </w:rPr>
        <w:t>August 6,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796"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801-975-7200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investor_relations@clearone.com</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ClearOne Reports Second Quarter 2015 Financial Results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Reports Record Q2 Gross Profit and Operating Income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 - August 6, 2015</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2015 Highlights</w:t>
      </w:r>
    </w:p>
    <w:p>
      <w:pPr>
        <w:spacing w:after="0" w:line="256" w:lineRule="exact"/>
        <w:rPr>
          <w:sz w:val="20"/>
          <w:szCs w:val="20"/>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Gross margin increased to 64% from 57%</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operating income up 79%</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net income up 39%</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adjusted EBITDA up 70%</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 down 1% to $14.0 million</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189" w:lineRule="exact"/>
        <w:rPr>
          <w:sz w:val="20"/>
          <w:szCs w:val="20"/>
          <w:color w:val="auto"/>
        </w:rPr>
      </w:pPr>
    </w:p>
    <w:tbl>
      <w:tblPr>
        <w:tblLayout w:type="fixed"/>
        <w:tblInd w:w="300" w:type="dxa"/>
        <w:tblCellMar>
          <w:top w:w="0" w:type="dxa"/>
          <w:left w:w="0" w:type="dxa"/>
          <w:bottom w:w="0" w:type="dxa"/>
          <w:right w:w="0" w:type="dxa"/>
        </w:tblCellMar>
      </w:tblPr>
      <w:tr>
        <w:trPr>
          <w:trHeight w:val="237"/>
        </w:trPr>
        <w:tc>
          <w:tcPr>
            <w:tcW w:w="3660" w:type="dxa"/>
            <w:vAlign w:val="bottom"/>
          </w:tcPr>
          <w:p>
            <w:pPr>
              <w:spacing w:after="0"/>
              <w:rPr>
                <w:sz w:val="20"/>
                <w:szCs w:val="20"/>
                <w:color w:val="auto"/>
              </w:rPr>
            </w:pPr>
            <w:r>
              <w:rPr>
                <w:rFonts w:ascii="Arial" w:cs="Arial" w:eastAsia="Arial" w:hAnsi="Arial"/>
                <w:sz w:val="14"/>
                <w:szCs w:val="14"/>
                <w:b w:val="1"/>
                <w:bCs w:val="1"/>
                <w:color w:val="auto"/>
              </w:rPr>
              <w:t>(Dollars in thousands, except per share values)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98"/>
              </w:rPr>
              <w:t>Second Quarter</w:t>
            </w:r>
          </w:p>
        </w:tc>
        <w:tc>
          <w:tcPr>
            <w:tcW w:w="10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Year to Date</w:t>
            </w:r>
          </w:p>
        </w:tc>
        <w:tc>
          <w:tcPr>
            <w:tcW w:w="1080" w:type="dxa"/>
            <w:vAlign w:val="bottom"/>
            <w:tcBorders>
              <w:bottom w:val="single" w:sz="8" w:color="auto"/>
            </w:tcBorders>
          </w:tcPr>
          <w:p>
            <w:pPr>
              <w:spacing w:after="0"/>
              <w:rPr>
                <w:sz w:val="20"/>
                <w:szCs w:val="20"/>
                <w:color w:val="auto"/>
              </w:rPr>
            </w:pPr>
          </w:p>
        </w:tc>
      </w:tr>
      <w:tr>
        <w:trPr>
          <w:trHeight w:val="237"/>
        </w:trPr>
        <w:tc>
          <w:tcPr>
            <w:tcW w:w="3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9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9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300" w:type="dxa"/>
            <w:vAlign w:val="bottom"/>
            <w:gridSpan w:val="2"/>
          </w:tcPr>
          <w:p>
            <w:pPr>
              <w:ind w:left="280"/>
              <w:spacing w:after="0"/>
              <w:rPr>
                <w:sz w:val="20"/>
                <w:szCs w:val="20"/>
                <w:color w:val="auto"/>
              </w:rPr>
            </w:pPr>
            <w:r>
              <w:rPr>
                <w:rFonts w:ascii="Arial" w:cs="Arial" w:eastAsia="Arial" w:hAnsi="Arial"/>
                <w:sz w:val="16"/>
                <w:szCs w:val="16"/>
                <w:b w:val="1"/>
                <w:bCs w:val="1"/>
                <w:color w:val="auto"/>
              </w:rPr>
              <w:t>Change</w:t>
            </w:r>
          </w:p>
        </w:tc>
        <w:tc>
          <w:tcPr>
            <w:tcW w:w="260" w:type="dxa"/>
            <w:vAlign w:val="bottom"/>
          </w:tcPr>
          <w:p>
            <w:pPr>
              <w:spacing w:after="0"/>
              <w:rPr>
                <w:sz w:val="20"/>
                <w:szCs w:val="20"/>
                <w:color w:val="auto"/>
              </w:rPr>
            </w:pPr>
          </w:p>
        </w:tc>
        <w:tc>
          <w:tcPr>
            <w:tcW w:w="840" w:type="dxa"/>
            <w:vAlign w:val="bottom"/>
          </w:tcPr>
          <w:p>
            <w:pPr>
              <w:jc w:val="right"/>
              <w:ind w:right="29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92"/>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080" w:type="dxa"/>
            <w:vAlign w:val="bottom"/>
          </w:tcPr>
          <w:p>
            <w:pPr>
              <w:ind w:left="280"/>
              <w:spacing w:after="0"/>
              <w:rPr>
                <w:sz w:val="20"/>
                <w:szCs w:val="20"/>
                <w:color w:val="auto"/>
              </w:rPr>
            </w:pPr>
            <w:r>
              <w:rPr>
                <w:rFonts w:ascii="Arial" w:cs="Arial" w:eastAsia="Arial" w:hAnsi="Arial"/>
                <w:sz w:val="16"/>
                <w:szCs w:val="16"/>
                <w:b w:val="1"/>
                <w:bCs w:val="1"/>
                <w:color w:val="auto"/>
              </w:rPr>
              <w:t>Change</w:t>
            </w:r>
          </w:p>
        </w:tc>
      </w:tr>
      <w:tr>
        <w:trPr>
          <w:trHeight w:val="33"/>
        </w:trPr>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14,013</w:t>
            </w:r>
          </w:p>
        </w:tc>
        <w:tc>
          <w:tcPr>
            <w:tcW w:w="100" w:type="dxa"/>
            <w:vAlign w:val="bottom"/>
          </w:tcPr>
          <w:p>
            <w:pPr>
              <w:spacing w:after="0"/>
              <w:rPr>
                <w:sz w:val="20"/>
                <w:szCs w:val="20"/>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14,111</w:t>
            </w:r>
          </w:p>
        </w:tc>
        <w:tc>
          <w:tcPr>
            <w:tcW w:w="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-1%</w:t>
            </w:r>
          </w:p>
        </w:tc>
        <w:tc>
          <w:tcPr>
            <w:tcW w:w="2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27,600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26,819</w:t>
            </w:r>
          </w:p>
        </w:tc>
        <w:tc>
          <w:tcPr>
            <w:tcW w:w="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3%</w:t>
            </w: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8,991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8,064</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11%</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17,453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15,766</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11%</w:t>
            </w: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2,889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79%</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5,416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2,994</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81%</w:t>
            </w: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Non-GAAP Net Income</w:t>
            </w: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39%</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3,566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2,197</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62%</w:t>
            </w: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Non-GAAP Adjusted EBITDA</w:t>
            </w: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3,179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70%</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6,017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3,490</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72%</w:t>
            </w: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Non-GAAP Diluted EPS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3"/>
                <w:szCs w:val="23"/>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43%</w:t>
            </w:r>
          </w:p>
        </w:tc>
        <w:tc>
          <w:tcPr>
            <w:tcW w:w="2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61%</w:t>
            </w:r>
          </w:p>
        </w:tc>
      </w:tr>
    </w:tbl>
    <w:p>
      <w:pPr>
        <w:spacing w:after="0" w:line="283" w:lineRule="exact"/>
        <w:rPr>
          <w:sz w:val="20"/>
          <w:szCs w:val="20"/>
          <w:color w:val="auto"/>
        </w:rPr>
      </w:pPr>
    </w:p>
    <w:p>
      <w:pPr>
        <w:jc w:val="both"/>
        <w:ind w:right="240"/>
        <w:spacing w:after="0" w:line="387" w:lineRule="auto"/>
        <w:rPr>
          <w:sz w:val="20"/>
          <w:szCs w:val="20"/>
          <w:color w:val="auto"/>
        </w:rPr>
      </w:pPr>
      <w:r>
        <w:rPr>
          <w:rFonts w:ascii="Arial" w:cs="Arial" w:eastAsia="Arial" w:hAnsi="Arial"/>
          <w:sz w:val="18"/>
          <w:szCs w:val="18"/>
          <w:color w:val="auto"/>
        </w:rPr>
        <w:t>ClearOne (NASDAQ: CLRO), a global provider of audio and visual communication solutions, today reported financial results for the three and six months ended June 30, 2015.</w:t>
      </w:r>
    </w:p>
    <w:p>
      <w:pPr>
        <w:spacing w:after="0" w:line="116" w:lineRule="exact"/>
        <w:rPr>
          <w:sz w:val="20"/>
          <w:szCs w:val="20"/>
          <w:color w:val="auto"/>
        </w:rPr>
      </w:pPr>
    </w:p>
    <w:p>
      <w:pPr>
        <w:ind w:right="20"/>
        <w:spacing w:after="0" w:line="366" w:lineRule="auto"/>
        <w:rPr>
          <w:sz w:val="20"/>
          <w:szCs w:val="20"/>
          <w:color w:val="auto"/>
        </w:rPr>
      </w:pPr>
      <w:r>
        <w:rPr>
          <w:rFonts w:ascii="Arial" w:cs="Arial" w:eastAsia="Arial" w:hAnsi="Arial"/>
          <w:sz w:val="18"/>
          <w:szCs w:val="18"/>
          <w:color w:val="auto"/>
        </w:rPr>
        <w:t>For the 2015 second quarter, revenue decreased 1% to $14.0 million from $14.1 million for the second quarter of 2014. Gross profit was $9.0 million, or 64% of revenue, compared with $8.1 million, or 57% of revenue, for the second quarter of 2014. Non-GAAP operating income increased 79% to $2.9 million from $1.6 million for the second quarter of 2014. Non-GAAP net income increased 39% to $1.9 million, or $0.20 per diluted share, from $1.4 million, or $0.14 per diluted share, for the second quarter of 2014. Non-GAAP Adjusted EBITDA increased 70% to $3.2 million, or $0.33 per diluted share, from $1.9 million, or $0.19 per diluted share, for the second quarter of 2014.</w:t>
      </w:r>
    </w:p>
    <w:p>
      <w:pPr>
        <w:sectPr>
          <w:pgSz w:w="11900" w:h="16838" w:orient="portrait"/>
          <w:cols w:equalWidth="0" w:num="1">
            <w:col w:w="11420"/>
          </w:cols>
          <w:pgMar w:left="240" w:top="580" w:right="239" w:bottom="1440" w:gutter="0" w:footer="0" w:header="0"/>
        </w:sectPr>
      </w:pPr>
    </w:p>
    <w:bookmarkStart w:id="3" w:name="page4"/>
    <w:bookmarkEnd w:id="3"/>
    <w:p>
      <w:pPr>
        <w:ind w:right="80"/>
        <w:spacing w:after="0" w:line="420" w:lineRule="auto"/>
        <w:rPr>
          <w:sz w:val="20"/>
          <w:szCs w:val="20"/>
          <w:color w:val="auto"/>
        </w:rPr>
      </w:pPr>
      <w:r>
        <w:rPr>
          <w:rFonts w:ascii="Arial" w:cs="Arial" w:eastAsia="Arial" w:hAnsi="Arial"/>
          <w:sz w:val="16"/>
          <w:szCs w:val="16"/>
          <w:color w:val="auto"/>
        </w:rPr>
        <w:t>For the six months ended June 30, 2015, revenue increased 3% to $27.6 million from $26.8 million for the six months ended June 30, 2014. Gross profit was $17.5 million, or 63% of revenue, compared with $15.8 million, or 59% of revenue, for the six months ended June 30, 2014. Non-GAAP operating income increased 81% to $5.4 million from $3.0 million for the six months ended June 30, 2014. Non-GAAP net income increased 62% to $3.6 million, or $0.37 per diluted share, from $2.2 million, or $0.23 per diluted share, for the six months ended June 30, 2014. Non-GAAP Adjusted EBITDA increased 72% to $6.0 million, or $0.63 per diluted share, from $3.5 million, or $0.36 per diluted share, for the six months ended June 30, 2014.</w:t>
      </w:r>
    </w:p>
    <w:p>
      <w:pPr>
        <w:spacing w:after="0" w:line="105" w:lineRule="exact"/>
        <w:rPr>
          <w:sz w:val="20"/>
          <w:szCs w:val="20"/>
          <w:color w:val="auto"/>
        </w:rPr>
      </w:pPr>
    </w:p>
    <w:p>
      <w:pPr>
        <w:ind w:right="60"/>
        <w:spacing w:after="0" w:line="387" w:lineRule="auto"/>
        <w:rPr>
          <w:sz w:val="20"/>
          <w:szCs w:val="20"/>
          <w:color w:val="auto"/>
        </w:rPr>
      </w:pPr>
      <w:r>
        <w:rPr>
          <w:rFonts w:ascii="Arial" w:cs="Arial" w:eastAsia="Arial" w:hAnsi="Arial"/>
          <w:sz w:val="18"/>
          <w:szCs w:val="18"/>
          <w:color w:val="auto"/>
        </w:rPr>
        <w:t>Cash, cash equivalents and investments totaled $36.0 million at June 30, 2015, up from $33.6 million at December 31, 2014. The company continued to have no debt.</w:t>
      </w:r>
    </w:p>
    <w:p>
      <w:pPr>
        <w:spacing w:after="0" w:line="116" w:lineRule="exact"/>
        <w:rPr>
          <w:sz w:val="20"/>
          <w:szCs w:val="20"/>
          <w:color w:val="auto"/>
        </w:rPr>
      </w:pPr>
    </w:p>
    <w:p>
      <w:pPr>
        <w:ind w:right="20"/>
        <w:spacing w:after="0" w:line="369" w:lineRule="auto"/>
        <w:rPr>
          <w:sz w:val="20"/>
          <w:szCs w:val="20"/>
          <w:color w:val="auto"/>
        </w:rPr>
      </w:pPr>
      <w:r>
        <w:rPr>
          <w:rFonts w:ascii="Arial" w:cs="Arial" w:eastAsia="Arial" w:hAnsi="Arial"/>
          <w:sz w:val="18"/>
          <w:szCs w:val="18"/>
          <w:color w:val="auto"/>
        </w:rPr>
        <w:t>"During the second quarter, we reported record gross profit and operating income," said Zee Hakimoglu, President and Chief Executive Officer. "Revenue however, was down modestly due to several factors, including a temporary delay in shipping a major project and a lull in the U.S. market during the month of May. The ongoing effects of a strong U.S. dollar, weakness in EMEA and Australia markets and lower spending by the China government also impacted our revenue."</w:t>
      </w:r>
    </w:p>
    <w:p>
      <w:pPr>
        <w:spacing w:after="0" w:line="280" w:lineRule="exact"/>
        <w:rPr>
          <w:sz w:val="20"/>
          <w:szCs w:val="20"/>
          <w:color w:val="auto"/>
        </w:rPr>
      </w:pPr>
    </w:p>
    <w:p>
      <w:pPr>
        <w:ind w:right="180"/>
        <w:spacing w:after="0" w:line="373" w:lineRule="auto"/>
        <w:rPr>
          <w:sz w:val="20"/>
          <w:szCs w:val="20"/>
          <w:color w:val="auto"/>
        </w:rPr>
      </w:pPr>
      <w:r>
        <w:rPr>
          <w:rFonts w:ascii="Arial" w:cs="Arial" w:eastAsia="Arial" w:hAnsi="Arial"/>
          <w:sz w:val="18"/>
          <w:szCs w:val="18"/>
          <w:color w:val="auto"/>
        </w:rPr>
        <w:t>"Nevertheless, we are confident in our ability to generate positive revenue growth in the second half of the current year and beyond. We continue to successfully execute our operating plan and are encouraged by, among other things, a number of recent, initial product installations with large new marquee customers, both domestic and international."</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Unveiled CONNECT Bluetooth</w:t>
      </w:r>
    </w:p>
    <w:p>
      <w:pPr>
        <w:spacing w:after="0" w:line="54" w:lineRule="exact"/>
        <w:rPr>
          <w:sz w:val="20"/>
          <w:szCs w:val="20"/>
          <w:color w:val="auto"/>
        </w:rPr>
      </w:pPr>
    </w:p>
    <w:p>
      <w:pPr>
        <w:ind w:right="20"/>
        <w:spacing w:after="0" w:line="309" w:lineRule="auto"/>
        <w:rPr>
          <w:sz w:val="20"/>
          <w:szCs w:val="20"/>
          <w:color w:val="auto"/>
        </w:rPr>
      </w:pPr>
      <w:r>
        <w:rPr>
          <w:rFonts w:ascii="Arial" w:cs="Arial" w:eastAsia="Arial" w:hAnsi="Arial"/>
          <w:sz w:val="18"/>
          <w:szCs w:val="18"/>
          <w:color w:val="auto"/>
        </w:rPr>
        <w:t>In June, the company introduced CONNECT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Bluetooth</w:t>
      </w:r>
      <w:r>
        <w:rPr>
          <w:rFonts w:ascii="Arial" w:cs="Arial" w:eastAsia="Arial" w:hAnsi="Arial"/>
          <w:sz w:val="25"/>
          <w:szCs w:val="25"/>
          <w:color w:val="auto"/>
          <w:vertAlign w:val="superscript"/>
        </w:rPr>
        <w:t>®</w:t>
      </w:r>
      <w:r>
        <w:rPr>
          <w:rFonts w:ascii="Arial" w:cs="Arial" w:eastAsia="Arial" w:hAnsi="Arial"/>
          <w:sz w:val="18"/>
          <w:szCs w:val="18"/>
          <w:color w:val="auto"/>
        </w:rPr>
        <w:t>, a compact and portable USB adapter that brings Bluetooth connectivity to its line of personal, premium and professional audio products, including CHAT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speakerphones, INTERACT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mixers and CONVERGE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CONNECT Bluetooth simply and conveniently enables mobile devices to connect directly to ClearOne audio products to make mobile calls and provides audio bridging capability that can connect PC-based voice or video calls and mobile phone calls into a unified group conference.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Expanded CONVERGE</w:t>
      </w:r>
      <w:r>
        <w:rPr>
          <w:rFonts w:ascii="Arial" w:cs="Arial" w:eastAsia="Arial" w:hAnsi="Arial"/>
          <w:sz w:val="25"/>
          <w:szCs w:val="25"/>
          <w:color w:val="auto"/>
          <w:vertAlign w:val="superscript"/>
        </w:rPr>
        <w:t>®</w:t>
      </w:r>
      <w:r>
        <w:rPr>
          <w:rFonts w:ascii="Arial" w:cs="Arial" w:eastAsia="Arial" w:hAnsi="Arial"/>
          <w:sz w:val="18"/>
          <w:szCs w:val="18"/>
          <w:b w:val="1"/>
          <w:bCs w:val="1"/>
          <w:color w:val="auto"/>
        </w:rPr>
        <w:t xml:space="preserve"> Matrix Line</w:t>
      </w:r>
    </w:p>
    <w:p>
      <w:pPr>
        <w:spacing w:after="0" w:line="33" w:lineRule="exact"/>
        <w:rPr>
          <w:sz w:val="20"/>
          <w:szCs w:val="20"/>
          <w:color w:val="auto"/>
        </w:rPr>
      </w:pPr>
    </w:p>
    <w:p>
      <w:pPr>
        <w:ind w:right="60"/>
        <w:spacing w:after="0" w:line="390" w:lineRule="auto"/>
        <w:rPr>
          <w:sz w:val="20"/>
          <w:szCs w:val="20"/>
          <w:color w:val="auto"/>
        </w:rPr>
      </w:pPr>
      <w:r>
        <w:rPr>
          <w:rFonts w:ascii="Arial" w:cs="Arial" w:eastAsia="Arial" w:hAnsi="Arial"/>
          <w:sz w:val="16"/>
          <w:szCs w:val="16"/>
          <w:color w:val="auto"/>
        </w:rPr>
        <w:t>In June, the company released two new models in its CONVERGE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Matrix line of Dante</w:t>
      </w:r>
      <w:r>
        <w:rPr>
          <w:rFonts w:ascii="Arial" w:cs="Arial" w:eastAsia="Arial" w:hAnsi="Arial"/>
          <w:sz w:val="22"/>
          <w:szCs w:val="22"/>
          <w:color w:val="auto"/>
          <w:vertAlign w:val="superscript"/>
        </w:rPr>
        <w:t>™</w:t>
      </w:r>
      <w:r>
        <w:rPr>
          <w:rFonts w:ascii="Arial" w:cs="Arial" w:eastAsia="Arial" w:hAnsi="Arial"/>
          <w:sz w:val="16"/>
          <w:szCs w:val="16"/>
          <w:color w:val="auto"/>
        </w:rPr>
        <w:t>-based network audio distribution solutions, to complement its larger scale 256- and 512-channel mixers and routers. The new, smaller scale 64 and 128 channel models work equally well with Dante digital network audio distribution technology, interoperate with all third-party Dante devices and accommodate a full spectrum of system sizes and applications.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Introduced New, Innovative Media Collaboration Series with “True Cloud” Functionality</w:t>
      </w:r>
    </w:p>
    <w:p>
      <w:pPr>
        <w:spacing w:after="0" w:line="54" w:lineRule="exact"/>
        <w:rPr>
          <w:sz w:val="20"/>
          <w:szCs w:val="20"/>
          <w:color w:val="auto"/>
        </w:rPr>
      </w:pPr>
    </w:p>
    <w:p>
      <w:pPr>
        <w:spacing w:after="0" w:line="348" w:lineRule="auto"/>
        <w:rPr>
          <w:sz w:val="20"/>
          <w:szCs w:val="20"/>
          <w:color w:val="auto"/>
        </w:rPr>
      </w:pPr>
      <w:r>
        <w:rPr>
          <w:rFonts w:ascii="Arial" w:cs="Arial" w:eastAsia="Arial" w:hAnsi="Arial"/>
          <w:sz w:val="18"/>
          <w:szCs w:val="18"/>
          <w:color w:val="auto"/>
        </w:rPr>
        <w:t>Also in June, the company launched a new series of integrated packages in its COLLABORATE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line of professional collaboration solutions, the world’s first technology that combines low cost appliances with powerful, scalable, cloud collaboration capabilities. The COLLABORATE media appliance provides standards-based video conferencing with a wide assortment of collaboration tools, including wireless presentation and whiteboarding, streaming, recording and multi-party conferencing, and adds more functionality, flexibility and participant value to elevate the company’s leadership in the enterprise conferencing marketplace.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08" w:lineRule="exact"/>
        <w:rPr>
          <w:sz w:val="20"/>
          <w:szCs w:val="20"/>
          <w:color w:val="auto"/>
        </w:rPr>
      </w:pPr>
    </w:p>
    <w:p>
      <w:pPr>
        <w:ind w:right="360"/>
        <w:spacing w:after="0" w:line="387" w:lineRule="auto"/>
        <w:rPr>
          <w:sz w:val="20"/>
          <w:szCs w:val="20"/>
          <w:color w:val="auto"/>
        </w:rPr>
      </w:pPr>
      <w:r>
        <w:rPr>
          <w:rFonts w:ascii="Arial" w:cs="Arial" w:eastAsia="Arial" w:hAnsi="Arial"/>
          <w:sz w:val="18"/>
          <w:szCs w:val="18"/>
          <w:color w:val="auto"/>
        </w:rPr>
        <w:t>ClearOne provides non-GAAP financial information in the form of non-GAAP operating income, non-GAAP net income, non-GAAP Adjusted Earnings Before Interest, Taxes, Depreciation, and Amortization (EBITDA) and corresponding earnings per share to</w:t>
      </w:r>
    </w:p>
    <w:p>
      <w:pPr>
        <w:sectPr>
          <w:pgSz w:w="11900" w:h="16838" w:orient="portrait"/>
          <w:cols w:equalWidth="0" w:num="1">
            <w:col w:w="11400"/>
          </w:cols>
          <w:pgMar w:left="240" w:top="638" w:right="259" w:bottom="1440" w:gutter="0" w:footer="0" w:header="0"/>
        </w:sectPr>
      </w:pPr>
    </w:p>
    <w:bookmarkStart w:id="4" w:name="page5"/>
    <w:bookmarkEnd w:id="4"/>
    <w:p>
      <w:pPr>
        <w:spacing w:after="0" w:line="385" w:lineRule="auto"/>
        <w:rPr>
          <w:sz w:val="20"/>
          <w:szCs w:val="20"/>
          <w:color w:val="auto"/>
        </w:rPr>
      </w:pPr>
      <w:r>
        <w:rPr>
          <w:rFonts w:ascii="Arial" w:cs="Arial" w:eastAsia="Arial" w:hAnsi="Arial"/>
          <w:sz w:val="17"/>
          <w:szCs w:val="17"/>
          <w:color w:val="auto"/>
        </w:rPr>
        <w:t>investors to supplement GAAP financial information. ClearOne believes that excluding certain items from GAAP results allows ClearOne's management to better understand ClearOne's consolidated financial performance from period to period as management does not believe that the excluded items are reflective of underlying operating performance. Non-GAAP operating income, non-GAAP net income, non-GAAP Adjusted EBITDA and corresponding earnings per share excludes certain costs and expenses, the details of which are provided below in the tables containing the reconciliation between GAAP and non-GAAP financial measures. The exclusion of these items in the non-GAAP presentation should not be interpreted as implying that these items are non-recurring, infrequent, or unusual. ClearOne believes non-GAAP financial measures will provide investors with useful information to help them evaluate ClearOne's operating results and projections. This non-GAAP financial information is not meant to be considered in isolation or as a substitute for operating income, net income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financial measures to the most directly comparable GAAP financial measures is included with this release.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70" w:lineRule="exact"/>
        <w:rPr>
          <w:sz w:val="20"/>
          <w:szCs w:val="20"/>
          <w:color w:val="auto"/>
        </w:rPr>
      </w:pPr>
    </w:p>
    <w:p>
      <w:pPr>
        <w:jc w:val="both"/>
        <w:ind w:right="460"/>
        <w:spacing w:after="0" w:line="373" w:lineRule="auto"/>
        <w:rPr>
          <w:sz w:val="20"/>
          <w:szCs w:val="20"/>
          <w:color w:val="auto"/>
        </w:rPr>
      </w:pPr>
      <w:r>
        <w:rPr>
          <w:rFonts w:ascii="Arial" w:cs="Arial" w:eastAsia="Arial" w:hAnsi="Arial"/>
          <w:sz w:val="18"/>
          <w:szCs w:val="18"/>
          <w:color w:val="auto"/>
        </w:rPr>
        <w:t>ClearOne is a global company that designs, develops and sells conferencing, collaboration, streaming and digital signage solutions for voice and visual communications. The performance and simplicity of its advanced comprehensive solutions offer unprecedented levels of functionality, reliability and scalability. More information about the company can be found at www.clearone.com.</w:t>
      </w:r>
    </w:p>
    <w:p>
      <w:pPr>
        <w:spacing w:after="0" w:line="1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http://investors.clearone.com</w:t>
      </w:r>
    </w:p>
    <w:p>
      <w:pPr>
        <w:sectPr>
          <w:pgSz w:w="11900" w:h="16838" w:orient="portrait"/>
          <w:cols w:equalWidth="0" w:num="1">
            <w:col w:w="11340"/>
          </w:cols>
          <w:pgMar w:left="240" w:top="638" w:right="31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(Dollars in thousands, except par value)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2"/>
          </w:tcPr>
          <w:p>
            <w:pPr>
              <w:ind w:left="140"/>
              <w:spacing w:after="0"/>
              <w:rPr>
                <w:sz w:val="20"/>
                <w:szCs w:val="20"/>
                <w:color w:val="auto"/>
              </w:rPr>
            </w:pPr>
            <w:r>
              <w:rPr>
                <w:rFonts w:ascii="Arial" w:cs="Arial" w:eastAsia="Arial" w:hAnsi="Arial"/>
                <w:sz w:val="16"/>
                <w:szCs w:val="16"/>
                <w:b w:val="1"/>
                <w:bCs w:val="1"/>
                <w:color w:val="auto"/>
              </w:rPr>
              <w:t>As of June 30, 2015</w:t>
            </w:r>
          </w:p>
        </w:tc>
        <w:tc>
          <w:tcPr>
            <w:tcW w:w="160" w:type="dxa"/>
            <w:vAlign w:val="bottom"/>
          </w:tcPr>
          <w:p>
            <w:pPr>
              <w:spacing w:after="0"/>
              <w:rPr>
                <w:sz w:val="18"/>
                <w:szCs w:val="18"/>
                <w:color w:val="auto"/>
              </w:rPr>
            </w:pPr>
          </w:p>
        </w:tc>
        <w:tc>
          <w:tcPr>
            <w:tcW w:w="19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As of December 31, 2014</w:t>
            </w:r>
          </w:p>
        </w:tc>
        <w:tc>
          <w:tcPr>
            <w:tcW w:w="0" w:type="dxa"/>
            <w:vAlign w:val="bottom"/>
          </w:tcPr>
          <w:p>
            <w:pPr>
              <w:spacing w:after="0"/>
              <w:rPr>
                <w:sz w:val="1"/>
                <w:szCs w:val="1"/>
                <w:color w:val="auto"/>
              </w:rPr>
            </w:pPr>
          </w:p>
        </w:tc>
      </w:tr>
      <w:tr>
        <w:trPr>
          <w:trHeight w:val="33"/>
        </w:trPr>
        <w:tc>
          <w:tcPr>
            <w:tcW w:w="7040" w:type="dxa"/>
            <w:vAlign w:val="bottom"/>
            <w:vMerge w:val="restart"/>
          </w:tcPr>
          <w:p>
            <w:pPr>
              <w:ind w:left="318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10,873</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7,440</w:t>
            </w: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23"/>
                <w:szCs w:val="23"/>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6,385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6,994</w:t>
            </w: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Receivables, net of allowance for doubtful accounts of $52 and $58, respectively</w:t>
            </w:r>
          </w:p>
        </w:tc>
        <w:tc>
          <w:tcPr>
            <w:tcW w:w="240" w:type="dxa"/>
            <w:vAlign w:val="bottom"/>
          </w:tcPr>
          <w:p>
            <w:pPr>
              <w:spacing w:after="0"/>
              <w:rPr>
                <w:sz w:val="23"/>
                <w:szCs w:val="23"/>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8,557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9,916</w:t>
            </w: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Inventories, net</w:t>
            </w:r>
          </w:p>
        </w:tc>
        <w:tc>
          <w:tcPr>
            <w:tcW w:w="240" w:type="dxa"/>
            <w:vAlign w:val="bottom"/>
          </w:tcPr>
          <w:p>
            <w:pPr>
              <w:spacing w:after="0"/>
              <w:rPr>
                <w:sz w:val="23"/>
                <w:szCs w:val="23"/>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14,340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12,766</w:t>
            </w: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Distributor channel inventories</w:t>
            </w:r>
          </w:p>
        </w:tc>
        <w:tc>
          <w:tcPr>
            <w:tcW w:w="240" w:type="dxa"/>
            <w:vAlign w:val="bottom"/>
          </w:tcPr>
          <w:p>
            <w:pPr>
              <w:spacing w:after="0"/>
              <w:rPr>
                <w:sz w:val="23"/>
                <w:szCs w:val="23"/>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1,629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1,698</w:t>
            </w: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3"/>
                <w:szCs w:val="23"/>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3,824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3,824</w:t>
            </w: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23"/>
                <w:szCs w:val="23"/>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2,545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2,143</w:t>
            </w:r>
          </w:p>
        </w:tc>
        <w:tc>
          <w:tcPr>
            <w:tcW w:w="0" w:type="dxa"/>
            <w:vAlign w:val="bottom"/>
          </w:tcPr>
          <w:p>
            <w:pPr>
              <w:spacing w:after="0"/>
              <w:rPr>
                <w:sz w:val="1"/>
                <w:szCs w:val="1"/>
                <w:color w:val="auto"/>
              </w:rPr>
            </w:pPr>
          </w:p>
        </w:tc>
      </w:tr>
      <w:tr>
        <w:trPr>
          <w:trHeight w:val="27"/>
        </w:trPr>
        <w:tc>
          <w:tcPr>
            <w:tcW w:w="7040" w:type="dxa"/>
            <w:vAlign w:val="bottom"/>
            <w:vMerge w:val="restart"/>
          </w:tcPr>
          <w:p>
            <w:pPr>
              <w:ind w:left="1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48,153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44,781</w:t>
            </w: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240" w:type="dxa"/>
            <w:vAlign w:val="bottom"/>
          </w:tcPr>
          <w:p>
            <w:pPr>
              <w:spacing w:after="0"/>
              <w:rPr>
                <w:sz w:val="23"/>
                <w:szCs w:val="23"/>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18,756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19,162</w:t>
            </w: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Long-term inventories, net</w:t>
            </w:r>
          </w:p>
        </w:tc>
        <w:tc>
          <w:tcPr>
            <w:tcW w:w="240" w:type="dxa"/>
            <w:vAlign w:val="bottom"/>
          </w:tcPr>
          <w:p>
            <w:pPr>
              <w:spacing w:after="0"/>
              <w:rPr>
                <w:sz w:val="23"/>
                <w:szCs w:val="23"/>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680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876</w:t>
            </w: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3"/>
                <w:szCs w:val="23"/>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1,811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2,039</w:t>
            </w: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Intangibles, net</w:t>
            </w:r>
          </w:p>
        </w:tc>
        <w:tc>
          <w:tcPr>
            <w:tcW w:w="240" w:type="dxa"/>
            <w:vAlign w:val="bottom"/>
          </w:tcPr>
          <w:p>
            <w:pPr>
              <w:spacing w:after="0"/>
              <w:rPr>
                <w:sz w:val="23"/>
                <w:szCs w:val="23"/>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7,267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7,896</w:t>
            </w: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3"/>
                <w:szCs w:val="23"/>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12,724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12,724</w:t>
            </w: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3"/>
                <w:szCs w:val="23"/>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1,278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1,265</w:t>
            </w: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3"/>
                <w:szCs w:val="23"/>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7"/>
        </w:trPr>
        <w:tc>
          <w:tcPr>
            <w:tcW w:w="7040" w:type="dxa"/>
            <w:vAlign w:val="bottom"/>
            <w:vMerge w:val="restart"/>
          </w:tcPr>
          <w:p>
            <w:pPr>
              <w:ind w:left="1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40" w:type="dxa"/>
            <w:vAlign w:val="bottom"/>
            <w:vMerge w:val="continue"/>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90,783</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88,860</w:t>
            </w:r>
          </w:p>
        </w:tc>
        <w:tc>
          <w:tcPr>
            <w:tcW w:w="0" w:type="dxa"/>
            <w:vAlign w:val="bottom"/>
          </w:tcPr>
          <w:p>
            <w:pPr>
              <w:spacing w:after="0"/>
              <w:rPr>
                <w:sz w:val="1"/>
                <w:szCs w:val="1"/>
                <w:color w:val="auto"/>
              </w:rPr>
            </w:pPr>
          </w:p>
        </w:tc>
      </w:tr>
      <w:tr>
        <w:trPr>
          <w:trHeight w:val="20"/>
        </w:trPr>
        <w:tc>
          <w:tcPr>
            <w:tcW w:w="7040" w:type="dxa"/>
            <w:vAlign w:val="bottom"/>
            <w:vMerge w:val="restart"/>
          </w:tcPr>
          <w:p>
            <w:pPr>
              <w:ind w:left="156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3,033</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3,057</w:t>
            </w: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23"/>
                <w:szCs w:val="23"/>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2,908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2,694</w:t>
            </w: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Deferred product revenue</w:t>
            </w:r>
          </w:p>
        </w:tc>
        <w:tc>
          <w:tcPr>
            <w:tcW w:w="240" w:type="dxa"/>
            <w:vAlign w:val="bottom"/>
          </w:tcPr>
          <w:p>
            <w:pPr>
              <w:spacing w:after="0"/>
              <w:rPr>
                <w:sz w:val="23"/>
                <w:szCs w:val="23"/>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4,744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5,004</w:t>
            </w:r>
          </w:p>
        </w:tc>
        <w:tc>
          <w:tcPr>
            <w:tcW w:w="0" w:type="dxa"/>
            <w:vAlign w:val="bottom"/>
          </w:tcPr>
          <w:p>
            <w:pPr>
              <w:spacing w:after="0"/>
              <w:rPr>
                <w:sz w:val="1"/>
                <w:szCs w:val="1"/>
                <w:color w:val="auto"/>
              </w:rPr>
            </w:pPr>
          </w:p>
        </w:tc>
      </w:tr>
      <w:tr>
        <w:trPr>
          <w:trHeight w:val="27"/>
        </w:trPr>
        <w:tc>
          <w:tcPr>
            <w:tcW w:w="7040" w:type="dxa"/>
            <w:vAlign w:val="bottom"/>
            <w:vMerge w:val="restart"/>
          </w:tcPr>
          <w:p>
            <w:pPr>
              <w:ind w:left="1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10,685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10,755</w:t>
            </w: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Deferred rent</w:t>
            </w:r>
          </w:p>
        </w:tc>
        <w:tc>
          <w:tcPr>
            <w:tcW w:w="240" w:type="dxa"/>
            <w:vAlign w:val="bottom"/>
          </w:tcPr>
          <w:p>
            <w:pPr>
              <w:spacing w:after="0"/>
              <w:rPr>
                <w:sz w:val="23"/>
                <w:szCs w:val="23"/>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3"/>
                <w:szCs w:val="23"/>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1,237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1,841</w:t>
            </w:r>
          </w:p>
        </w:tc>
        <w:tc>
          <w:tcPr>
            <w:tcW w:w="0" w:type="dxa"/>
            <w:vAlign w:val="bottom"/>
          </w:tcPr>
          <w:p>
            <w:pPr>
              <w:spacing w:after="0"/>
              <w:rPr>
                <w:sz w:val="1"/>
                <w:szCs w:val="1"/>
                <w:color w:val="auto"/>
              </w:rPr>
            </w:pPr>
          </w:p>
        </w:tc>
      </w:tr>
      <w:tr>
        <w:trPr>
          <w:trHeight w:val="27"/>
        </w:trPr>
        <w:tc>
          <w:tcPr>
            <w:tcW w:w="7040" w:type="dxa"/>
            <w:vAlign w:val="bottom"/>
            <w:vMerge w:val="restart"/>
          </w:tcPr>
          <w:p>
            <w:pPr>
              <w:ind w:left="18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12,118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12,844</w:t>
            </w:r>
          </w:p>
        </w:tc>
        <w:tc>
          <w:tcPr>
            <w:tcW w:w="0" w:type="dxa"/>
            <w:vAlign w:val="bottom"/>
          </w:tcPr>
          <w:p>
            <w:pPr>
              <w:spacing w:after="0"/>
              <w:rPr>
                <w:sz w:val="1"/>
                <w:szCs w:val="1"/>
                <w:color w:val="auto"/>
              </w:rPr>
            </w:pPr>
          </w:p>
        </w:tc>
      </w:tr>
      <w:tr>
        <w:trPr>
          <w:trHeight w:val="27"/>
        </w:trPr>
        <w:tc>
          <w:tcPr>
            <w:tcW w:w="7040" w:type="dxa"/>
            <w:vAlign w:val="bottom"/>
            <w:vMerge w:val="restart"/>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040" w:type="dxa"/>
            <w:vAlign w:val="bottom"/>
          </w:tcPr>
          <w:p>
            <w:pPr>
              <w:spacing w:after="0"/>
              <w:rPr>
                <w:sz w:val="20"/>
                <w:szCs w:val="20"/>
                <w:color w:val="auto"/>
              </w:rPr>
            </w:pPr>
            <w:r>
              <w:rPr>
                <w:rFonts w:ascii="Arial" w:cs="Arial" w:eastAsia="Arial" w:hAnsi="Arial"/>
                <w:sz w:val="18"/>
                <w:szCs w:val="18"/>
                <w:color w:val="auto"/>
                <w:w w:val="89"/>
              </w:rPr>
              <w:t>Common stock, par value $0.001, 50,000,000 shares authorized, 9,128,053 and 9,097,827 shares</w:t>
            </w:r>
          </w:p>
        </w:tc>
        <w:tc>
          <w:tcPr>
            <w:tcW w:w="2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160"/>
              <w:spacing w:after="0"/>
              <w:rPr>
                <w:sz w:val="20"/>
                <w:szCs w:val="20"/>
                <w:color w:val="auto"/>
              </w:rPr>
            </w:pPr>
            <w:r>
              <w:rPr>
                <w:rFonts w:ascii="Arial" w:cs="Arial" w:eastAsia="Arial" w:hAnsi="Arial"/>
                <w:sz w:val="18"/>
                <w:szCs w:val="18"/>
                <w:color w:val="auto"/>
              </w:rPr>
              <w:t>issued and outstanding</w:t>
            </w:r>
          </w:p>
        </w:tc>
        <w:tc>
          <w:tcPr>
            <w:tcW w:w="24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3"/>
                <w:szCs w:val="23"/>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45,513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44,939</w:t>
            </w: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3"/>
                <w:szCs w:val="23"/>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33,224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31,076</w:t>
            </w:r>
          </w:p>
        </w:tc>
        <w:tc>
          <w:tcPr>
            <w:tcW w:w="0" w:type="dxa"/>
            <w:vAlign w:val="bottom"/>
          </w:tcPr>
          <w:p>
            <w:pPr>
              <w:spacing w:after="0"/>
              <w:rPr>
                <w:sz w:val="1"/>
                <w:szCs w:val="1"/>
                <w:color w:val="auto"/>
              </w:rPr>
            </w:pPr>
          </w:p>
        </w:tc>
      </w:tr>
      <w:tr>
        <w:trPr>
          <w:trHeight w:val="27"/>
        </w:trPr>
        <w:tc>
          <w:tcPr>
            <w:tcW w:w="7040" w:type="dxa"/>
            <w:vAlign w:val="bottom"/>
            <w:vMerge w:val="restart"/>
          </w:tcPr>
          <w:p>
            <w:pPr>
              <w:ind w:left="18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78,665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76,016</w:t>
            </w:r>
          </w:p>
        </w:tc>
        <w:tc>
          <w:tcPr>
            <w:tcW w:w="0" w:type="dxa"/>
            <w:vAlign w:val="bottom"/>
          </w:tcPr>
          <w:p>
            <w:pPr>
              <w:spacing w:after="0"/>
              <w:rPr>
                <w:sz w:val="1"/>
                <w:szCs w:val="1"/>
                <w:color w:val="auto"/>
              </w:rPr>
            </w:pPr>
          </w:p>
        </w:tc>
      </w:tr>
      <w:tr>
        <w:trPr>
          <w:trHeight w:val="27"/>
        </w:trPr>
        <w:tc>
          <w:tcPr>
            <w:tcW w:w="7040" w:type="dxa"/>
            <w:vAlign w:val="bottom"/>
            <w:vMerge w:val="restart"/>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40" w:type="dxa"/>
            <w:vAlign w:val="bottom"/>
            <w:vMerge w:val="continue"/>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90,783</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88,860</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CONSOLIDATED STATEMENTS OF INCOME AND COMPREHENSIVE INCOME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(Dollars in thousands, except per share values)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5"/>
          </w:tcPr>
          <w:p>
            <w:pPr>
              <w:ind w:left="220"/>
              <w:spacing w:after="0"/>
              <w:rPr>
                <w:sz w:val="20"/>
                <w:szCs w:val="20"/>
                <w:color w:val="auto"/>
              </w:rPr>
            </w:pPr>
            <w:r>
              <w:rPr>
                <w:rFonts w:ascii="Arial" w:cs="Arial" w:eastAsia="Arial" w:hAnsi="Arial"/>
                <w:sz w:val="16"/>
                <w:szCs w:val="16"/>
                <w:b w:val="1"/>
                <w:bCs w:val="1"/>
                <w:color w:val="auto"/>
              </w:rPr>
              <w:t>Quarter ended June 30,</w:t>
            </w:r>
          </w:p>
        </w:tc>
        <w:tc>
          <w:tcPr>
            <w:tcW w:w="300" w:type="dxa"/>
            <w:vAlign w:val="bottom"/>
          </w:tcPr>
          <w:p>
            <w:pPr>
              <w:spacing w:after="0"/>
              <w:rPr>
                <w:sz w:val="18"/>
                <w:szCs w:val="18"/>
                <w:color w:val="auto"/>
              </w:rPr>
            </w:pPr>
          </w:p>
        </w:tc>
        <w:tc>
          <w:tcPr>
            <w:tcW w:w="2380" w:type="dxa"/>
            <w:vAlign w:val="bottom"/>
            <w:gridSpan w:val="4"/>
          </w:tcPr>
          <w:p>
            <w:pPr>
              <w:jc w:val="right"/>
              <w:ind w:right="310"/>
              <w:spacing w:after="0"/>
              <w:rPr>
                <w:sz w:val="20"/>
                <w:szCs w:val="20"/>
                <w:color w:val="auto"/>
              </w:rPr>
            </w:pPr>
            <w:r>
              <w:rPr>
                <w:rFonts w:ascii="Arial" w:cs="Arial" w:eastAsia="Arial" w:hAnsi="Arial"/>
                <w:sz w:val="16"/>
                <w:szCs w:val="16"/>
                <w:b w:val="1"/>
                <w:bCs w:val="1"/>
                <w:color w:val="auto"/>
                <w:w w:val="94"/>
              </w:rPr>
              <w:t>Six months ended June 30,</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20" w:type="dxa"/>
            <w:vAlign w:val="bottom"/>
          </w:tcPr>
          <w:p>
            <w:pPr>
              <w:spacing w:after="0"/>
              <w:rPr>
                <w:sz w:val="20"/>
                <w:szCs w:val="20"/>
                <w:color w:val="auto"/>
              </w:rPr>
            </w:pPr>
            <w:r>
              <w:rPr>
                <w:rFonts w:ascii="Arial" w:cs="Arial" w:eastAsia="Arial" w:hAnsi="Arial"/>
                <w:sz w:val="18"/>
                <w:szCs w:val="18"/>
                <w:color w:val="auto"/>
              </w:rPr>
              <w:t>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14,013</w:t>
            </w:r>
          </w:p>
        </w:tc>
        <w:tc>
          <w:tcPr>
            <w:tcW w:w="100" w:type="dxa"/>
            <w:vAlign w:val="bottom"/>
          </w:tcPr>
          <w:p>
            <w:pPr>
              <w:spacing w:after="0"/>
              <w:rPr>
                <w:sz w:val="20"/>
                <w:szCs w:val="20"/>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14,111</w:t>
            </w:r>
          </w:p>
        </w:tc>
        <w:tc>
          <w:tcPr>
            <w:tcW w:w="220" w:type="dxa"/>
            <w:vAlign w:val="bottom"/>
          </w:tcPr>
          <w:p>
            <w:pPr>
              <w:spacing w:after="0"/>
              <w:rPr>
                <w:sz w:val="20"/>
                <w:szCs w:val="20"/>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27,600</w:t>
            </w:r>
          </w:p>
        </w:tc>
        <w:tc>
          <w:tcPr>
            <w:tcW w:w="120" w:type="dxa"/>
            <w:vAlign w:val="bottom"/>
          </w:tcPr>
          <w:p>
            <w:pPr>
              <w:spacing w:after="0"/>
              <w:rPr>
                <w:sz w:val="20"/>
                <w:szCs w:val="20"/>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26,819</w:t>
            </w:r>
          </w:p>
        </w:tc>
        <w:tc>
          <w:tcPr>
            <w:tcW w:w="0" w:type="dxa"/>
            <w:vAlign w:val="bottom"/>
          </w:tcPr>
          <w:p>
            <w:pPr>
              <w:spacing w:after="0"/>
              <w:rPr>
                <w:sz w:val="1"/>
                <w:szCs w:val="1"/>
                <w:color w:val="auto"/>
              </w:rPr>
            </w:pP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5,022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6,047</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10,147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11,053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8,991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8,064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17,453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15,766</w:t>
            </w:r>
          </w:p>
        </w:tc>
        <w:tc>
          <w:tcPr>
            <w:tcW w:w="0" w:type="dxa"/>
            <w:vAlign w:val="bottom"/>
          </w:tcPr>
          <w:p>
            <w:pPr>
              <w:spacing w:after="0"/>
              <w:rPr>
                <w:sz w:val="1"/>
                <w:szCs w:val="1"/>
                <w:color w:val="auto"/>
              </w:rPr>
            </w:pPr>
          </w:p>
        </w:tc>
      </w:tr>
      <w:tr>
        <w:trPr>
          <w:trHeight w:val="27"/>
        </w:trPr>
        <w:tc>
          <w:tcPr>
            <w:tcW w:w="582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58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2,753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2,976</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5,375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5,713</w:t>
            </w:r>
          </w:p>
        </w:tc>
        <w:tc>
          <w:tcPr>
            <w:tcW w:w="0" w:type="dxa"/>
            <w:vAlign w:val="bottom"/>
          </w:tcPr>
          <w:p>
            <w:pPr>
              <w:spacing w:after="0"/>
              <w:rPr>
                <w:sz w:val="1"/>
                <w:szCs w:val="1"/>
                <w:color w:val="auto"/>
              </w:rPr>
            </w:pP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Research and product development</w:t>
            </w:r>
          </w:p>
        </w:tc>
        <w:tc>
          <w:tcPr>
            <w:tcW w:w="3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2,054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2,330</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3,996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4,571</w:t>
            </w:r>
          </w:p>
        </w:tc>
        <w:tc>
          <w:tcPr>
            <w:tcW w:w="0" w:type="dxa"/>
            <w:vAlign w:val="bottom"/>
          </w:tcPr>
          <w:p>
            <w:pPr>
              <w:spacing w:after="0"/>
              <w:rPr>
                <w:sz w:val="1"/>
                <w:szCs w:val="1"/>
                <w:color w:val="auto"/>
              </w:rPr>
            </w:pP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1,891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1,712</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3,890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3,680</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14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6,698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7,018</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13,261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13,964</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5820" w:type="dxa"/>
            <w:vAlign w:val="bottom"/>
          </w:tcPr>
          <w:p>
            <w:pPr>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2,293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1,046</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4,192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140"/>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1,110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4,382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1,595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882</w:t>
            </w:r>
          </w:p>
        </w:tc>
        <w:tc>
          <w:tcPr>
            <w:tcW w:w="220" w:type="dxa"/>
            <w:vAlign w:val="bottom"/>
          </w:tcPr>
          <w:p>
            <w:pPr>
              <w:spacing w:after="0"/>
              <w:rPr>
                <w:sz w:val="22"/>
                <w:szCs w:val="22"/>
                <w:color w:val="auto"/>
              </w:rPr>
            </w:pP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2,787</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582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4"/>
                <w:szCs w:val="24"/>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220" w:type="dxa"/>
            <w:vAlign w:val="bottom"/>
          </w:tcPr>
          <w:p>
            <w:pPr>
              <w:spacing w:after="0"/>
              <w:rPr>
                <w:sz w:val="24"/>
                <w:szCs w:val="24"/>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4"/>
                <w:szCs w:val="24"/>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3"/>
                <w:szCs w:val="23"/>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220" w:type="dxa"/>
            <w:vAlign w:val="bottom"/>
          </w:tcPr>
          <w:p>
            <w:pPr>
              <w:spacing w:after="0"/>
              <w:rPr>
                <w:sz w:val="23"/>
                <w:szCs w:val="23"/>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23"/>
                <w:szCs w:val="23"/>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540"/>
        </w:trPr>
        <w:tc>
          <w:tcPr>
            <w:tcW w:w="582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30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9,119,907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9,266,071</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9,110,062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9,174,816</w:t>
            </w:r>
          </w:p>
        </w:tc>
        <w:tc>
          <w:tcPr>
            <w:tcW w:w="0" w:type="dxa"/>
            <w:vAlign w:val="bottom"/>
          </w:tcPr>
          <w:p>
            <w:pPr>
              <w:spacing w:after="0"/>
              <w:rPr>
                <w:sz w:val="1"/>
                <w:szCs w:val="1"/>
                <w:color w:val="auto"/>
              </w:rPr>
            </w:pP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3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9,603,682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9,677,726</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9,560,914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9,618,172</w:t>
            </w:r>
          </w:p>
        </w:tc>
        <w:tc>
          <w:tcPr>
            <w:tcW w:w="0" w:type="dxa"/>
            <w:vAlign w:val="bottom"/>
          </w:tcPr>
          <w:p>
            <w:pPr>
              <w:spacing w:after="0"/>
              <w:rPr>
                <w:sz w:val="1"/>
                <w:szCs w:val="1"/>
                <w:color w:val="auto"/>
              </w:rPr>
            </w:pPr>
          </w:p>
        </w:tc>
      </w:tr>
      <w:tr>
        <w:trPr>
          <w:trHeight w:val="567"/>
        </w:trPr>
        <w:tc>
          <w:tcPr>
            <w:tcW w:w="5820" w:type="dxa"/>
            <w:vAlign w:val="bottom"/>
          </w:tcPr>
          <w:p>
            <w:pPr>
              <w:spacing w:after="0"/>
              <w:rPr>
                <w:sz w:val="20"/>
                <w:szCs w:val="20"/>
                <w:color w:val="auto"/>
              </w:rPr>
            </w:pPr>
            <w:r>
              <w:rPr>
                <w:rFonts w:ascii="Arial" w:cs="Arial" w:eastAsia="Arial" w:hAnsi="Arial"/>
                <w:sz w:val="18"/>
                <w:szCs w:val="18"/>
                <w:color w:val="auto"/>
              </w:rPr>
              <w:t>Comprehensive income:</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882</w:t>
            </w:r>
          </w:p>
        </w:tc>
        <w:tc>
          <w:tcPr>
            <w:tcW w:w="2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2,787</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70"/>
        </w:trPr>
        <w:tc>
          <w:tcPr>
            <w:tcW w:w="5820" w:type="dxa"/>
            <w:vAlign w:val="bottom"/>
          </w:tcPr>
          <w:p>
            <w:pPr>
              <w:ind w:left="220"/>
              <w:spacing w:after="0"/>
              <w:rPr>
                <w:sz w:val="20"/>
                <w:szCs w:val="20"/>
                <w:color w:val="auto"/>
              </w:rPr>
            </w:pPr>
            <w:r>
              <w:rPr>
                <w:rFonts w:ascii="Arial" w:cs="Arial" w:eastAsia="Arial" w:hAnsi="Arial"/>
                <w:sz w:val="18"/>
                <w:szCs w:val="18"/>
                <w:color w:val="auto"/>
              </w:rPr>
              <w:t>Other comprehensive income</w:t>
            </w: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20" w:type="dxa"/>
            <w:vAlign w:val="bottom"/>
          </w:tcPr>
          <w:p>
            <w:pPr>
              <w:ind w:left="440"/>
              <w:spacing w:after="0"/>
              <w:rPr>
                <w:sz w:val="20"/>
                <w:szCs w:val="20"/>
                <w:color w:val="auto"/>
              </w:rPr>
            </w:pPr>
            <w:r>
              <w:rPr>
                <w:rFonts w:ascii="Arial" w:cs="Arial" w:eastAsia="Arial" w:hAnsi="Arial"/>
                <w:sz w:val="18"/>
                <w:szCs w:val="18"/>
                <w:color w:val="auto"/>
              </w:rPr>
              <w:t>Unrealized gain on available-for-sale securities, net of tax</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0"/>
        </w:trPr>
        <w:tc>
          <w:tcPr>
            <w:tcW w:w="5820" w:type="dxa"/>
            <w:vAlign w:val="bottom"/>
          </w:tcPr>
          <w:p>
            <w:pPr>
              <w:ind w:left="440"/>
              <w:spacing w:after="0"/>
              <w:rPr>
                <w:sz w:val="20"/>
                <w:szCs w:val="20"/>
                <w:color w:val="auto"/>
              </w:rPr>
            </w:pPr>
            <w:r>
              <w:rPr>
                <w:rFonts w:ascii="Arial" w:cs="Arial" w:eastAsia="Arial" w:hAnsi="Arial"/>
                <w:sz w:val="18"/>
                <w:szCs w:val="18"/>
                <w:color w:val="auto"/>
              </w:rPr>
              <w:t>Change in foreign currency translation adjustment</w:t>
            </w:r>
          </w:p>
        </w:tc>
        <w:tc>
          <w:tcPr>
            <w:tcW w:w="3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20" w:type="dxa"/>
            <w:vAlign w:val="bottom"/>
          </w:tcPr>
          <w:p>
            <w:pPr>
              <w:ind w:left="1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947</w:t>
            </w:r>
          </w:p>
        </w:tc>
        <w:tc>
          <w:tcPr>
            <w:tcW w:w="2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2,714</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RECONCILIATION OF GAAP NET INCOME TO NON-GAAP NET INCOME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(Dollars in thousands, except per share values)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gridSpan w:val="5"/>
          </w:tcPr>
          <w:p>
            <w:pPr>
              <w:ind w:left="220"/>
              <w:spacing w:after="0"/>
              <w:rPr>
                <w:sz w:val="20"/>
                <w:szCs w:val="20"/>
                <w:color w:val="auto"/>
              </w:rPr>
            </w:pPr>
            <w:r>
              <w:rPr>
                <w:rFonts w:ascii="Arial" w:cs="Arial" w:eastAsia="Arial" w:hAnsi="Arial"/>
                <w:sz w:val="16"/>
                <w:szCs w:val="16"/>
                <w:b w:val="1"/>
                <w:bCs w:val="1"/>
                <w:color w:val="auto"/>
              </w:rPr>
              <w:t>Quarter ended June 30,</w:t>
            </w:r>
          </w:p>
        </w:tc>
        <w:tc>
          <w:tcPr>
            <w:tcW w:w="260" w:type="dxa"/>
            <w:vAlign w:val="bottom"/>
          </w:tcPr>
          <w:p>
            <w:pPr>
              <w:spacing w:after="0"/>
              <w:rPr>
                <w:sz w:val="18"/>
                <w:szCs w:val="18"/>
                <w:color w:val="auto"/>
              </w:rPr>
            </w:pPr>
          </w:p>
        </w:tc>
        <w:tc>
          <w:tcPr>
            <w:tcW w:w="236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w w:val="94"/>
              </w:rPr>
              <w:t>Six months ended June 30,</w:t>
            </w:r>
          </w:p>
        </w:tc>
        <w:tc>
          <w:tcPr>
            <w:tcW w:w="0" w:type="dxa"/>
            <w:vAlign w:val="bottom"/>
          </w:tcPr>
          <w:p>
            <w:pPr>
              <w:spacing w:after="0"/>
              <w:rPr>
                <w:sz w:val="1"/>
                <w:szCs w:val="1"/>
                <w:color w:val="auto"/>
              </w:rPr>
            </w:pPr>
          </w:p>
        </w:tc>
      </w:tr>
      <w:tr>
        <w:trPr>
          <w:trHeight w:val="33"/>
        </w:trPr>
        <w:tc>
          <w:tcPr>
            <w:tcW w:w="5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5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900" w:type="dxa"/>
            <w:vAlign w:val="bottom"/>
          </w:tcPr>
          <w:p>
            <w:pPr>
              <w:spacing w:after="0"/>
              <w:rPr>
                <w:sz w:val="20"/>
                <w:szCs w:val="20"/>
                <w:color w:val="auto"/>
              </w:rPr>
            </w:pPr>
            <w:r>
              <w:rPr>
                <w:rFonts w:ascii="Arial" w:cs="Arial" w:eastAsia="Arial" w:hAnsi="Arial"/>
                <w:sz w:val="16"/>
                <w:szCs w:val="16"/>
                <w:color w:val="auto"/>
              </w:rPr>
              <w:t>Revenue</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14,013</w:t>
            </w:r>
          </w:p>
        </w:tc>
        <w:tc>
          <w:tcPr>
            <w:tcW w:w="12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14,111</w:t>
            </w:r>
          </w:p>
        </w:tc>
        <w:tc>
          <w:tcPr>
            <w:tcW w:w="220" w:type="dxa"/>
            <w:vAlign w:val="bottom"/>
          </w:tcPr>
          <w:p>
            <w:pPr>
              <w:spacing w:after="0"/>
              <w:rPr>
                <w:sz w:val="18"/>
                <w:szCs w:val="18"/>
                <w:color w:val="auto"/>
              </w:rPr>
            </w:pP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27,600</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26,819</w:t>
            </w:r>
          </w:p>
        </w:tc>
        <w:tc>
          <w:tcPr>
            <w:tcW w:w="0" w:type="dxa"/>
            <w:vAlign w:val="bottom"/>
          </w:tcPr>
          <w:p>
            <w:pPr>
              <w:spacing w:after="0"/>
              <w:rPr>
                <w:sz w:val="1"/>
                <w:szCs w:val="1"/>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Cost of goods sold</w:t>
            </w: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5,016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6,045</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10,136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11,049</w:t>
            </w:r>
          </w:p>
        </w:tc>
        <w:tc>
          <w:tcPr>
            <w:tcW w:w="0" w:type="dxa"/>
            <w:vAlign w:val="bottom"/>
          </w:tcPr>
          <w:p>
            <w:pPr>
              <w:spacing w:after="0"/>
              <w:rPr>
                <w:sz w:val="1"/>
                <w:szCs w:val="1"/>
                <w:color w:val="auto"/>
              </w:rPr>
            </w:pPr>
          </w:p>
        </w:tc>
      </w:tr>
      <w:tr>
        <w:trPr>
          <w:trHeight w:val="33"/>
        </w:trPr>
        <w:tc>
          <w:tcPr>
            <w:tcW w:w="5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900" w:type="dxa"/>
            <w:vAlign w:val="bottom"/>
          </w:tcPr>
          <w:p>
            <w:pPr>
              <w:spacing w:after="0"/>
              <w:rPr>
                <w:sz w:val="20"/>
                <w:szCs w:val="20"/>
                <w:color w:val="auto"/>
              </w:rPr>
            </w:pPr>
            <w:r>
              <w:rPr>
                <w:rFonts w:ascii="Arial" w:cs="Arial" w:eastAsia="Arial" w:hAnsi="Arial"/>
                <w:sz w:val="16"/>
                <w:szCs w:val="16"/>
                <w:color w:val="auto"/>
              </w:rPr>
              <w:t>Gross profit</w:t>
            </w:r>
          </w:p>
        </w:tc>
        <w:tc>
          <w:tcPr>
            <w:tcW w:w="3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8,997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8,066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17,464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15,770</w:t>
            </w:r>
          </w:p>
        </w:tc>
        <w:tc>
          <w:tcPr>
            <w:tcW w:w="0" w:type="dxa"/>
            <w:vAlign w:val="bottom"/>
          </w:tcPr>
          <w:p>
            <w:pPr>
              <w:spacing w:after="0"/>
              <w:rPr>
                <w:sz w:val="1"/>
                <w:szCs w:val="1"/>
                <w:color w:val="auto"/>
              </w:rPr>
            </w:pPr>
          </w:p>
        </w:tc>
      </w:tr>
      <w:tr>
        <w:trPr>
          <w:trHeight w:val="33"/>
        </w:trPr>
        <w:tc>
          <w:tcPr>
            <w:tcW w:w="5900" w:type="dxa"/>
            <w:vAlign w:val="bottom"/>
            <w:vMerge w:val="restart"/>
          </w:tcPr>
          <w:p>
            <w:pPr>
              <w:spacing w:after="0"/>
              <w:rPr>
                <w:sz w:val="20"/>
                <w:szCs w:val="20"/>
                <w:color w:val="auto"/>
              </w:rPr>
            </w:pPr>
            <w:r>
              <w:rPr>
                <w:rFonts w:ascii="Arial" w:cs="Arial" w:eastAsia="Arial" w:hAnsi="Arial"/>
                <w:sz w:val="16"/>
                <w:szCs w:val="16"/>
                <w:color w:val="auto"/>
              </w:rPr>
              <w:t>Operating expenses:</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5"/>
        </w:trPr>
        <w:tc>
          <w:tcPr>
            <w:tcW w:w="59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Sales and marketing</w:t>
            </w: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2,714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2,956</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5,296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5,673</w:t>
            </w:r>
          </w:p>
        </w:tc>
        <w:tc>
          <w:tcPr>
            <w:tcW w:w="0" w:type="dxa"/>
            <w:vAlign w:val="bottom"/>
          </w:tcPr>
          <w:p>
            <w:pPr>
              <w:spacing w:after="0"/>
              <w:rPr>
                <w:sz w:val="1"/>
                <w:szCs w:val="1"/>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Research and product development</w:t>
            </w: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2,320</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3,930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4,550</w:t>
            </w:r>
          </w:p>
        </w:tc>
        <w:tc>
          <w:tcPr>
            <w:tcW w:w="0" w:type="dxa"/>
            <w:vAlign w:val="bottom"/>
          </w:tcPr>
          <w:p>
            <w:pPr>
              <w:spacing w:after="0"/>
              <w:rPr>
                <w:sz w:val="1"/>
                <w:szCs w:val="1"/>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1,373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1,175</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2,822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2,553</w:t>
            </w:r>
          </w:p>
        </w:tc>
        <w:tc>
          <w:tcPr>
            <w:tcW w:w="0" w:type="dxa"/>
            <w:vAlign w:val="bottom"/>
          </w:tcPr>
          <w:p>
            <w:pPr>
              <w:spacing w:after="0"/>
              <w:rPr>
                <w:sz w:val="1"/>
                <w:szCs w:val="1"/>
                <w:color w:val="auto"/>
              </w:rPr>
            </w:pPr>
          </w:p>
        </w:tc>
      </w:tr>
      <w:tr>
        <w:trPr>
          <w:trHeight w:val="33"/>
        </w:trPr>
        <w:tc>
          <w:tcPr>
            <w:tcW w:w="5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900" w:type="dxa"/>
            <w:vAlign w:val="bottom"/>
          </w:tcPr>
          <w:p>
            <w:pPr>
              <w:spacing w:after="0"/>
              <w:rPr>
                <w:sz w:val="20"/>
                <w:szCs w:val="20"/>
                <w:color w:val="auto"/>
              </w:rPr>
            </w:pPr>
            <w:r>
              <w:rPr>
                <w:rFonts w:ascii="Arial" w:cs="Arial" w:eastAsia="Arial" w:hAnsi="Arial"/>
                <w:sz w:val="16"/>
                <w:szCs w:val="16"/>
                <w:color w:val="auto"/>
              </w:rPr>
              <w:t>Total operating expenses</w:t>
            </w:r>
          </w:p>
        </w:tc>
        <w:tc>
          <w:tcPr>
            <w:tcW w:w="3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6,108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6,451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12,048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12,776</w:t>
            </w:r>
          </w:p>
        </w:tc>
        <w:tc>
          <w:tcPr>
            <w:tcW w:w="0" w:type="dxa"/>
            <w:vAlign w:val="bottom"/>
          </w:tcPr>
          <w:p>
            <w:pPr>
              <w:spacing w:after="0"/>
              <w:rPr>
                <w:sz w:val="1"/>
                <w:szCs w:val="1"/>
                <w:color w:val="auto"/>
              </w:rPr>
            </w:pPr>
          </w:p>
        </w:tc>
      </w:tr>
      <w:tr>
        <w:trPr>
          <w:trHeight w:val="33"/>
        </w:trPr>
        <w:tc>
          <w:tcPr>
            <w:tcW w:w="5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5"/>
        </w:trPr>
        <w:tc>
          <w:tcPr>
            <w:tcW w:w="5900" w:type="dxa"/>
            <w:vAlign w:val="bottom"/>
          </w:tcPr>
          <w:p>
            <w:pPr>
              <w:spacing w:after="0"/>
              <w:rPr>
                <w:sz w:val="20"/>
                <w:szCs w:val="20"/>
                <w:color w:val="auto"/>
              </w:rPr>
            </w:pPr>
            <w:r>
              <w:rPr>
                <w:rFonts w:ascii="Arial" w:cs="Arial" w:eastAsia="Arial" w:hAnsi="Arial"/>
                <w:sz w:val="16"/>
                <w:szCs w:val="16"/>
                <w:color w:val="auto"/>
              </w:rPr>
              <w:t>Non-GAAP operating income</w:t>
            </w:r>
          </w:p>
        </w:tc>
        <w:tc>
          <w:tcPr>
            <w:tcW w:w="30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2,889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1,615</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5,416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2,994</w:t>
            </w:r>
          </w:p>
        </w:tc>
        <w:tc>
          <w:tcPr>
            <w:tcW w:w="0" w:type="dxa"/>
            <w:vAlign w:val="bottom"/>
          </w:tcPr>
          <w:p>
            <w:pPr>
              <w:spacing w:after="0"/>
              <w:rPr>
                <w:sz w:val="1"/>
                <w:szCs w:val="1"/>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64</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33"/>
        </w:trPr>
        <w:tc>
          <w:tcPr>
            <w:tcW w:w="5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90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3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1,679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5,606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3,139</w:t>
            </w:r>
          </w:p>
        </w:tc>
        <w:tc>
          <w:tcPr>
            <w:tcW w:w="0" w:type="dxa"/>
            <w:vAlign w:val="bottom"/>
          </w:tcPr>
          <w:p>
            <w:pPr>
              <w:spacing w:after="0"/>
              <w:rPr>
                <w:sz w:val="1"/>
                <w:szCs w:val="1"/>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1,079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313</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2,040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r>
        <w:trPr>
          <w:trHeight w:val="33"/>
        </w:trPr>
        <w:tc>
          <w:tcPr>
            <w:tcW w:w="5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00" w:type="dxa"/>
            <w:vAlign w:val="bottom"/>
          </w:tcPr>
          <w:p>
            <w:pPr>
              <w:spacing w:after="0"/>
              <w:rPr>
                <w:sz w:val="20"/>
                <w:szCs w:val="20"/>
                <w:color w:val="auto"/>
              </w:rPr>
            </w:pPr>
            <w:r>
              <w:rPr>
                <w:rFonts w:ascii="Arial" w:cs="Arial" w:eastAsia="Arial" w:hAnsi="Arial"/>
                <w:sz w:val="16"/>
                <w:szCs w:val="16"/>
                <w:b w:val="1"/>
                <w:bCs w:val="1"/>
                <w:color w:val="auto"/>
              </w:rPr>
              <w:t>Non-GAAP Net income</w:t>
            </w:r>
          </w:p>
        </w:tc>
        <w:tc>
          <w:tcPr>
            <w:tcW w:w="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1,895</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1,366</w:t>
            </w:r>
          </w:p>
        </w:tc>
        <w:tc>
          <w:tcPr>
            <w:tcW w:w="220" w:type="dxa"/>
            <w:vAlign w:val="bottom"/>
          </w:tcPr>
          <w:p>
            <w:pPr>
              <w:spacing w:after="0"/>
              <w:rPr>
                <w:sz w:val="21"/>
                <w:szCs w:val="21"/>
                <w:color w:val="auto"/>
              </w:rPr>
            </w:pP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3,566</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2,197</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900" w:type="dxa"/>
            <w:vAlign w:val="bottom"/>
          </w:tcPr>
          <w:p>
            <w:pPr>
              <w:spacing w:after="0"/>
              <w:rPr>
                <w:sz w:val="20"/>
                <w:szCs w:val="20"/>
                <w:color w:val="auto"/>
              </w:rPr>
            </w:pPr>
            <w:r>
              <w:rPr>
                <w:rFonts w:ascii="Arial" w:cs="Arial" w:eastAsia="Arial" w:hAnsi="Arial"/>
                <w:sz w:val="16"/>
                <w:szCs w:val="16"/>
                <w:color w:val="auto"/>
              </w:rPr>
              <w:t>Basic Non-GAAP earnings per common share</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0.21</w:t>
            </w:r>
          </w:p>
        </w:tc>
        <w:tc>
          <w:tcPr>
            <w:tcW w:w="120" w:type="dxa"/>
            <w:vAlign w:val="bottom"/>
          </w:tcPr>
          <w:p>
            <w:pPr>
              <w:spacing w:after="0"/>
              <w:rPr>
                <w:sz w:val="24"/>
                <w:szCs w:val="24"/>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0.15</w:t>
            </w:r>
          </w:p>
        </w:tc>
        <w:tc>
          <w:tcPr>
            <w:tcW w:w="220" w:type="dxa"/>
            <w:vAlign w:val="bottom"/>
          </w:tcPr>
          <w:p>
            <w:pPr>
              <w:spacing w:after="0"/>
              <w:rPr>
                <w:sz w:val="24"/>
                <w:szCs w:val="24"/>
                <w:color w:val="auto"/>
              </w:rPr>
            </w:pP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0.39</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Diluted Non-GAAP earnings per common share</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0.20</w:t>
            </w:r>
          </w:p>
        </w:tc>
        <w:tc>
          <w:tcPr>
            <w:tcW w:w="12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0.14</w:t>
            </w:r>
          </w:p>
        </w:tc>
        <w:tc>
          <w:tcPr>
            <w:tcW w:w="220" w:type="dxa"/>
            <w:vAlign w:val="bottom"/>
          </w:tcPr>
          <w:p>
            <w:pPr>
              <w:spacing w:after="0"/>
              <w:rPr>
                <w:sz w:val="23"/>
                <w:szCs w:val="23"/>
                <w:color w:val="auto"/>
              </w:rPr>
            </w:pP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0.37</w:t>
            </w:r>
          </w:p>
        </w:tc>
        <w:tc>
          <w:tcPr>
            <w:tcW w:w="12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594"/>
        </w:trPr>
        <w:tc>
          <w:tcPr>
            <w:tcW w:w="5900" w:type="dxa"/>
            <w:vAlign w:val="bottom"/>
          </w:tcPr>
          <w:p>
            <w:pPr>
              <w:spacing w:after="0"/>
              <w:rPr>
                <w:sz w:val="20"/>
                <w:szCs w:val="20"/>
                <w:color w:val="auto"/>
              </w:rPr>
            </w:pPr>
            <w:r>
              <w:rPr>
                <w:rFonts w:ascii="Arial" w:cs="Arial" w:eastAsia="Arial" w:hAnsi="Arial"/>
                <w:sz w:val="16"/>
                <w:szCs w:val="16"/>
                <w:color w:val="auto"/>
              </w:rPr>
              <w:t>Basic weighted average shares outstanding</w:t>
            </w:r>
          </w:p>
        </w:tc>
        <w:tc>
          <w:tcPr>
            <w:tcW w:w="30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9,119,907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9,266,071</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9,110,062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9,174,816</w:t>
            </w:r>
          </w:p>
        </w:tc>
        <w:tc>
          <w:tcPr>
            <w:tcW w:w="0" w:type="dxa"/>
            <w:vAlign w:val="bottom"/>
          </w:tcPr>
          <w:p>
            <w:pPr>
              <w:spacing w:after="0"/>
              <w:rPr>
                <w:sz w:val="1"/>
                <w:szCs w:val="1"/>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Diluted weighted average shares outstanding</w:t>
            </w: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9,603,682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9,677,726</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9,560,914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9,618,172</w:t>
            </w:r>
          </w:p>
        </w:tc>
        <w:tc>
          <w:tcPr>
            <w:tcW w:w="0" w:type="dxa"/>
            <w:vAlign w:val="bottom"/>
          </w:tcPr>
          <w:p>
            <w:pPr>
              <w:spacing w:after="0"/>
              <w:rPr>
                <w:sz w:val="1"/>
                <w:szCs w:val="1"/>
                <w:color w:val="auto"/>
              </w:rPr>
            </w:pPr>
          </w:p>
        </w:tc>
      </w:tr>
      <w:tr>
        <w:trPr>
          <w:trHeight w:val="594"/>
        </w:trPr>
        <w:tc>
          <w:tcPr>
            <w:tcW w:w="5900" w:type="dxa"/>
            <w:vAlign w:val="bottom"/>
          </w:tcPr>
          <w:p>
            <w:pPr>
              <w:spacing w:after="0"/>
              <w:rPr>
                <w:sz w:val="20"/>
                <w:szCs w:val="20"/>
                <w:color w:val="auto"/>
              </w:rPr>
            </w:pPr>
            <w:r>
              <w:rPr>
                <w:rFonts w:ascii="Arial" w:cs="Arial" w:eastAsia="Arial" w:hAnsi="Arial"/>
                <w:sz w:val="16"/>
                <w:szCs w:val="16"/>
                <w:b w:val="1"/>
                <w:bCs w:val="1"/>
                <w:color w:val="auto"/>
              </w:rPr>
              <w:t>GAAP Net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1,515</w:t>
            </w:r>
          </w:p>
        </w:tc>
        <w:tc>
          <w:tcPr>
            <w:tcW w:w="12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882</w:t>
            </w:r>
          </w:p>
        </w:tc>
        <w:tc>
          <w:tcPr>
            <w:tcW w:w="22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2,787</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1,369</w:t>
            </w:r>
          </w:p>
        </w:tc>
        <w:tc>
          <w:tcPr>
            <w:tcW w:w="0" w:type="dxa"/>
            <w:vAlign w:val="bottom"/>
          </w:tcPr>
          <w:p>
            <w:pPr>
              <w:spacing w:after="0"/>
              <w:rPr>
                <w:sz w:val="1"/>
                <w:szCs w:val="1"/>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Adjustments:</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84</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455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Amortization of purchased intangibles</w:t>
            </w: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352</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629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253"/>
        </w:trPr>
        <w:tc>
          <w:tcPr>
            <w:tcW w:w="5900" w:type="dxa"/>
            <w:vAlign w:val="bottom"/>
          </w:tcPr>
          <w:p>
            <w:pPr>
              <w:spacing w:after="0"/>
              <w:rPr>
                <w:sz w:val="20"/>
                <w:szCs w:val="20"/>
                <w:color w:val="auto"/>
              </w:rPr>
            </w:pPr>
            <w:r>
              <w:rPr>
                <w:rFonts w:ascii="Arial" w:cs="Arial" w:eastAsia="Arial" w:hAnsi="Arial"/>
                <w:sz w:val="16"/>
                <w:szCs w:val="16"/>
                <w:color w:val="auto"/>
                <w:w w:val="98"/>
              </w:rPr>
              <w:t>Legal expenses for litigation relating to indemnification of former officers, theft of our</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900" w:type="dxa"/>
            <w:vAlign w:val="bottom"/>
          </w:tcPr>
          <w:p>
            <w:pPr>
              <w:ind w:left="160"/>
              <w:spacing w:after="0"/>
              <w:rPr>
                <w:sz w:val="20"/>
                <w:szCs w:val="20"/>
                <w:color w:val="auto"/>
              </w:rPr>
            </w:pPr>
            <w:r>
              <w:rPr>
                <w:rFonts w:ascii="Arial" w:cs="Arial" w:eastAsia="Arial" w:hAnsi="Arial"/>
                <w:sz w:val="16"/>
                <w:szCs w:val="16"/>
                <w:color w:val="auto"/>
              </w:rPr>
              <w:t>intellectual property claims and our claim for damages</w:t>
            </w:r>
          </w:p>
        </w:tc>
        <w:tc>
          <w:tcPr>
            <w:tcW w:w="30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Acquisition related expenses</w:t>
            </w: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102</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33"/>
        </w:trPr>
        <w:tc>
          <w:tcPr>
            <w:tcW w:w="5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900" w:type="dxa"/>
            <w:vAlign w:val="bottom"/>
          </w:tcPr>
          <w:p>
            <w:pPr>
              <w:spacing w:after="0"/>
              <w:rPr>
                <w:sz w:val="20"/>
                <w:szCs w:val="20"/>
                <w:color w:val="auto"/>
              </w:rPr>
            </w:pPr>
            <w:r>
              <w:rPr>
                <w:rFonts w:ascii="Arial" w:cs="Arial" w:eastAsia="Arial" w:hAnsi="Arial"/>
                <w:sz w:val="16"/>
                <w:szCs w:val="16"/>
                <w:color w:val="auto"/>
              </w:rPr>
              <w:t>Total of adjustments before taxes</w:t>
            </w:r>
          </w:p>
        </w:tc>
        <w:tc>
          <w:tcPr>
            <w:tcW w:w="3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596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569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1,192</w:t>
            </w:r>
          </w:p>
        </w:tc>
        <w:tc>
          <w:tcPr>
            <w:tcW w:w="0" w:type="dxa"/>
            <w:vAlign w:val="bottom"/>
          </w:tcPr>
          <w:p>
            <w:pPr>
              <w:spacing w:after="0"/>
              <w:rPr>
                <w:sz w:val="1"/>
                <w:szCs w:val="1"/>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Income taxes affected by the above adjustments</w:t>
            </w: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445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33"/>
        </w:trPr>
        <w:tc>
          <w:tcPr>
            <w:tcW w:w="5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900" w:type="dxa"/>
            <w:vAlign w:val="bottom"/>
          </w:tcPr>
          <w:p>
            <w:pPr>
              <w:ind w:left="240"/>
              <w:spacing w:after="0"/>
              <w:rPr>
                <w:sz w:val="20"/>
                <w:szCs w:val="20"/>
                <w:color w:val="auto"/>
              </w:rPr>
            </w:pPr>
            <w:r>
              <w:rPr>
                <w:rFonts w:ascii="Arial" w:cs="Arial" w:eastAsia="Arial" w:hAnsi="Arial"/>
                <w:sz w:val="16"/>
                <w:szCs w:val="16"/>
                <w:color w:val="auto"/>
              </w:rPr>
              <w:t>Total adjustments</w:t>
            </w:r>
          </w:p>
        </w:tc>
        <w:tc>
          <w:tcPr>
            <w:tcW w:w="3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484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779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828</w:t>
            </w:r>
          </w:p>
        </w:tc>
        <w:tc>
          <w:tcPr>
            <w:tcW w:w="0" w:type="dxa"/>
            <w:vAlign w:val="bottom"/>
          </w:tcPr>
          <w:p>
            <w:pPr>
              <w:spacing w:after="0"/>
              <w:rPr>
                <w:sz w:val="1"/>
                <w:szCs w:val="1"/>
                <w:color w:val="auto"/>
              </w:rPr>
            </w:pPr>
          </w:p>
        </w:tc>
      </w:tr>
      <w:tr>
        <w:trPr>
          <w:trHeight w:val="33"/>
        </w:trPr>
        <w:tc>
          <w:tcPr>
            <w:tcW w:w="5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00" w:type="dxa"/>
            <w:vAlign w:val="bottom"/>
          </w:tcPr>
          <w:p>
            <w:pPr>
              <w:spacing w:after="0"/>
              <w:rPr>
                <w:sz w:val="20"/>
                <w:szCs w:val="20"/>
                <w:color w:val="auto"/>
              </w:rPr>
            </w:pPr>
            <w:r>
              <w:rPr>
                <w:rFonts w:ascii="Arial" w:cs="Arial" w:eastAsia="Arial" w:hAnsi="Arial"/>
                <w:sz w:val="16"/>
                <w:szCs w:val="16"/>
                <w:b w:val="1"/>
                <w:bCs w:val="1"/>
                <w:color w:val="auto"/>
              </w:rPr>
              <w:t>Non-GAAP Net Income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1,895</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1,366</w:t>
            </w:r>
          </w:p>
        </w:tc>
        <w:tc>
          <w:tcPr>
            <w:tcW w:w="22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3,566</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2,197</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RECONCILIATION OF GAAP NET INCOME TO NON-GAAP ADJUSTED EBITDA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(Dollars in thousands, except per share values)</w:t>
      </w:r>
    </w:p>
    <w:p>
      <w:pPr>
        <w:sectPr>
          <w:pgSz w:w="11900" w:h="16838" w:orient="portrait"/>
          <w:cols w:equalWidth="0" w:num="1">
            <w:col w:w="11380"/>
          </w:cols>
          <w:pgMar w:left="280" w:top="580" w:right="239" w:bottom="1440" w:gutter="0" w:footer="0" w:header="0"/>
        </w:sectPr>
      </w:pPr>
    </w:p>
    <w:p>
      <w:pPr>
        <w:spacing w:after="0" w:line="387" w:lineRule="exact"/>
        <w:rPr>
          <w:sz w:val="20"/>
          <w:szCs w:val="20"/>
          <w:color w:val="auto"/>
        </w:rPr>
      </w:pPr>
    </w:p>
    <w:p>
      <w:pPr>
        <w:ind w:left="6440"/>
        <w:spacing w:after="0"/>
        <w:rPr>
          <w:sz w:val="20"/>
          <w:szCs w:val="20"/>
          <w:color w:val="auto"/>
        </w:rPr>
      </w:pPr>
      <w:r>
        <w:rPr>
          <w:rFonts w:ascii="Arial" w:cs="Arial" w:eastAsia="Arial" w:hAnsi="Arial"/>
          <w:sz w:val="14"/>
          <w:szCs w:val="14"/>
          <w:b w:val="1"/>
          <w:bCs w:val="1"/>
          <w:color w:val="auto"/>
        </w:rPr>
        <w:t>Quarter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52070</wp:posOffset>
            </wp:positionV>
            <wp:extent cx="1689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103" w:lineRule="exact"/>
        <w:rPr>
          <w:sz w:val="20"/>
          <w:szCs w:val="20"/>
          <w:color w:val="auto"/>
        </w:rPr>
      </w:pPr>
    </w:p>
    <w:p>
      <w:pPr>
        <w:ind w:left="6380"/>
        <w:spacing w:after="0"/>
        <w:tabs>
          <w:tab w:leader="none" w:pos="776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52070</wp:posOffset>
            </wp:positionV>
            <wp:extent cx="1689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52070</wp:posOffset>
            </wp:positionV>
            <wp:extent cx="1646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03" w:lineRule="exact"/>
        <w:rPr>
          <w:sz w:val="20"/>
          <w:szCs w:val="20"/>
          <w:color w:val="auto"/>
        </w:rPr>
      </w:pPr>
    </w:p>
    <w:p>
      <w:pPr>
        <w:ind w:left="60"/>
        <w:spacing w:after="0"/>
        <w:tabs>
          <w:tab w:leader="none" w:pos="1400" w:val="left"/>
        </w:tabs>
        <w:rPr>
          <w:sz w:val="20"/>
          <w:szCs w:val="20"/>
          <w:color w:val="auto"/>
        </w:rPr>
      </w:pPr>
      <w:r>
        <w:rPr>
          <w:rFonts w:ascii="Arial" w:cs="Arial" w:eastAsia="Arial" w:hAnsi="Arial"/>
          <w:sz w:val="16"/>
          <w:szCs w:val="16"/>
          <w:b w:val="1"/>
          <w:bCs w:val="1"/>
          <w:color w:val="auto"/>
        </w:rPr>
        <w:t>2015</w:t>
      </w:r>
      <w:r>
        <w:rPr>
          <w:sz w:val="20"/>
          <w:szCs w:val="20"/>
          <w:color w:val="auto"/>
        </w:rPr>
        <w:tab/>
      </w:r>
      <w:r>
        <w:rPr>
          <w:rFonts w:ascii="Arial" w:cs="Arial" w:eastAsia="Arial" w:hAnsi="Arial"/>
          <w:sz w:val="16"/>
          <w:szCs w:val="16"/>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37465</wp:posOffset>
            </wp:positionV>
            <wp:extent cx="1646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04" w:lineRule="exact"/>
        <w:rPr>
          <w:sz w:val="20"/>
          <w:szCs w:val="20"/>
          <w:color w:val="auto"/>
        </w:rPr>
      </w:pPr>
    </w:p>
    <w:p>
      <w:pPr>
        <w:sectPr>
          <w:pgSz w:w="11900" w:h="16838" w:orient="portrait"/>
          <w:cols w:equalWidth="0" w:num="2">
            <w:col w:w="8460" w:space="720"/>
            <w:col w:w="2200"/>
          </w:cols>
          <w:pgMar w:left="280" w:top="580" w:right="23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5920" w:type="dxa"/>
            <w:vAlign w:val="bottom"/>
            <w:gridSpan w:val="2"/>
          </w:tcPr>
          <w:p>
            <w:pPr>
              <w:spacing w:after="0"/>
              <w:rPr>
                <w:sz w:val="20"/>
                <w:szCs w:val="20"/>
                <w:color w:val="auto"/>
              </w:rPr>
            </w:pPr>
            <w:r>
              <w:rPr>
                <w:rFonts w:ascii="Arial" w:cs="Arial" w:eastAsia="Arial" w:hAnsi="Arial"/>
                <w:sz w:val="16"/>
                <w:szCs w:val="16"/>
                <w:color w:val="auto"/>
              </w:rPr>
              <w:t>GAAP net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1,515</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882</w:t>
            </w:r>
          </w:p>
        </w:tc>
        <w:tc>
          <w:tcPr>
            <w:tcW w:w="200" w:type="dxa"/>
            <w:vAlign w:val="bottom"/>
          </w:tcPr>
          <w:p>
            <w:pPr>
              <w:spacing w:after="0"/>
              <w:rPr>
                <w:sz w:val="17"/>
                <w:szCs w:val="17"/>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2,787</w:t>
            </w:r>
          </w:p>
        </w:tc>
        <w:tc>
          <w:tcPr>
            <w:tcW w:w="12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1,369</w:t>
            </w:r>
          </w:p>
        </w:tc>
      </w:tr>
      <w:tr>
        <w:trPr>
          <w:trHeight w:val="263"/>
        </w:trPr>
        <w:tc>
          <w:tcPr>
            <w:tcW w:w="5920" w:type="dxa"/>
            <w:vAlign w:val="bottom"/>
            <w:gridSpan w:val="2"/>
          </w:tcPr>
          <w:p>
            <w:pPr>
              <w:spacing w:after="0"/>
              <w:rPr>
                <w:sz w:val="20"/>
                <w:szCs w:val="20"/>
                <w:color w:val="auto"/>
              </w:rPr>
            </w:pPr>
            <w:r>
              <w:rPr>
                <w:rFonts w:ascii="Arial" w:cs="Arial" w:eastAsia="Arial" w:hAnsi="Arial"/>
                <w:sz w:val="14"/>
                <w:szCs w:val="14"/>
                <w:b w:val="1"/>
                <w:bCs w:val="1"/>
                <w:color w:val="auto"/>
              </w:rPr>
              <w:t>Adjustments: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58"/>
        </w:trPr>
        <w:tc>
          <w:tcPr>
            <w:tcW w:w="5920" w:type="dxa"/>
            <w:vAlign w:val="bottom"/>
            <w:gridSpan w:val="2"/>
          </w:tcPr>
          <w:p>
            <w:pPr>
              <w:spacing w:after="0"/>
              <w:rPr>
                <w:sz w:val="20"/>
                <w:szCs w:val="20"/>
                <w:color w:val="auto"/>
              </w:rPr>
            </w:pPr>
            <w:r>
              <w:rPr>
                <w:rFonts w:ascii="Arial" w:cs="Arial" w:eastAsia="Arial" w:hAnsi="Arial"/>
                <w:sz w:val="16"/>
                <w:szCs w:val="16"/>
                <w:color w:val="auto"/>
              </w:rPr>
              <w:t>Provision for income taxes</w:t>
            </w:r>
          </w:p>
        </w:tc>
        <w:tc>
          <w:tcPr>
            <w:tcW w:w="30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863</w:t>
            </w:r>
          </w:p>
        </w:tc>
        <w:tc>
          <w:tcPr>
            <w:tcW w:w="42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228</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1,595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578</w:t>
            </w:r>
          </w:p>
        </w:tc>
      </w:tr>
      <w:tr>
        <w:trPr>
          <w:trHeight w:val="270"/>
        </w:trPr>
        <w:tc>
          <w:tcPr>
            <w:tcW w:w="592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520</w:t>
            </w:r>
          </w:p>
        </w:tc>
        <w:tc>
          <w:tcPr>
            <w:tcW w:w="4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547</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1,040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872</w:t>
            </w:r>
          </w:p>
        </w:tc>
      </w:tr>
      <w:tr>
        <w:trPr>
          <w:trHeight w:val="33"/>
        </w:trPr>
        <w:tc>
          <w:tcPr>
            <w:tcW w:w="8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2"/>
        </w:trPr>
        <w:tc>
          <w:tcPr>
            <w:tcW w:w="5920" w:type="dxa"/>
            <w:vAlign w:val="bottom"/>
            <w:gridSpan w:val="2"/>
          </w:tcPr>
          <w:p>
            <w:pPr>
              <w:spacing w:after="0"/>
              <w:rPr>
                <w:sz w:val="20"/>
                <w:szCs w:val="20"/>
                <w:color w:val="auto"/>
              </w:rPr>
            </w:pPr>
            <w:r>
              <w:rPr>
                <w:rFonts w:ascii="Arial" w:cs="Arial" w:eastAsia="Arial" w:hAnsi="Arial"/>
                <w:sz w:val="14"/>
                <w:szCs w:val="14"/>
                <w:b w:val="1"/>
                <w:bCs w:val="1"/>
                <w:color w:val="auto"/>
              </w:rPr>
              <w:t>Non-GAAP EBITDA</w:t>
            </w:r>
          </w:p>
        </w:tc>
        <w:tc>
          <w:tcPr>
            <w:tcW w:w="30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2,898</w:t>
            </w:r>
          </w:p>
        </w:tc>
        <w:tc>
          <w:tcPr>
            <w:tcW w:w="420" w:type="dxa"/>
            <w:vAlign w:val="bottom"/>
          </w:tcPr>
          <w:p>
            <w:pPr>
              <w:spacing w:after="0"/>
              <w:rPr>
                <w:sz w:val="21"/>
                <w:szCs w:val="21"/>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1,657</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5,422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2,819</w:t>
            </w:r>
          </w:p>
        </w:tc>
      </w:tr>
      <w:tr>
        <w:trPr>
          <w:trHeight w:val="249"/>
        </w:trPr>
        <w:tc>
          <w:tcPr>
            <w:tcW w:w="5920" w:type="dxa"/>
            <w:vAlign w:val="bottom"/>
            <w:gridSpan w:val="2"/>
          </w:tcPr>
          <w:p>
            <w:pPr>
              <w:spacing w:after="0"/>
              <w:rPr>
                <w:sz w:val="20"/>
                <w:szCs w:val="20"/>
                <w:color w:val="auto"/>
              </w:rPr>
            </w:pPr>
            <w:r>
              <w:rPr>
                <w:rFonts w:ascii="Arial" w:cs="Arial" w:eastAsia="Arial" w:hAnsi="Arial"/>
                <w:sz w:val="16"/>
                <w:szCs w:val="16"/>
                <w:color w:val="auto"/>
              </w:rPr>
              <w:t>Share-based compensation</w:t>
            </w:r>
          </w:p>
        </w:tc>
        <w:tc>
          <w:tcPr>
            <w:tcW w:w="30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217</w:t>
            </w:r>
          </w:p>
        </w:tc>
        <w:tc>
          <w:tcPr>
            <w:tcW w:w="420" w:type="dxa"/>
            <w:vAlign w:val="bottom"/>
          </w:tcPr>
          <w:p>
            <w:pPr>
              <w:spacing w:after="0"/>
              <w:rPr>
                <w:sz w:val="21"/>
                <w:szCs w:val="21"/>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84</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168</w:t>
            </w:r>
          </w:p>
        </w:tc>
      </w:tr>
      <w:tr>
        <w:trPr>
          <w:trHeight w:val="253"/>
        </w:trPr>
        <w:tc>
          <w:tcPr>
            <w:tcW w:w="5920" w:type="dxa"/>
            <w:vAlign w:val="bottom"/>
            <w:gridSpan w:val="2"/>
          </w:tcPr>
          <w:p>
            <w:pPr>
              <w:spacing w:after="0"/>
              <w:rPr>
                <w:sz w:val="20"/>
                <w:szCs w:val="20"/>
                <w:color w:val="auto"/>
              </w:rPr>
            </w:pPr>
            <w:r>
              <w:rPr>
                <w:rFonts w:ascii="Arial" w:cs="Arial" w:eastAsia="Arial" w:hAnsi="Arial"/>
                <w:sz w:val="16"/>
                <w:szCs w:val="16"/>
                <w:color w:val="auto"/>
                <w:w w:val="99"/>
              </w:rPr>
              <w:t>Legal expenses for litigation relating to indemnification of former officers, theft of our</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06"/>
        </w:trPr>
        <w:tc>
          <w:tcPr>
            <w:tcW w:w="5920" w:type="dxa"/>
            <w:vAlign w:val="bottom"/>
            <w:gridSpan w:val="2"/>
          </w:tcPr>
          <w:p>
            <w:pPr>
              <w:ind w:left="160"/>
              <w:spacing w:after="0"/>
              <w:rPr>
                <w:sz w:val="20"/>
                <w:szCs w:val="20"/>
                <w:color w:val="auto"/>
              </w:rPr>
            </w:pPr>
            <w:r>
              <w:rPr>
                <w:rFonts w:ascii="Arial" w:cs="Arial" w:eastAsia="Arial" w:hAnsi="Arial"/>
                <w:sz w:val="16"/>
                <w:szCs w:val="16"/>
                <w:color w:val="auto"/>
              </w:rPr>
              <w:t>intellectual property claims and our claim for damages</w:t>
            </w:r>
          </w:p>
        </w:tc>
        <w:tc>
          <w:tcPr>
            <w:tcW w:w="30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60</w:t>
            </w:r>
          </w:p>
        </w:tc>
      </w:tr>
      <w:tr>
        <w:trPr>
          <w:trHeight w:val="270"/>
        </w:trPr>
        <w:tc>
          <w:tcPr>
            <w:tcW w:w="5920" w:type="dxa"/>
            <w:vAlign w:val="bottom"/>
            <w:gridSpan w:val="2"/>
          </w:tcPr>
          <w:p>
            <w:pPr>
              <w:spacing w:after="0"/>
              <w:rPr>
                <w:sz w:val="20"/>
                <w:szCs w:val="20"/>
                <w:color w:val="auto"/>
              </w:rPr>
            </w:pPr>
            <w:r>
              <w:rPr>
                <w:rFonts w:ascii="Arial" w:cs="Arial" w:eastAsia="Arial" w:hAnsi="Arial"/>
                <w:sz w:val="16"/>
                <w:szCs w:val="16"/>
                <w:color w:val="auto"/>
              </w:rPr>
              <w:t>Acquisition related expenses</w:t>
            </w:r>
          </w:p>
        </w:tc>
        <w:tc>
          <w:tcPr>
            <w:tcW w:w="30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64</w:t>
            </w:r>
          </w:p>
        </w:tc>
        <w:tc>
          <w:tcPr>
            <w:tcW w:w="4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443</w:t>
            </w:r>
          </w:p>
        </w:tc>
      </w:tr>
      <w:tr>
        <w:trPr>
          <w:trHeight w:val="33"/>
        </w:trPr>
        <w:tc>
          <w:tcPr>
            <w:tcW w:w="8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5920" w:type="dxa"/>
            <w:vAlign w:val="bottom"/>
            <w:gridSpan w:val="2"/>
          </w:tcPr>
          <w:p>
            <w:pPr>
              <w:spacing w:after="0"/>
              <w:rPr>
                <w:sz w:val="20"/>
                <w:szCs w:val="20"/>
                <w:color w:val="auto"/>
              </w:rPr>
            </w:pPr>
            <w:r>
              <w:rPr>
                <w:rFonts w:ascii="Arial" w:cs="Arial" w:eastAsia="Arial" w:hAnsi="Arial"/>
                <w:sz w:val="14"/>
                <w:szCs w:val="14"/>
                <w:b w:val="1"/>
                <w:bCs w:val="1"/>
                <w:color w:val="auto"/>
              </w:rPr>
              <w:t>Non-GAAP Adjusted EBITDA</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3,179</w:t>
            </w:r>
          </w:p>
        </w:tc>
        <w:tc>
          <w:tcPr>
            <w:tcW w:w="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1,874</w:t>
            </w:r>
          </w:p>
        </w:tc>
        <w:tc>
          <w:tcPr>
            <w:tcW w:w="200" w:type="dxa"/>
            <w:vAlign w:val="bottom"/>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6,017</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3,490</w:t>
            </w:r>
          </w:p>
        </w:tc>
      </w:tr>
      <w:tr>
        <w:trPr>
          <w:trHeight w:val="20"/>
        </w:trPr>
        <w:tc>
          <w:tcPr>
            <w:tcW w:w="8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42"/>
        </w:trPr>
        <w:tc>
          <w:tcPr>
            <w:tcW w:w="5920" w:type="dxa"/>
            <w:vAlign w:val="bottom"/>
            <w:gridSpan w:val="2"/>
          </w:tcPr>
          <w:p>
            <w:pPr>
              <w:spacing w:after="0"/>
              <w:rPr>
                <w:sz w:val="20"/>
                <w:szCs w:val="20"/>
                <w:color w:val="auto"/>
              </w:rPr>
            </w:pPr>
            <w:r>
              <w:rPr>
                <w:rFonts w:ascii="Arial" w:cs="Arial" w:eastAsia="Arial" w:hAnsi="Arial"/>
                <w:sz w:val="16"/>
                <w:szCs w:val="16"/>
                <w:color w:val="auto"/>
              </w:rPr>
              <w:t>Basic weighted average shares outstanding</w:t>
            </w:r>
          </w:p>
        </w:tc>
        <w:tc>
          <w:tcPr>
            <w:tcW w:w="300" w:type="dxa"/>
            <w:vAlign w:val="bottom"/>
          </w:tcPr>
          <w:p>
            <w:pPr>
              <w:spacing w:after="0"/>
              <w:rPr>
                <w:sz w:val="24"/>
                <w:szCs w:val="24"/>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9,119,907</w:t>
            </w:r>
          </w:p>
        </w:tc>
        <w:tc>
          <w:tcPr>
            <w:tcW w:w="420" w:type="dxa"/>
            <w:vAlign w:val="bottom"/>
          </w:tcPr>
          <w:p>
            <w:pPr>
              <w:spacing w:after="0"/>
              <w:rPr>
                <w:sz w:val="24"/>
                <w:szCs w:val="24"/>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9,266,071</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9,110,062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9,174,816</w:t>
            </w:r>
          </w:p>
        </w:tc>
      </w:tr>
      <w:tr>
        <w:trPr>
          <w:trHeight w:val="270"/>
        </w:trPr>
        <w:tc>
          <w:tcPr>
            <w:tcW w:w="5920" w:type="dxa"/>
            <w:vAlign w:val="bottom"/>
            <w:gridSpan w:val="2"/>
          </w:tcPr>
          <w:p>
            <w:pPr>
              <w:spacing w:after="0"/>
              <w:rPr>
                <w:sz w:val="20"/>
                <w:szCs w:val="20"/>
                <w:color w:val="auto"/>
              </w:rPr>
            </w:pPr>
            <w:r>
              <w:rPr>
                <w:rFonts w:ascii="Arial" w:cs="Arial" w:eastAsia="Arial" w:hAnsi="Arial"/>
                <w:sz w:val="16"/>
                <w:szCs w:val="16"/>
                <w:color w:val="auto"/>
              </w:rPr>
              <w:t>Diluted weighted average shares outstanding</w:t>
            </w:r>
          </w:p>
        </w:tc>
        <w:tc>
          <w:tcPr>
            <w:tcW w:w="30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9,603,682</w:t>
            </w:r>
          </w:p>
        </w:tc>
        <w:tc>
          <w:tcPr>
            <w:tcW w:w="4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9,677,726</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9,560,914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9,618,172</w:t>
            </w:r>
          </w:p>
        </w:tc>
      </w:tr>
      <w:tr>
        <w:trPr>
          <w:trHeight w:val="594"/>
        </w:trPr>
        <w:tc>
          <w:tcPr>
            <w:tcW w:w="5920" w:type="dxa"/>
            <w:vAlign w:val="bottom"/>
            <w:gridSpan w:val="2"/>
          </w:tcPr>
          <w:p>
            <w:pPr>
              <w:spacing w:after="0"/>
              <w:rPr>
                <w:sz w:val="20"/>
                <w:szCs w:val="20"/>
                <w:color w:val="auto"/>
              </w:rPr>
            </w:pPr>
            <w:r>
              <w:rPr>
                <w:rFonts w:ascii="Arial" w:cs="Arial" w:eastAsia="Arial" w:hAnsi="Arial"/>
                <w:sz w:val="16"/>
                <w:szCs w:val="16"/>
                <w:color w:val="auto"/>
              </w:rPr>
              <w:t>Basic Non-GAAP Adjusted EBITDA per common share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0.35</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0.20</w:t>
            </w:r>
          </w:p>
        </w:tc>
        <w:tc>
          <w:tcPr>
            <w:tcW w:w="200" w:type="dxa"/>
            <w:vAlign w:val="bottom"/>
          </w:tcPr>
          <w:p>
            <w:pPr>
              <w:spacing w:after="0"/>
              <w:rPr>
                <w:sz w:val="24"/>
                <w:szCs w:val="24"/>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0.66</w:t>
            </w:r>
          </w:p>
        </w:tc>
        <w:tc>
          <w:tcPr>
            <w:tcW w:w="12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0.38</w:t>
            </w:r>
          </w:p>
        </w:tc>
      </w:tr>
      <w:tr>
        <w:trPr>
          <w:trHeight w:val="270"/>
        </w:trPr>
        <w:tc>
          <w:tcPr>
            <w:tcW w:w="5920" w:type="dxa"/>
            <w:vAlign w:val="bottom"/>
            <w:gridSpan w:val="2"/>
          </w:tcPr>
          <w:p>
            <w:pPr>
              <w:spacing w:after="0"/>
              <w:rPr>
                <w:sz w:val="20"/>
                <w:szCs w:val="20"/>
                <w:color w:val="auto"/>
              </w:rPr>
            </w:pPr>
            <w:r>
              <w:rPr>
                <w:rFonts w:ascii="Arial" w:cs="Arial" w:eastAsia="Arial" w:hAnsi="Arial"/>
                <w:sz w:val="16"/>
                <w:szCs w:val="16"/>
                <w:color w:val="auto"/>
              </w:rPr>
              <w:t>Diluted Non-GAAP Adjusted EBITDA per common share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0.33</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0.19</w:t>
            </w:r>
          </w:p>
        </w:tc>
        <w:tc>
          <w:tcPr>
            <w:tcW w:w="20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0.63</w:t>
            </w:r>
          </w:p>
        </w:tc>
        <w:tc>
          <w:tcPr>
            <w:tcW w:w="12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0.36</w:t>
            </w:r>
          </w:p>
        </w:tc>
      </w:tr>
    </w:tbl>
    <w:p>
      <w:pPr>
        <w:spacing w:after="0" w:line="1" w:lineRule="exact"/>
        <w:rPr>
          <w:sz w:val="20"/>
          <w:szCs w:val="20"/>
          <w:color w:val="auto"/>
        </w:rPr>
      </w:pPr>
    </w:p>
    <w:sectPr>
      <w:pgSz w:w="11900" w:h="16838" w:orient="portrait"/>
      <w:cols w:equalWidth="0" w:num="1">
        <w:col w:w="11380"/>
      </w:cols>
      <w:pgMar w:left="280" w:top="5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2019-12-06T04:16:43Z</dcterms:created>
  <dcterms:modified xsi:type="dcterms:W3CDTF">2019-12-06T04:16:43Z</dcterms:modified>
</cp:coreProperties>
</file>