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257175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36" w:lineRule="exact"/>
        <w:rPr>
          <w:sz w:val="24"/>
          <w:szCs w:val="24"/>
          <w:color w:val="auto"/>
        </w:rPr>
      </w:pPr>
    </w:p>
    <w:p>
      <w:pPr>
        <w:ind w:left="560" w:hanging="558"/>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For the quarterly period ended </w:t>
      </w:r>
      <w:r>
        <w:rPr>
          <w:rFonts w:ascii="Arial" w:cs="Arial" w:eastAsia="Arial" w:hAnsi="Arial"/>
          <w:sz w:val="17"/>
          <w:szCs w:val="17"/>
          <w:u w:val="single" w:color="auto"/>
          <w:color w:val="auto"/>
        </w:rPr>
        <w:t>September 30, 2008</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u w:val="single" w:color="auto"/>
          <w:color w:val="auto"/>
        </w:rPr>
        <w:t>000-17219</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CLEARONE COMMUNICATIONS,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25" w:lineRule="exact"/>
        <w:rPr>
          <w:sz w:val="24"/>
          <w:szCs w:val="24"/>
          <w:color w:val="auto"/>
        </w:rPr>
      </w:pPr>
    </w:p>
    <w:tbl>
      <w:tblPr>
        <w:tblLayout w:type="fixed"/>
        <w:tblInd w:w="2300" w:type="dxa"/>
        <w:tblCellMar>
          <w:top w:w="0" w:type="dxa"/>
          <w:left w:w="0" w:type="dxa"/>
          <w:bottom w:w="0" w:type="dxa"/>
          <w:right w:w="0" w:type="dxa"/>
        </w:tblCellMar>
      </w:tblPr>
      <w:tr>
        <w:trPr>
          <w:trHeight w:val="227"/>
        </w:trPr>
        <w:tc>
          <w:tcPr>
            <w:tcW w:w="3860" w:type="dxa"/>
            <w:vAlign w:val="bottom"/>
          </w:tcPr>
          <w:p>
            <w:pPr>
              <w:jc w:val="center"/>
              <w:spacing w:after="0"/>
              <w:rPr>
                <w:sz w:val="20"/>
                <w:szCs w:val="20"/>
                <w:color w:val="auto"/>
              </w:rPr>
            </w:pPr>
            <w:r>
              <w:rPr>
                <w:rFonts w:ascii="Arial" w:cs="Arial" w:eastAsia="Arial" w:hAnsi="Arial"/>
                <w:sz w:val="17"/>
                <w:szCs w:val="17"/>
                <w:b w:val="1"/>
                <w:bCs w:val="1"/>
                <w:color w:val="auto"/>
                <w:w w:val="95"/>
              </w:rPr>
              <w:t>Utah</w:t>
            </w:r>
          </w:p>
        </w:tc>
        <w:tc>
          <w:tcPr>
            <w:tcW w:w="2980" w:type="dxa"/>
            <w:vAlign w:val="bottom"/>
            <w:gridSpan w:val="4"/>
          </w:tcPr>
          <w:p>
            <w:pPr>
              <w:jc w:val="center"/>
              <w:ind w:left="195"/>
              <w:spacing w:after="0"/>
              <w:rPr>
                <w:sz w:val="20"/>
                <w:szCs w:val="20"/>
                <w:color w:val="auto"/>
              </w:rPr>
            </w:pPr>
            <w:r>
              <w:rPr>
                <w:rFonts w:ascii="Arial" w:cs="Arial" w:eastAsia="Arial" w:hAnsi="Arial"/>
                <w:sz w:val="17"/>
                <w:szCs w:val="17"/>
                <w:b w:val="1"/>
                <w:bCs w:val="1"/>
                <w:color w:val="auto"/>
                <w:w w:val="90"/>
              </w:rPr>
              <w:t>87-0398877</w:t>
            </w:r>
          </w:p>
        </w:tc>
      </w:tr>
      <w:tr>
        <w:trPr>
          <w:trHeight w:val="192"/>
        </w:trPr>
        <w:tc>
          <w:tcPr>
            <w:tcW w:w="386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93"/>
              </w:rPr>
              <w:t>(State or other jurisdiction of</w:t>
            </w:r>
          </w:p>
        </w:tc>
        <w:tc>
          <w:tcPr>
            <w:tcW w:w="280" w:type="dxa"/>
            <w:vAlign w:val="bottom"/>
          </w:tcPr>
          <w:p>
            <w:pPr>
              <w:spacing w:after="0"/>
              <w:rPr>
                <w:sz w:val="16"/>
                <w:szCs w:val="16"/>
                <w:color w:val="auto"/>
              </w:rPr>
            </w:pPr>
          </w:p>
        </w:tc>
        <w:tc>
          <w:tcPr>
            <w:tcW w:w="2700" w:type="dxa"/>
            <w:vAlign w:val="bottom"/>
            <w:tcBorders>
              <w:top w:val="single" w:sz="8" w:color="auto"/>
            </w:tcBorders>
            <w:gridSpan w:val="3"/>
          </w:tcPr>
          <w:p>
            <w:pPr>
              <w:jc w:val="center"/>
              <w:spacing w:after="0" w:line="193" w:lineRule="exact"/>
              <w:rPr>
                <w:sz w:val="20"/>
                <w:szCs w:val="20"/>
                <w:color w:val="auto"/>
              </w:rPr>
            </w:pPr>
            <w:r>
              <w:rPr>
                <w:rFonts w:ascii="Arial" w:cs="Arial" w:eastAsia="Arial" w:hAnsi="Arial"/>
                <w:sz w:val="17"/>
                <w:szCs w:val="17"/>
                <w:color w:val="auto"/>
                <w:w w:val="92"/>
              </w:rPr>
              <w:t>(I.R.S. employer</w:t>
            </w:r>
          </w:p>
        </w:tc>
      </w:tr>
      <w:tr>
        <w:trPr>
          <w:trHeight w:val="216"/>
        </w:trPr>
        <w:tc>
          <w:tcPr>
            <w:tcW w:w="3860" w:type="dxa"/>
            <w:vAlign w:val="bottom"/>
          </w:tcPr>
          <w:p>
            <w:pPr>
              <w:jc w:val="center"/>
              <w:spacing w:after="0"/>
              <w:rPr>
                <w:sz w:val="20"/>
                <w:szCs w:val="20"/>
                <w:color w:val="auto"/>
              </w:rPr>
            </w:pPr>
            <w:r>
              <w:rPr>
                <w:rFonts w:ascii="Arial" w:cs="Arial" w:eastAsia="Arial" w:hAnsi="Arial"/>
                <w:sz w:val="17"/>
                <w:szCs w:val="17"/>
                <w:color w:val="auto"/>
                <w:w w:val="92"/>
              </w:rPr>
              <w:t>incorporation or organization)</w:t>
            </w:r>
          </w:p>
        </w:tc>
        <w:tc>
          <w:tcPr>
            <w:tcW w:w="280" w:type="dxa"/>
            <w:vAlign w:val="bottom"/>
          </w:tcPr>
          <w:p>
            <w:pPr>
              <w:spacing w:after="0"/>
              <w:rPr>
                <w:sz w:val="18"/>
                <w:szCs w:val="18"/>
                <w:color w:val="auto"/>
              </w:rPr>
            </w:pPr>
          </w:p>
        </w:tc>
        <w:tc>
          <w:tcPr>
            <w:tcW w:w="2700" w:type="dxa"/>
            <w:vAlign w:val="bottom"/>
            <w:gridSpan w:val="3"/>
          </w:tcPr>
          <w:p>
            <w:pPr>
              <w:jc w:val="center"/>
              <w:spacing w:after="0"/>
              <w:rPr>
                <w:sz w:val="20"/>
                <w:szCs w:val="20"/>
                <w:color w:val="auto"/>
              </w:rPr>
            </w:pPr>
            <w:r>
              <w:rPr>
                <w:rFonts w:ascii="Arial" w:cs="Arial" w:eastAsia="Arial" w:hAnsi="Arial"/>
                <w:sz w:val="17"/>
                <w:szCs w:val="17"/>
                <w:color w:val="auto"/>
                <w:w w:val="94"/>
              </w:rPr>
              <w:t>identification number)</w:t>
            </w:r>
          </w:p>
        </w:tc>
      </w:tr>
      <w:tr>
        <w:trPr>
          <w:trHeight w:val="420"/>
        </w:trPr>
        <w:tc>
          <w:tcPr>
            <w:tcW w:w="3860" w:type="dxa"/>
            <w:vAlign w:val="bottom"/>
          </w:tcPr>
          <w:p>
            <w:pPr>
              <w:jc w:val="center"/>
              <w:ind w:left="975"/>
              <w:spacing w:after="0"/>
              <w:rPr>
                <w:sz w:val="20"/>
                <w:szCs w:val="20"/>
                <w:color w:val="auto"/>
              </w:rPr>
            </w:pPr>
            <w:r>
              <w:rPr>
                <w:rFonts w:ascii="Arial" w:cs="Arial" w:eastAsia="Arial" w:hAnsi="Arial"/>
                <w:sz w:val="17"/>
                <w:szCs w:val="17"/>
                <w:b w:val="1"/>
                <w:bCs w:val="1"/>
                <w:color w:val="auto"/>
                <w:w w:val="90"/>
              </w:rPr>
              <w:t>5225 Wiley Post Way, Suite 500</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3"/>
        </w:trPr>
        <w:tc>
          <w:tcPr>
            <w:tcW w:w="3860" w:type="dxa"/>
            <w:vAlign w:val="bottom"/>
          </w:tcPr>
          <w:p>
            <w:pPr>
              <w:jc w:val="center"/>
              <w:ind w:left="995"/>
              <w:spacing w:after="0"/>
              <w:rPr>
                <w:sz w:val="20"/>
                <w:szCs w:val="20"/>
                <w:color w:val="auto"/>
              </w:rPr>
            </w:pPr>
            <w:r>
              <w:rPr>
                <w:rFonts w:ascii="Arial" w:cs="Arial" w:eastAsia="Arial" w:hAnsi="Arial"/>
                <w:sz w:val="17"/>
                <w:szCs w:val="17"/>
                <w:b w:val="1"/>
                <w:bCs w:val="1"/>
                <w:color w:val="auto"/>
                <w:w w:val="94"/>
              </w:rPr>
              <w:t>Salt Lake City, Utah</w:t>
            </w:r>
          </w:p>
        </w:tc>
        <w:tc>
          <w:tcPr>
            <w:tcW w:w="2980" w:type="dxa"/>
            <w:vAlign w:val="bottom"/>
            <w:gridSpan w:val="4"/>
          </w:tcPr>
          <w:p>
            <w:pPr>
              <w:jc w:val="right"/>
              <w:ind w:right="515"/>
              <w:spacing w:after="0"/>
              <w:rPr>
                <w:sz w:val="20"/>
                <w:szCs w:val="20"/>
                <w:color w:val="auto"/>
              </w:rPr>
            </w:pPr>
            <w:r>
              <w:rPr>
                <w:rFonts w:ascii="Arial" w:cs="Arial" w:eastAsia="Arial" w:hAnsi="Arial"/>
                <w:sz w:val="17"/>
                <w:szCs w:val="17"/>
                <w:b w:val="1"/>
                <w:bCs w:val="1"/>
                <w:color w:val="auto"/>
              </w:rPr>
              <w:t>84116</w:t>
            </w:r>
          </w:p>
        </w:tc>
      </w:tr>
      <w:tr>
        <w:trPr>
          <w:trHeight w:val="216"/>
        </w:trPr>
        <w:tc>
          <w:tcPr>
            <w:tcW w:w="3860" w:type="dxa"/>
            <w:vAlign w:val="bottom"/>
            <w:tcBorders>
              <w:top w:val="single" w:sz="8" w:color="auto"/>
            </w:tcBorders>
          </w:tcPr>
          <w:p>
            <w:pPr>
              <w:jc w:val="center"/>
              <w:ind w:left="995"/>
              <w:spacing w:after="0"/>
              <w:rPr>
                <w:sz w:val="20"/>
                <w:szCs w:val="20"/>
                <w:color w:val="auto"/>
              </w:rPr>
            </w:pPr>
            <w:r>
              <w:rPr>
                <w:rFonts w:ascii="Arial" w:cs="Arial" w:eastAsia="Arial" w:hAnsi="Arial"/>
                <w:sz w:val="17"/>
                <w:szCs w:val="17"/>
                <w:color w:val="auto"/>
                <w:w w:val="92"/>
              </w:rPr>
              <w:t>(Address of principal executive offices)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(Zip Code)</w:t>
            </w:r>
          </w:p>
        </w:tc>
      </w:tr>
    </w:tbl>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u w:val="single" w:color="auto"/>
          <w:color w:val="auto"/>
        </w:rPr>
        <w:t>(801) 975-7200</w:t>
      </w:r>
    </w:p>
    <w:p>
      <w:pPr>
        <w:spacing w:after="0" w:line="244" w:lineRule="exact"/>
        <w:rPr>
          <w:sz w:val="24"/>
          <w:szCs w:val="24"/>
          <w:color w:val="auto"/>
        </w:rPr>
      </w:pPr>
    </w:p>
    <w:p>
      <w:pPr>
        <w:ind w:right="200"/>
        <w:spacing w:after="0" w:line="254" w:lineRule="auto"/>
        <w:rPr>
          <w:sz w:val="20"/>
          <w:szCs w:val="20"/>
          <w:color w:val="auto"/>
        </w:rPr>
      </w:pPr>
      <w:r>
        <w:rPr>
          <w:rFonts w:ascii="Arial" w:cs="Arial" w:eastAsia="Arial" w:hAnsi="Arial"/>
          <w:sz w:val="17"/>
          <w:szCs w:val="17"/>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right"/>
        <w:spacing w:after="0" w:line="196" w:lineRule="exact"/>
        <w:tabs>
          <w:tab w:leader="none" w:pos="380" w:val="left"/>
        </w:tabs>
        <w:rPr>
          <w:sz w:val="20"/>
          <w:szCs w:val="20"/>
          <w:color w:val="auto"/>
        </w:rPr>
      </w:pPr>
      <w:r>
        <w:rPr>
          <w:rFonts w:ascii="Arial" w:cs="Arial" w:eastAsia="Arial" w:hAnsi="Arial"/>
          <w:sz w:val="17"/>
          <w:szCs w:val="17"/>
          <w:color w:val="auto"/>
        </w:rPr>
        <w:t>Yes x</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ind w:right="440"/>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ectPr>
          <w:pgSz w:w="11900" w:h="16838" w:orient="portrait"/>
          <w:cols w:equalWidth="0" w:num="1">
            <w:col w:w="11420"/>
          </w:cols>
          <w:pgMar w:left="240" w:top="763" w:right="239" w:bottom="1440" w:gutter="0" w:footer="0" w:header="0"/>
        </w:sectPr>
      </w:pPr>
    </w:p>
    <w:p>
      <w:pPr>
        <w:spacing w:after="0" w:line="15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4240" w:space="720"/>
            <w:col w:w="6460"/>
          </w:cols>
          <w:pgMar w:left="240" w:top="763" w:right="239" w:bottom="1440" w:gutter="0" w:footer="0" w:header="0"/>
          <w:type w:val="continuous"/>
        </w:sectPr>
      </w:pPr>
    </w:p>
    <w:p>
      <w:pPr>
        <w:spacing w:after="0" w:line="95"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x</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48" w:lineRule="exact"/>
        <w:rPr>
          <w:sz w:val="24"/>
          <w:szCs w:val="24"/>
          <w:color w:val="auto"/>
        </w:rPr>
      </w:pPr>
    </w:p>
    <w:p>
      <w:pPr>
        <w:sectPr>
          <w:pgSz w:w="11900" w:h="16838" w:orient="portrait"/>
          <w:cols w:equalWidth="0" w:num="2">
            <w:col w:w="3580" w:space="720"/>
            <w:col w:w="7120"/>
          </w:cols>
          <w:pgMar w:left="240" w:top="763" w:right="239" w:bottom="1440" w:gutter="0" w:footer="0" w:header="0"/>
          <w:type w:val="continuous"/>
        </w:sectPr>
      </w:pPr>
    </w:p>
    <w:p>
      <w:pPr>
        <w:spacing w:after="0" w:line="1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No x</w:t>
      </w: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jc w:val="center"/>
              <w:ind w:left="235"/>
              <w:spacing w:after="0"/>
              <w:rPr>
                <w:sz w:val="20"/>
                <w:szCs w:val="20"/>
                <w:color w:val="auto"/>
              </w:rPr>
            </w:pPr>
            <w:r>
              <w:rPr>
                <w:rFonts w:ascii="Arial" w:cs="Arial" w:eastAsia="Arial" w:hAnsi="Arial"/>
                <w:sz w:val="17"/>
                <w:szCs w:val="17"/>
                <w:b w:val="1"/>
                <w:bCs w:val="1"/>
                <w:color w:val="auto"/>
                <w:w w:val="89"/>
              </w:rPr>
              <w:t>Common Stock</w:t>
            </w:r>
          </w:p>
        </w:tc>
        <w:tc>
          <w:tcPr>
            <w:tcW w:w="6020" w:type="dxa"/>
            <w:vAlign w:val="bottom"/>
          </w:tcPr>
          <w:p>
            <w:pPr>
              <w:jc w:val="center"/>
              <w:ind w:left="235"/>
              <w:spacing w:after="0"/>
              <w:rPr>
                <w:sz w:val="20"/>
                <w:szCs w:val="20"/>
                <w:color w:val="auto"/>
              </w:rPr>
            </w:pPr>
            <w:r>
              <w:rPr>
                <w:rFonts w:ascii="Arial" w:cs="Arial" w:eastAsia="Arial" w:hAnsi="Arial"/>
                <w:sz w:val="17"/>
                <w:szCs w:val="17"/>
                <w:b w:val="1"/>
                <w:bCs w:val="1"/>
                <w:color w:val="auto"/>
                <w:w w:val="92"/>
              </w:rPr>
              <w:t>8,888,580</w:t>
            </w:r>
          </w:p>
        </w:tc>
      </w:tr>
      <w:tr>
        <w:trPr>
          <w:trHeight w:val="205"/>
        </w:trPr>
        <w:tc>
          <w:tcPr>
            <w:tcW w:w="5400" w:type="dxa"/>
            <w:vAlign w:val="bottom"/>
          </w:tcPr>
          <w:p>
            <w:pPr>
              <w:jc w:val="center"/>
              <w:ind w:left="235"/>
              <w:spacing w:after="0"/>
              <w:rPr>
                <w:sz w:val="20"/>
                <w:szCs w:val="20"/>
                <w:color w:val="auto"/>
              </w:rPr>
            </w:pPr>
            <w:r>
              <w:rPr>
                <w:rFonts w:ascii="Arial" w:cs="Arial" w:eastAsia="Arial" w:hAnsi="Arial"/>
                <w:sz w:val="17"/>
                <w:szCs w:val="17"/>
                <w:color w:val="auto"/>
                <w:w w:val="93"/>
              </w:rPr>
              <w:t>Title of Class</w:t>
            </w:r>
          </w:p>
        </w:tc>
        <w:tc>
          <w:tcPr>
            <w:tcW w:w="6020" w:type="dxa"/>
            <w:vAlign w:val="bottom"/>
          </w:tcPr>
          <w:p>
            <w:pPr>
              <w:jc w:val="center"/>
              <w:ind w:left="235"/>
              <w:spacing w:after="0"/>
              <w:rPr>
                <w:sz w:val="20"/>
                <w:szCs w:val="20"/>
                <w:color w:val="auto"/>
              </w:rPr>
            </w:pPr>
            <w:r>
              <w:rPr>
                <w:rFonts w:ascii="Arial" w:cs="Arial" w:eastAsia="Arial" w:hAnsi="Arial"/>
                <w:sz w:val="17"/>
                <w:szCs w:val="17"/>
                <w:color w:val="auto"/>
                <w:w w:val="91"/>
              </w:rPr>
              <w:t>Number of Shares</w:t>
            </w:r>
          </w:p>
        </w:tc>
      </w:tr>
      <w:tr>
        <w:trPr>
          <w:trHeight w:val="216"/>
        </w:trPr>
        <w:tc>
          <w:tcPr>
            <w:tcW w:w="5400" w:type="dxa"/>
            <w:vAlign w:val="bottom"/>
          </w:tcPr>
          <w:p>
            <w:pPr>
              <w:spacing w:after="0"/>
              <w:rPr>
                <w:sz w:val="18"/>
                <w:szCs w:val="18"/>
                <w:color w:val="auto"/>
              </w:rPr>
            </w:pPr>
          </w:p>
        </w:tc>
        <w:tc>
          <w:tcPr>
            <w:tcW w:w="6020" w:type="dxa"/>
            <w:vAlign w:val="bottom"/>
          </w:tcPr>
          <w:p>
            <w:pPr>
              <w:jc w:val="center"/>
              <w:ind w:left="235"/>
              <w:spacing w:after="0"/>
              <w:rPr>
                <w:sz w:val="20"/>
                <w:szCs w:val="20"/>
                <w:color w:val="auto"/>
              </w:rPr>
            </w:pPr>
            <w:r>
              <w:rPr>
                <w:rFonts w:ascii="Arial" w:cs="Arial" w:eastAsia="Arial" w:hAnsi="Arial"/>
                <w:sz w:val="17"/>
                <w:szCs w:val="17"/>
                <w:color w:val="auto"/>
                <w:w w:val="89"/>
              </w:rPr>
              <w:t>Outstanding at November 11, 2008</w:t>
            </w:r>
          </w:p>
        </w:tc>
      </w:tr>
      <w:tr>
        <w:trPr>
          <w:trHeight w:val="343"/>
        </w:trPr>
        <w:tc>
          <w:tcPr>
            <w:tcW w:w="54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68"/>
        </w:trPr>
        <w:tc>
          <w:tcPr>
            <w:tcW w:w="5400" w:type="dxa"/>
            <w:vAlign w:val="bottom"/>
            <w:shd w:val="clear" w:color="auto" w:fill="808080"/>
          </w:tcPr>
          <w:p>
            <w:pPr>
              <w:spacing w:after="0"/>
              <w:rPr>
                <w:sz w:val="5"/>
                <w:szCs w:val="5"/>
                <w:color w:val="auto"/>
              </w:rPr>
            </w:pPr>
          </w:p>
        </w:tc>
        <w:tc>
          <w:tcPr>
            <w:tcW w:w="6020" w:type="dxa"/>
            <w:vAlign w:val="bottom"/>
            <w:shd w:val="clear" w:color="auto" w:fill="808080"/>
          </w:tcPr>
          <w:p>
            <w:pPr>
              <w:spacing w:after="0"/>
              <w:rPr>
                <w:sz w:val="5"/>
                <w:szCs w:val="5"/>
                <w:color w:val="auto"/>
              </w:rPr>
            </w:pPr>
          </w:p>
        </w:tc>
      </w:tr>
      <w:tr>
        <w:trPr>
          <w:trHeight w:val="944"/>
        </w:trPr>
        <w:tc>
          <w:tcPr>
            <w:tcW w:w="5400" w:type="dxa"/>
            <w:vAlign w:val="bottom"/>
            <w:tcBorders>
              <w:bottom w:val="single" w:sz="8" w:color="808080"/>
            </w:tcBorders>
          </w:tcPr>
          <w:p>
            <w:pPr>
              <w:spacing w:after="0"/>
              <w:rPr>
                <w:sz w:val="24"/>
                <w:szCs w:val="24"/>
                <w:color w:val="auto"/>
              </w:rPr>
            </w:pPr>
          </w:p>
        </w:tc>
        <w:tc>
          <w:tcPr>
            <w:tcW w:w="60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6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7380" w:type="dxa"/>
            <w:vAlign w:val="bottom"/>
          </w:tcPr>
          <w:p>
            <w:pPr>
              <w:jc w:val="center"/>
              <w:spacing w:after="0"/>
              <w:rPr>
                <w:sz w:val="20"/>
                <w:szCs w:val="20"/>
                <w:color w:val="auto"/>
              </w:rPr>
            </w:pPr>
            <w:r>
              <w:rPr>
                <w:rFonts w:ascii="Arial" w:cs="Arial" w:eastAsia="Arial" w:hAnsi="Arial"/>
                <w:sz w:val="17"/>
                <w:szCs w:val="17"/>
                <w:b w:val="1"/>
                <w:bCs w:val="1"/>
                <w:color w:val="auto"/>
              </w:rPr>
              <w:t>CLEARONE COMMUNICATIONS, INC.</w:t>
            </w:r>
          </w:p>
        </w:tc>
        <w:tc>
          <w:tcPr>
            <w:tcW w:w="900" w:type="dxa"/>
            <w:vAlign w:val="bottom"/>
          </w:tcPr>
          <w:p>
            <w:pPr>
              <w:spacing w:after="0"/>
              <w:rPr>
                <w:sz w:val="19"/>
                <w:szCs w:val="19"/>
                <w:color w:val="auto"/>
              </w:rPr>
            </w:pPr>
          </w:p>
        </w:tc>
      </w:tr>
      <w:tr>
        <w:trPr>
          <w:trHeight w:val="435"/>
        </w:trPr>
        <w:tc>
          <w:tcPr>
            <w:tcW w:w="860" w:type="dxa"/>
            <w:vAlign w:val="bottom"/>
          </w:tcPr>
          <w:p>
            <w:pPr>
              <w:spacing w:after="0"/>
              <w:rPr>
                <w:sz w:val="24"/>
                <w:szCs w:val="24"/>
                <w:color w:val="auto"/>
              </w:rPr>
            </w:pPr>
          </w:p>
        </w:tc>
        <w:tc>
          <w:tcPr>
            <w:tcW w:w="7380" w:type="dxa"/>
            <w:vAlign w:val="bottom"/>
          </w:tcPr>
          <w:p>
            <w:pPr>
              <w:jc w:val="center"/>
              <w:spacing w:after="0"/>
              <w:rPr>
                <w:sz w:val="20"/>
                <w:szCs w:val="20"/>
                <w:color w:val="auto"/>
              </w:rPr>
            </w:pPr>
            <w:r>
              <w:rPr>
                <w:rFonts w:ascii="Arial" w:cs="Arial" w:eastAsia="Arial" w:hAnsi="Arial"/>
                <w:sz w:val="17"/>
                <w:szCs w:val="17"/>
                <w:b w:val="1"/>
                <w:bCs w:val="1"/>
                <w:color w:val="auto"/>
                <w:w w:val="99"/>
              </w:rPr>
              <w:t>TABLE OF CONTENTS TO FORM 10-Q</w:t>
            </w:r>
          </w:p>
        </w:tc>
        <w:tc>
          <w:tcPr>
            <w:tcW w:w="900" w:type="dxa"/>
            <w:vAlign w:val="bottom"/>
          </w:tcPr>
          <w:p>
            <w:pPr>
              <w:spacing w:after="0"/>
              <w:rPr>
                <w:sz w:val="24"/>
                <w:szCs w:val="24"/>
                <w:color w:val="auto"/>
              </w:rPr>
            </w:pPr>
          </w:p>
        </w:tc>
      </w:tr>
      <w:tr>
        <w:trPr>
          <w:trHeight w:val="435"/>
        </w:trPr>
        <w:tc>
          <w:tcPr>
            <w:tcW w:w="860" w:type="dxa"/>
            <w:vAlign w:val="bottom"/>
          </w:tcPr>
          <w:p>
            <w:pPr>
              <w:spacing w:after="0"/>
              <w:rPr>
                <w:sz w:val="24"/>
                <w:szCs w:val="24"/>
                <w:color w:val="auto"/>
              </w:rPr>
            </w:pPr>
          </w:p>
        </w:tc>
        <w:tc>
          <w:tcPr>
            <w:tcW w:w="7380" w:type="dxa"/>
            <w:vAlign w:val="bottom"/>
          </w:tcPr>
          <w:p>
            <w:pPr>
              <w:jc w:val="center"/>
              <w:spacing w:after="0"/>
              <w:rPr>
                <w:sz w:val="20"/>
                <w:szCs w:val="20"/>
                <w:color w:val="auto"/>
              </w:rPr>
            </w:pPr>
            <w:r>
              <w:rPr>
                <w:rFonts w:ascii="Arial" w:cs="Arial" w:eastAsia="Arial" w:hAnsi="Arial"/>
                <w:sz w:val="17"/>
                <w:szCs w:val="17"/>
                <w:b w:val="1"/>
                <w:bCs w:val="1"/>
                <w:color w:val="auto"/>
                <w:w w:val="98"/>
              </w:rPr>
              <w:t>FOR THE QUARTER ENDED SEPTEMBER 30, 2008</w:t>
            </w:r>
          </w:p>
        </w:tc>
        <w:tc>
          <w:tcPr>
            <w:tcW w:w="900" w:type="dxa"/>
            <w:vAlign w:val="bottom"/>
          </w:tcPr>
          <w:p>
            <w:pPr>
              <w:spacing w:after="0"/>
              <w:rPr>
                <w:sz w:val="24"/>
                <w:szCs w:val="24"/>
                <w:color w:val="auto"/>
              </w:rPr>
            </w:pPr>
          </w:p>
        </w:tc>
      </w:tr>
      <w:tr>
        <w:trPr>
          <w:trHeight w:val="420"/>
        </w:trPr>
        <w:tc>
          <w:tcPr>
            <w:tcW w:w="8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227"/>
        </w:trPr>
        <w:tc>
          <w:tcPr>
            <w:tcW w:w="86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Number</w:t>
            </w:r>
          </w:p>
        </w:tc>
      </w:tr>
      <w:tr>
        <w:trPr>
          <w:trHeight w:val="434"/>
        </w:trPr>
        <w:tc>
          <w:tcPr>
            <w:tcW w:w="860" w:type="dxa"/>
            <w:vAlign w:val="bottom"/>
          </w:tcPr>
          <w:p>
            <w:pPr>
              <w:spacing w:after="0"/>
              <w:rPr>
                <w:sz w:val="24"/>
                <w:szCs w:val="24"/>
                <w:color w:val="auto"/>
              </w:rPr>
            </w:pPr>
          </w:p>
        </w:tc>
        <w:tc>
          <w:tcPr>
            <w:tcW w:w="7380" w:type="dxa"/>
            <w:vAlign w:val="bottom"/>
          </w:tcPr>
          <w:p>
            <w:pPr>
              <w:jc w:val="center"/>
              <w:spacing w:after="0"/>
              <w:rPr>
                <w:sz w:val="20"/>
                <w:szCs w:val="20"/>
                <w:color w:val="auto"/>
              </w:rPr>
            </w:pPr>
            <w:r>
              <w:rPr>
                <w:rFonts w:ascii="Arial" w:cs="Arial" w:eastAsia="Arial" w:hAnsi="Arial"/>
                <w:sz w:val="17"/>
                <w:szCs w:val="17"/>
                <w:b w:val="1"/>
                <w:bCs w:val="1"/>
                <w:color w:val="auto"/>
              </w:rPr>
              <w:t>PART I – FINANCIAL INFORMATION</w:t>
            </w:r>
          </w:p>
        </w:tc>
        <w:tc>
          <w:tcPr>
            <w:tcW w:w="900" w:type="dxa"/>
            <w:vAlign w:val="bottom"/>
          </w:tcPr>
          <w:p>
            <w:pPr>
              <w:spacing w:after="0"/>
              <w:rPr>
                <w:sz w:val="24"/>
                <w:szCs w:val="24"/>
                <w:color w:val="auto"/>
              </w:rPr>
            </w:pP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1</w:t>
            </w:r>
          </w:p>
        </w:tc>
        <w:tc>
          <w:tcPr>
            <w:tcW w:w="7380" w:type="dxa"/>
            <w:vAlign w:val="bottom"/>
          </w:tcPr>
          <w:p>
            <w:pPr>
              <w:ind w:left="140"/>
              <w:spacing w:after="0"/>
              <w:rPr>
                <w:sz w:val="20"/>
                <w:szCs w:val="20"/>
                <w:color w:val="auto"/>
              </w:rPr>
            </w:pPr>
            <w:r>
              <w:rPr>
                <w:rFonts w:ascii="Arial" w:cs="Arial" w:eastAsia="Arial" w:hAnsi="Arial"/>
                <w:sz w:val="17"/>
                <w:szCs w:val="17"/>
                <w:color w:val="auto"/>
              </w:rPr>
              <w:t>Consolidated Financial Statements</w:t>
            </w:r>
          </w:p>
        </w:tc>
        <w:tc>
          <w:tcPr>
            <w:tcW w:w="900" w:type="dxa"/>
            <w:vAlign w:val="bottom"/>
          </w:tcPr>
          <w:p>
            <w:pPr>
              <w:spacing w:after="0"/>
              <w:rPr>
                <w:sz w:val="24"/>
                <w:szCs w:val="24"/>
                <w:color w:val="auto"/>
              </w:rPr>
            </w:pPr>
          </w:p>
        </w:tc>
      </w:tr>
      <w:tr>
        <w:trPr>
          <w:trHeight w:val="435"/>
        </w:trPr>
        <w:tc>
          <w:tcPr>
            <w:tcW w:w="86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Arial" w:cs="Arial" w:eastAsia="Arial" w:hAnsi="Arial"/>
                <w:sz w:val="17"/>
                <w:szCs w:val="17"/>
                <w:color w:val="auto"/>
              </w:rPr>
              <w:t>Consolidated Balance Sheets as of September 30, 2008 and June 30, 2008</w:t>
            </w:r>
          </w:p>
        </w:tc>
        <w:tc>
          <w:tcPr>
            <w:tcW w:w="900" w:type="dxa"/>
            <w:vAlign w:val="bottom"/>
          </w:tcPr>
          <w:p>
            <w:pPr>
              <w:jc w:val="center"/>
              <w:spacing w:after="0"/>
              <w:rPr>
                <w:sz w:val="20"/>
                <w:szCs w:val="20"/>
                <w:color w:val="auto"/>
              </w:rPr>
            </w:pPr>
            <w:r>
              <w:rPr>
                <w:rFonts w:ascii="Arial" w:cs="Arial" w:eastAsia="Arial" w:hAnsi="Arial"/>
                <w:sz w:val="17"/>
                <w:szCs w:val="17"/>
                <w:color w:val="auto"/>
              </w:rPr>
              <w:t>1</w:t>
            </w:r>
          </w:p>
        </w:tc>
      </w:tr>
      <w:tr>
        <w:trPr>
          <w:trHeight w:val="435"/>
        </w:trPr>
        <w:tc>
          <w:tcPr>
            <w:tcW w:w="86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Arial" w:cs="Arial" w:eastAsia="Arial" w:hAnsi="Arial"/>
                <w:sz w:val="17"/>
                <w:szCs w:val="17"/>
                <w:color w:val="auto"/>
                <w:w w:val="97"/>
              </w:rPr>
              <w:t>Consolidated Statements of Operations for the three months ended September 30, 2008 and 2007</w:t>
            </w:r>
          </w:p>
        </w:tc>
        <w:tc>
          <w:tcPr>
            <w:tcW w:w="900" w:type="dxa"/>
            <w:vAlign w:val="bottom"/>
          </w:tcPr>
          <w:p>
            <w:pPr>
              <w:jc w:val="center"/>
              <w:spacing w:after="0"/>
              <w:rPr>
                <w:sz w:val="20"/>
                <w:szCs w:val="20"/>
                <w:color w:val="auto"/>
              </w:rPr>
            </w:pPr>
            <w:r>
              <w:rPr>
                <w:rFonts w:ascii="Arial" w:cs="Arial" w:eastAsia="Arial" w:hAnsi="Arial"/>
                <w:sz w:val="17"/>
                <w:szCs w:val="17"/>
                <w:color w:val="auto"/>
              </w:rPr>
              <w:t>2</w:t>
            </w:r>
          </w:p>
        </w:tc>
      </w:tr>
      <w:tr>
        <w:trPr>
          <w:trHeight w:val="435"/>
        </w:trPr>
        <w:tc>
          <w:tcPr>
            <w:tcW w:w="86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Arial" w:cs="Arial" w:eastAsia="Arial" w:hAnsi="Arial"/>
                <w:sz w:val="17"/>
                <w:szCs w:val="17"/>
                <w:color w:val="auto"/>
                <w:w w:val="96"/>
              </w:rPr>
              <w:t>Consolidated Statements of Cash Flows for the three months ended September 30, 2008 and 2007</w:t>
            </w:r>
          </w:p>
        </w:tc>
        <w:tc>
          <w:tcPr>
            <w:tcW w:w="900" w:type="dxa"/>
            <w:vAlign w:val="bottom"/>
          </w:tcPr>
          <w:p>
            <w:pPr>
              <w:jc w:val="center"/>
              <w:spacing w:after="0"/>
              <w:rPr>
                <w:sz w:val="20"/>
                <w:szCs w:val="20"/>
                <w:color w:val="auto"/>
              </w:rPr>
            </w:pPr>
            <w:r>
              <w:rPr>
                <w:rFonts w:ascii="Arial" w:cs="Arial" w:eastAsia="Arial" w:hAnsi="Arial"/>
                <w:sz w:val="17"/>
                <w:szCs w:val="17"/>
                <w:color w:val="auto"/>
              </w:rPr>
              <w:t>4</w:t>
            </w:r>
          </w:p>
        </w:tc>
      </w:tr>
      <w:tr>
        <w:trPr>
          <w:trHeight w:val="435"/>
        </w:trPr>
        <w:tc>
          <w:tcPr>
            <w:tcW w:w="860" w:type="dxa"/>
            <w:vAlign w:val="bottom"/>
          </w:tcPr>
          <w:p>
            <w:pPr>
              <w:spacing w:after="0"/>
              <w:rPr>
                <w:sz w:val="24"/>
                <w:szCs w:val="24"/>
                <w:color w:val="auto"/>
              </w:rPr>
            </w:pPr>
          </w:p>
        </w:tc>
        <w:tc>
          <w:tcPr>
            <w:tcW w:w="7380" w:type="dxa"/>
            <w:vAlign w:val="bottom"/>
          </w:tcPr>
          <w:p>
            <w:pPr>
              <w:ind w:left="140"/>
              <w:spacing w:after="0"/>
              <w:rPr>
                <w:sz w:val="20"/>
                <w:szCs w:val="20"/>
                <w:color w:val="auto"/>
              </w:rPr>
            </w:pPr>
            <w:r>
              <w:rPr>
                <w:rFonts w:ascii="Arial" w:cs="Arial" w:eastAsia="Arial" w:hAnsi="Arial"/>
                <w:sz w:val="17"/>
                <w:szCs w:val="17"/>
                <w:color w:val="auto"/>
              </w:rPr>
              <w:t>Notes to Condensed Consolidated Financial Statements</w:t>
            </w:r>
          </w:p>
        </w:tc>
        <w:tc>
          <w:tcPr>
            <w:tcW w:w="900" w:type="dxa"/>
            <w:vAlign w:val="bottom"/>
          </w:tcPr>
          <w:p>
            <w:pPr>
              <w:jc w:val="center"/>
              <w:spacing w:after="0"/>
              <w:rPr>
                <w:sz w:val="20"/>
                <w:szCs w:val="20"/>
                <w:color w:val="auto"/>
              </w:rPr>
            </w:pPr>
            <w:r>
              <w:rPr>
                <w:rFonts w:ascii="Arial" w:cs="Arial" w:eastAsia="Arial" w:hAnsi="Arial"/>
                <w:sz w:val="17"/>
                <w:szCs w:val="17"/>
                <w:color w:val="auto"/>
              </w:rPr>
              <w:t>6</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2</w:t>
            </w:r>
          </w:p>
        </w:tc>
        <w:tc>
          <w:tcPr>
            <w:tcW w:w="7380" w:type="dxa"/>
            <w:vAlign w:val="bottom"/>
          </w:tcPr>
          <w:p>
            <w:pPr>
              <w:ind w:left="14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12</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3</w:t>
            </w:r>
          </w:p>
        </w:tc>
        <w:tc>
          <w:tcPr>
            <w:tcW w:w="7380" w:type="dxa"/>
            <w:vAlign w:val="bottom"/>
          </w:tcPr>
          <w:p>
            <w:pPr>
              <w:ind w:left="140"/>
              <w:spacing w:after="0"/>
              <w:rPr>
                <w:sz w:val="20"/>
                <w:szCs w:val="20"/>
                <w:color w:val="auto"/>
              </w:rPr>
            </w:pPr>
            <w:r>
              <w:rPr>
                <w:rFonts w:ascii="Arial" w:cs="Arial" w:eastAsia="Arial" w:hAnsi="Arial"/>
                <w:sz w:val="17"/>
                <w:szCs w:val="17"/>
                <w:color w:val="auto"/>
              </w:rPr>
              <w:t>Quantitative and Qualitative Disclosures About Market Risk</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17</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4</w:t>
            </w:r>
          </w:p>
        </w:tc>
        <w:tc>
          <w:tcPr>
            <w:tcW w:w="7380" w:type="dxa"/>
            <w:vAlign w:val="bottom"/>
          </w:tcPr>
          <w:p>
            <w:pPr>
              <w:ind w:left="140"/>
              <w:spacing w:after="0"/>
              <w:rPr>
                <w:sz w:val="20"/>
                <w:szCs w:val="20"/>
                <w:color w:val="auto"/>
              </w:rPr>
            </w:pPr>
            <w:r>
              <w:rPr>
                <w:rFonts w:ascii="Arial" w:cs="Arial" w:eastAsia="Arial" w:hAnsi="Arial"/>
                <w:sz w:val="17"/>
                <w:szCs w:val="17"/>
                <w:color w:val="auto"/>
              </w:rPr>
              <w:t>Controls and Procedures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17</w:t>
            </w:r>
          </w:p>
        </w:tc>
      </w:tr>
      <w:tr>
        <w:trPr>
          <w:trHeight w:val="435"/>
        </w:trPr>
        <w:tc>
          <w:tcPr>
            <w:tcW w:w="860" w:type="dxa"/>
            <w:vAlign w:val="bottom"/>
          </w:tcPr>
          <w:p>
            <w:pPr>
              <w:spacing w:after="0"/>
              <w:rPr>
                <w:sz w:val="24"/>
                <w:szCs w:val="24"/>
                <w:color w:val="auto"/>
              </w:rPr>
            </w:pPr>
          </w:p>
        </w:tc>
        <w:tc>
          <w:tcPr>
            <w:tcW w:w="7380" w:type="dxa"/>
            <w:vAlign w:val="bottom"/>
          </w:tcPr>
          <w:p>
            <w:pPr>
              <w:jc w:val="center"/>
              <w:spacing w:after="0"/>
              <w:rPr>
                <w:sz w:val="20"/>
                <w:szCs w:val="20"/>
                <w:color w:val="auto"/>
              </w:rPr>
            </w:pPr>
            <w:r>
              <w:rPr>
                <w:rFonts w:ascii="Arial" w:cs="Arial" w:eastAsia="Arial" w:hAnsi="Arial"/>
                <w:sz w:val="17"/>
                <w:szCs w:val="17"/>
                <w:b w:val="1"/>
                <w:bCs w:val="1"/>
                <w:color w:val="auto"/>
              </w:rPr>
              <w:t>PART II – OTHER INFORMATION</w:t>
            </w:r>
          </w:p>
        </w:tc>
        <w:tc>
          <w:tcPr>
            <w:tcW w:w="900" w:type="dxa"/>
            <w:vAlign w:val="bottom"/>
          </w:tcPr>
          <w:p>
            <w:pPr>
              <w:spacing w:after="0"/>
              <w:rPr>
                <w:sz w:val="24"/>
                <w:szCs w:val="24"/>
                <w:color w:val="auto"/>
              </w:rPr>
            </w:pP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1</w:t>
            </w:r>
          </w:p>
        </w:tc>
        <w:tc>
          <w:tcPr>
            <w:tcW w:w="7380" w:type="dxa"/>
            <w:vAlign w:val="bottom"/>
          </w:tcPr>
          <w:p>
            <w:pPr>
              <w:ind w:left="140"/>
              <w:spacing w:after="0"/>
              <w:rPr>
                <w:sz w:val="20"/>
                <w:szCs w:val="20"/>
                <w:color w:val="auto"/>
              </w:rPr>
            </w:pPr>
            <w:r>
              <w:rPr>
                <w:rFonts w:ascii="Arial" w:cs="Arial" w:eastAsia="Arial" w:hAnsi="Arial"/>
                <w:sz w:val="17"/>
                <w:szCs w:val="17"/>
                <w:color w:val="auto"/>
              </w:rPr>
              <w:t>Legal Proceedings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18</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1A</w:t>
            </w:r>
          </w:p>
        </w:tc>
        <w:tc>
          <w:tcPr>
            <w:tcW w:w="7380" w:type="dxa"/>
            <w:vAlign w:val="bottom"/>
          </w:tcPr>
          <w:p>
            <w:pPr>
              <w:ind w:left="140"/>
              <w:spacing w:after="0"/>
              <w:rPr>
                <w:sz w:val="20"/>
                <w:szCs w:val="20"/>
                <w:color w:val="auto"/>
              </w:rPr>
            </w:pPr>
            <w:r>
              <w:rPr>
                <w:rFonts w:ascii="Arial" w:cs="Arial" w:eastAsia="Arial" w:hAnsi="Arial"/>
                <w:sz w:val="17"/>
                <w:szCs w:val="17"/>
                <w:color w:val="auto"/>
              </w:rPr>
              <w:t>Risk Factors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20</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2</w:t>
            </w:r>
          </w:p>
        </w:tc>
        <w:tc>
          <w:tcPr>
            <w:tcW w:w="7380" w:type="dxa"/>
            <w:vAlign w:val="bottom"/>
          </w:tcPr>
          <w:p>
            <w:pPr>
              <w:ind w:left="140"/>
              <w:spacing w:after="0"/>
              <w:rPr>
                <w:sz w:val="20"/>
                <w:szCs w:val="20"/>
                <w:color w:val="auto"/>
              </w:rPr>
            </w:pPr>
            <w:r>
              <w:rPr>
                <w:rFonts w:ascii="Arial" w:cs="Arial" w:eastAsia="Arial" w:hAnsi="Arial"/>
                <w:sz w:val="17"/>
                <w:szCs w:val="17"/>
                <w:color w:val="auto"/>
              </w:rPr>
              <w:t>Unregistered Sales of Equity Securities and Use of Proceeds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20</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3</w:t>
            </w:r>
          </w:p>
        </w:tc>
        <w:tc>
          <w:tcPr>
            <w:tcW w:w="7380" w:type="dxa"/>
            <w:vAlign w:val="bottom"/>
          </w:tcPr>
          <w:p>
            <w:pPr>
              <w:ind w:left="140"/>
              <w:spacing w:after="0"/>
              <w:rPr>
                <w:sz w:val="20"/>
                <w:szCs w:val="20"/>
                <w:color w:val="auto"/>
              </w:rPr>
            </w:pPr>
            <w:r>
              <w:rPr>
                <w:rFonts w:ascii="Arial" w:cs="Arial" w:eastAsia="Arial" w:hAnsi="Arial"/>
                <w:sz w:val="17"/>
                <w:szCs w:val="17"/>
                <w:color w:val="auto"/>
              </w:rPr>
              <w:t>Defaults Upon Senior Securities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20</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4</w:t>
            </w:r>
          </w:p>
        </w:tc>
        <w:tc>
          <w:tcPr>
            <w:tcW w:w="7380" w:type="dxa"/>
            <w:vAlign w:val="bottom"/>
          </w:tcPr>
          <w:p>
            <w:pPr>
              <w:ind w:left="140"/>
              <w:spacing w:after="0"/>
              <w:rPr>
                <w:sz w:val="20"/>
                <w:szCs w:val="20"/>
                <w:color w:val="auto"/>
              </w:rPr>
            </w:pPr>
            <w:r>
              <w:rPr>
                <w:rFonts w:ascii="Arial" w:cs="Arial" w:eastAsia="Arial" w:hAnsi="Arial"/>
                <w:sz w:val="17"/>
                <w:szCs w:val="17"/>
                <w:color w:val="auto"/>
              </w:rPr>
              <w:t>Submission of Matters to a Vote of Security Holders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20</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5</w:t>
            </w:r>
          </w:p>
        </w:tc>
        <w:tc>
          <w:tcPr>
            <w:tcW w:w="7380" w:type="dxa"/>
            <w:vAlign w:val="bottom"/>
          </w:tcPr>
          <w:p>
            <w:pPr>
              <w:ind w:left="140"/>
              <w:spacing w:after="0"/>
              <w:rPr>
                <w:sz w:val="20"/>
                <w:szCs w:val="20"/>
                <w:color w:val="auto"/>
              </w:rPr>
            </w:pPr>
            <w:r>
              <w:rPr>
                <w:rFonts w:ascii="Arial" w:cs="Arial" w:eastAsia="Arial" w:hAnsi="Arial"/>
                <w:sz w:val="17"/>
                <w:szCs w:val="17"/>
                <w:color w:val="auto"/>
              </w:rPr>
              <w:t>Other Information</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20</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Item 6</w:t>
            </w:r>
          </w:p>
        </w:tc>
        <w:tc>
          <w:tcPr>
            <w:tcW w:w="7380" w:type="dxa"/>
            <w:vAlign w:val="bottom"/>
          </w:tcPr>
          <w:p>
            <w:pPr>
              <w:ind w:left="140"/>
              <w:spacing w:after="0"/>
              <w:rPr>
                <w:sz w:val="20"/>
                <w:szCs w:val="20"/>
                <w:color w:val="auto"/>
              </w:rPr>
            </w:pPr>
            <w:r>
              <w:rPr>
                <w:rFonts w:ascii="Arial" w:cs="Arial" w:eastAsia="Arial" w:hAnsi="Arial"/>
                <w:sz w:val="17"/>
                <w:szCs w:val="17"/>
                <w:color w:val="auto"/>
              </w:rPr>
              <w:t>Exhibits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21</w:t>
            </w:r>
          </w:p>
        </w:tc>
      </w:tr>
      <w:tr>
        <w:trPr>
          <w:trHeight w:val="435"/>
        </w:trPr>
        <w:tc>
          <w:tcPr>
            <w:tcW w:w="860" w:type="dxa"/>
            <w:vAlign w:val="bottom"/>
          </w:tcPr>
          <w:p>
            <w:pPr>
              <w:spacing w:after="0"/>
              <w:rPr>
                <w:sz w:val="20"/>
                <w:szCs w:val="20"/>
                <w:color w:val="auto"/>
              </w:rPr>
            </w:pPr>
            <w:r>
              <w:rPr>
                <w:rFonts w:ascii="Arial" w:cs="Arial" w:eastAsia="Arial" w:hAnsi="Arial"/>
                <w:sz w:val="17"/>
                <w:szCs w:val="17"/>
                <w:color w:val="auto"/>
              </w:rPr>
              <w:t>Signatures</w:t>
            </w:r>
          </w:p>
        </w:tc>
        <w:tc>
          <w:tcPr>
            <w:tcW w:w="73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22</w:t>
            </w: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76835</wp:posOffset>
            </wp:positionV>
            <wp:extent cx="72580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140"/>
          </w:cols>
          <w:pgMar w:left="1380" w:top="725" w:right="137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5"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CLEARONE COMMUNICATIONS, INC.</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CONSOLIDATED BALANCE SHEETS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(in thousands of dollars, except share and per share amounts)</w:t>
      </w:r>
    </w:p>
    <w:p>
      <w:pPr>
        <w:spacing w:after="0" w:line="200" w:lineRule="exact"/>
        <w:rPr>
          <w:sz w:val="20"/>
          <w:szCs w:val="20"/>
          <w:color w:val="auto"/>
        </w:rPr>
      </w:pP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2"/>
              </w:rPr>
              <w:t>(unaudited)</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3"/>
              </w:rPr>
              <w:t>September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55"/>
              <w:spacing w:after="0"/>
              <w:rPr>
                <w:sz w:val="20"/>
                <w:szCs w:val="20"/>
                <w:color w:val="auto"/>
              </w:rPr>
            </w:pPr>
            <w:r>
              <w:rPr>
                <w:rFonts w:ascii="Arial" w:cs="Arial" w:eastAsia="Arial" w:hAnsi="Arial"/>
                <w:sz w:val="17"/>
                <w:szCs w:val="17"/>
                <w:b w:val="1"/>
                <w:bCs w:val="1"/>
                <w:color w:val="auto"/>
              </w:rPr>
              <w:t>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June 30,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9"/>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60" w:type="dxa"/>
            <w:vAlign w:val="bottom"/>
          </w:tcPr>
          <w:p>
            <w:pPr>
              <w:ind w:left="3140"/>
              <w:spacing w:after="0"/>
              <w:rPr>
                <w:sz w:val="20"/>
                <w:szCs w:val="20"/>
                <w:color w:val="auto"/>
              </w:rPr>
            </w:pPr>
            <w:r>
              <w:rPr>
                <w:rFonts w:ascii="Arial" w:cs="Arial" w:eastAsia="Arial" w:hAnsi="Arial"/>
                <w:sz w:val="17"/>
                <w:szCs w:val="17"/>
                <w:b w:val="1"/>
                <w:bCs w:val="1"/>
                <w:color w:val="auto"/>
              </w:rPr>
              <w:t>ASSETS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1,731</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3,327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Marketable securities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Accounts receivable, net of allowance for doubtful accounts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of $110 and $87, respectively</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6,786</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Deposit, bond for preliminary injunction</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Note receivable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Inventories, net</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10,757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7,799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Prepaid expenses</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24,144</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Long-term marketable securities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10,861</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Long-term deferred tax asset</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Total assets</w:t>
            </w:r>
          </w:p>
        </w:tc>
        <w:tc>
          <w:tcPr>
            <w:tcW w:w="10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39,093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44,300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ind w:left="1620"/>
              <w:spacing w:after="0"/>
              <w:rPr>
                <w:sz w:val="20"/>
                <w:szCs w:val="20"/>
                <w:color w:val="auto"/>
              </w:rPr>
            </w:pPr>
            <w:r>
              <w:rPr>
                <w:rFonts w:ascii="Arial" w:cs="Arial" w:eastAsia="Arial" w:hAnsi="Arial"/>
                <w:sz w:val="17"/>
                <w:szCs w:val="17"/>
                <w:b w:val="1"/>
                <w:bCs w:val="1"/>
                <w:color w:val="auto"/>
              </w:rPr>
              <w:t>LIABILITIES AND SHAREHOLDERS' EQUITY</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Accounts payable</w:t>
            </w:r>
          </w:p>
        </w:tc>
        <w:tc>
          <w:tcPr>
            <w:tcW w:w="10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2,561</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Accrued taxes</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Accrued liabilities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product revenue</w:t>
            </w: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10,780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Deferred rent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Total liabilities</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Shareholders' equity:</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Common stock, par value $0.001, 50,000,000 shares authorized,</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8,888,454 and 10,228,902 shares issued and outstanding, respectively</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38,023</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(10,660)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(11,794)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shareholders' equity</w:t>
            </w: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26,477</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32,140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10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39,093</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-115570</wp:posOffset>
            </wp:positionV>
            <wp:extent cx="5798185" cy="130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80"/>
          </w:cols>
          <w:pgMar w:left="240" w:top="494"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CLEARONE COMMUNICATIONS,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dollars,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7"/>
                <w:szCs w:val="17"/>
                <w:b w:val="1"/>
                <w:bCs w:val="1"/>
                <w:color w:val="auto"/>
              </w:rPr>
              <w:t>Three Months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6"/>
          </w:tcPr>
          <w:p>
            <w:pPr>
              <w:jc w:val="right"/>
              <w:ind w:right="300"/>
              <w:spacing w:after="0"/>
              <w:rPr>
                <w:sz w:val="20"/>
                <w:szCs w:val="20"/>
                <w:color w:val="auto"/>
              </w:rPr>
            </w:pPr>
            <w:r>
              <w:rPr>
                <w:rFonts w:ascii="Arial" w:cs="Arial" w:eastAsia="Arial" w:hAnsi="Arial"/>
                <w:sz w:val="17"/>
                <w:szCs w:val="17"/>
                <w:b w:val="1"/>
                <w:bCs w:val="1"/>
                <w:color w:val="auto"/>
                <w:w w:val="93"/>
              </w:rPr>
              <w:t>Ended 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10,258</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Cost of goods sold</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Gross profit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0" w:type="dxa"/>
            <w:vAlign w:val="bottom"/>
          </w:tcPr>
          <w:p>
            <w:pPr>
              <w:ind w:left="140"/>
              <w:spacing w:after="0"/>
              <w:rPr>
                <w:sz w:val="20"/>
                <w:szCs w:val="20"/>
                <w:color w:val="auto"/>
              </w:rPr>
            </w:pPr>
            <w:r>
              <w:rPr>
                <w:rFonts w:ascii="Arial" w:cs="Arial" w:eastAsia="Arial" w:hAnsi="Arial"/>
                <w:sz w:val="17"/>
                <w:szCs w:val="17"/>
                <w:color w:val="auto"/>
              </w:rPr>
              <w:t>Sales &amp; marketing</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1,977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product development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operating expenses</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4,825</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other income, net</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continuing operations before income taxes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(739)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(loss) from continuing operations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Income from discontinued operations</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income (loss)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0" w:type="dxa"/>
            <w:vAlign w:val="bottom"/>
            <w:shd w:val="clear" w:color="auto" w:fill="CCEEFF"/>
          </w:tcPr>
          <w:p>
            <w:pPr>
              <w:ind w:left="2040"/>
              <w:spacing w:after="0"/>
              <w:rPr>
                <w:sz w:val="20"/>
                <w:szCs w:val="20"/>
                <w:color w:val="auto"/>
              </w:rPr>
            </w:pPr>
            <w:r>
              <w:rPr>
                <w:rFonts w:ascii="Arial" w:cs="Arial" w:eastAsia="Arial" w:hAnsi="Arial"/>
                <w:sz w:val="17"/>
                <w:szCs w:val="17"/>
                <w:color w:val="auto"/>
                <w:w w:val="89"/>
              </w:rPr>
              <w:t>See accompanying notes to condensed consolidated financial statements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76835</wp:posOffset>
            </wp:positionV>
            <wp:extent cx="72580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140"/>
          </w:cols>
          <w:pgMar w:left="1380" w:top="494" w:right="137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7"/>
          <w:szCs w:val="17"/>
          <w:b w:val="1"/>
          <w:bCs w:val="1"/>
          <w:color w:val="auto"/>
        </w:rPr>
        <w:t>CLEARONE COMMUNICATIONS,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of dollars,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7"/>
                <w:szCs w:val="17"/>
                <w:b w:val="1"/>
                <w:bCs w:val="1"/>
                <w:color w:val="auto"/>
                <w:w w:val="97"/>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w w:val="93"/>
              </w:rPr>
              <w:t>September</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w w:val="93"/>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75"/>
              <w:spacing w:after="0"/>
              <w:rPr>
                <w:sz w:val="20"/>
                <w:szCs w:val="20"/>
                <w:color w:val="auto"/>
              </w:rPr>
            </w:pPr>
            <w:r>
              <w:rPr>
                <w:rFonts w:ascii="Arial" w:cs="Arial" w:eastAsia="Arial" w:hAnsi="Arial"/>
                <w:sz w:val="17"/>
                <w:szCs w:val="17"/>
                <w:b w:val="1"/>
                <w:bCs w:val="1"/>
                <w:color w:val="auto"/>
              </w:rPr>
              <w:t>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common share from continuing operations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Diluted earnings per common share from continuing operations</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Basic earnings per common share from discontinued operations</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per common share from discontinued operations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common share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Diluted earnings per common share</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Basic weighted average shares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10,112,787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10,961,256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Diluted weighted average shares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10,206,652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11,072,565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5798185" cy="130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76835</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140"/>
          </w:cols>
          <w:pgMar w:left="1380" w:top="494"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CLEARONE COMMUNICATIONS,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7"/>
                <w:szCs w:val="17"/>
                <w:b w:val="1"/>
                <w:bCs w:val="1"/>
                <w:color w:val="auto"/>
                <w:w w:val="95"/>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Borders>
              <w:top w:val="single" w:sz="8" w:color="auto"/>
            </w:tcBorders>
            <w:gridSpan w:val="3"/>
          </w:tcPr>
          <w:p>
            <w:pPr>
              <w:jc w:val="right"/>
              <w:ind w:right="240"/>
              <w:spacing w:after="0" w:line="189" w:lineRule="exact"/>
              <w:rPr>
                <w:sz w:val="20"/>
                <w:szCs w:val="20"/>
                <w:color w:val="auto"/>
              </w:rPr>
            </w:pPr>
            <w:r>
              <w:rPr>
                <w:rFonts w:ascii="Arial" w:cs="Arial" w:eastAsia="Arial" w:hAnsi="Arial"/>
                <w:sz w:val="17"/>
                <w:szCs w:val="17"/>
                <w:b w:val="1"/>
                <w:bCs w:val="1"/>
                <w:color w:val="auto"/>
                <w:w w:val="93"/>
              </w:rPr>
              <w:t>September</w:t>
            </w:r>
          </w:p>
        </w:tc>
        <w:tc>
          <w:tcPr>
            <w:tcW w:w="9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w w:val="93"/>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5"/>
              <w:spacing w:after="0"/>
              <w:rPr>
                <w:sz w:val="20"/>
                <w:szCs w:val="20"/>
                <w:color w:val="auto"/>
              </w:rPr>
            </w:pPr>
            <w:r>
              <w:rPr>
                <w:rFonts w:ascii="Arial" w:cs="Arial" w:eastAsia="Arial" w:hAnsi="Arial"/>
                <w:sz w:val="17"/>
                <w:szCs w:val="17"/>
                <w:b w:val="1"/>
                <w:bCs w:val="1"/>
                <w:color w:val="auto"/>
              </w:rPr>
              <w:t>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Arial" w:cs="Arial" w:eastAsia="Arial" w:hAnsi="Arial"/>
                <w:sz w:val="17"/>
                <w:szCs w:val="17"/>
                <w:b w:val="1"/>
                <w:bCs w:val="1"/>
                <w:color w:val="auto"/>
              </w:rPr>
              <w:t>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20" w:type="dxa"/>
            <w:vAlign w:val="bottom"/>
            <w:gridSpan w:val="2"/>
          </w:tcPr>
          <w:p>
            <w:pPr>
              <w:spacing w:after="0"/>
              <w:rPr>
                <w:sz w:val="20"/>
                <w:szCs w:val="20"/>
                <w:color w:val="auto"/>
              </w:rPr>
            </w:pPr>
            <w:r>
              <w:rPr>
                <w:rFonts w:ascii="Arial" w:cs="Arial" w:eastAsia="Arial" w:hAnsi="Arial"/>
                <w:sz w:val="17"/>
                <w:szCs w:val="17"/>
                <w:color w:val="auto"/>
              </w:rPr>
              <w:t>Cash flows from operating activities: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 from continuing 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Adjustments to reconcile net income (loss) from continuing operations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 net cash provided by operating activities: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300"/>
              <w:spacing w:after="0"/>
              <w:rPr>
                <w:sz w:val="20"/>
                <w:szCs w:val="20"/>
                <w:color w:val="auto"/>
              </w:rPr>
            </w:pPr>
            <w:r>
              <w:rPr>
                <w:rFonts w:ascii="Arial" w:cs="Arial" w:eastAsia="Arial" w:hAnsi="Arial"/>
                <w:sz w:val="17"/>
                <w:szCs w:val="17"/>
                <w:color w:val="auto"/>
              </w:rPr>
              <w:t>Depreciation and amortization expense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Stock-based compensation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300"/>
              <w:spacing w:after="0"/>
              <w:rPr>
                <w:sz w:val="20"/>
                <w:szCs w:val="20"/>
                <w:color w:val="auto"/>
              </w:rPr>
            </w:pPr>
            <w:r>
              <w:rPr>
                <w:rFonts w:ascii="Arial" w:cs="Arial" w:eastAsia="Arial" w:hAnsi="Arial"/>
                <w:sz w:val="17"/>
                <w:szCs w:val="17"/>
                <w:color w:val="auto"/>
              </w:rPr>
              <w:t>Write-off of inventory</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(Gain) loss on disposal of assets and fixed assets write-offs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300"/>
              <w:spacing w:after="0"/>
              <w:rPr>
                <w:sz w:val="20"/>
                <w:szCs w:val="20"/>
                <w:color w:val="auto"/>
              </w:rPr>
            </w:pPr>
            <w:r>
              <w:rPr>
                <w:rFonts w:ascii="Arial" w:cs="Arial" w:eastAsia="Arial" w:hAnsi="Arial"/>
                <w:sz w:val="17"/>
                <w:szCs w:val="17"/>
                <w:color w:val="auto"/>
              </w:rPr>
              <w:t>Provision for doubtful accounts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Changes in operating assets and liabilities: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440"/>
              <w:spacing w:after="0"/>
              <w:rPr>
                <w:sz w:val="20"/>
                <w:szCs w:val="20"/>
                <w:color w:val="auto"/>
              </w:rPr>
            </w:pPr>
            <w:r>
              <w:rPr>
                <w:rFonts w:ascii="Arial" w:cs="Arial" w:eastAsia="Arial" w:hAnsi="Arial"/>
                <w:sz w:val="17"/>
                <w:szCs w:val="17"/>
                <w:color w:val="auto"/>
              </w:rPr>
              <w:t>Accounts receivable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taxes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440"/>
              <w:spacing w:after="0"/>
              <w:rPr>
                <w:sz w:val="20"/>
                <w:szCs w:val="20"/>
                <w:color w:val="auto"/>
              </w:rPr>
            </w:pPr>
            <w:r>
              <w:rPr>
                <w:rFonts w:ascii="Arial" w:cs="Arial" w:eastAsia="Arial" w:hAnsi="Arial"/>
                <w:sz w:val="17"/>
                <w:szCs w:val="17"/>
                <w:color w:val="auto"/>
              </w:rPr>
              <w:t>Note receivable - Ken-A-Vision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(2,985)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440"/>
              <w:spacing w:after="0"/>
              <w:rPr>
                <w:sz w:val="20"/>
                <w:szCs w:val="20"/>
                <w:color w:val="auto"/>
              </w:rPr>
            </w:pPr>
            <w:r>
              <w:rPr>
                <w:rFonts w:ascii="Arial" w:cs="Arial" w:eastAsia="Arial" w:hAnsi="Arial"/>
                <w:sz w:val="17"/>
                <w:szCs w:val="17"/>
                <w:color w:val="auto"/>
              </w:rPr>
              <w:t>Prepaid expenses and other assets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440"/>
              <w:spacing w:after="0"/>
              <w:rPr>
                <w:sz w:val="20"/>
                <w:szCs w:val="20"/>
                <w:color w:val="auto"/>
              </w:rPr>
            </w:pPr>
            <w:r>
              <w:rPr>
                <w:rFonts w:ascii="Arial" w:cs="Arial" w:eastAsia="Arial" w:hAnsi="Arial"/>
                <w:sz w:val="17"/>
                <w:szCs w:val="17"/>
                <w:color w:val="auto"/>
              </w:rPr>
              <w:t>Accrued liabilities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Income taxes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440"/>
              <w:spacing w:after="0"/>
              <w:rPr>
                <w:sz w:val="20"/>
                <w:szCs w:val="20"/>
                <w:color w:val="auto"/>
              </w:rPr>
            </w:pPr>
            <w:r>
              <w:rPr>
                <w:rFonts w:ascii="Arial" w:cs="Arial" w:eastAsia="Arial" w:hAnsi="Arial"/>
                <w:sz w:val="17"/>
                <w:szCs w:val="17"/>
                <w:color w:val="auto"/>
              </w:rPr>
              <w:t>Deferred product revenue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(115)</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change in other assets/liabilities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Borders>
              <w:top w:val="single" w:sz="8" w:color="CCEEFF"/>
            </w:tcBorders>
          </w:tcPr>
          <w:p>
            <w:pPr>
              <w:ind w:left="440"/>
              <w:spacing w:after="0"/>
              <w:rPr>
                <w:sz w:val="20"/>
                <w:szCs w:val="20"/>
                <w:color w:val="auto"/>
              </w:rPr>
            </w:pPr>
            <w:r>
              <w:rPr>
                <w:rFonts w:ascii="Arial" w:cs="Arial" w:eastAsia="Arial" w:hAnsi="Arial"/>
                <w:sz w:val="17"/>
                <w:szCs w:val="17"/>
                <w:color w:val="auto"/>
              </w:rPr>
              <w:t>Net cash provided by operating activities</w:t>
            </w: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property and equipment</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Proceeds from the sale of property and equipment</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marketable securities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(5,681)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Sale of marketable securities</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used in continuing investing activities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4,897</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ind w:left="440"/>
              <w:spacing w:after="0"/>
              <w:rPr>
                <w:sz w:val="20"/>
                <w:szCs w:val="20"/>
                <w:color w:val="auto"/>
              </w:rPr>
            </w:pPr>
            <w:r>
              <w:rPr>
                <w:rFonts w:ascii="Arial" w:cs="Arial" w:eastAsia="Arial" w:hAnsi="Arial"/>
                <w:sz w:val="17"/>
                <w:szCs w:val="17"/>
                <w:color w:val="auto"/>
              </w:rPr>
              <w:t>Net cash provided by discontinued investing activities</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provided by (used in) investing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Proceeds from common stock</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purchased and retired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(6,762)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ind w:left="300"/>
              <w:spacing w:after="0"/>
              <w:rPr>
                <w:sz w:val="20"/>
                <w:szCs w:val="20"/>
                <w:color w:val="auto"/>
              </w:rPr>
            </w:pPr>
            <w:r>
              <w:rPr>
                <w:rFonts w:ascii="Arial" w:cs="Arial" w:eastAsia="Arial" w:hAnsi="Arial"/>
                <w:sz w:val="17"/>
                <w:szCs w:val="17"/>
                <w:color w:val="auto"/>
              </w:rPr>
              <w:t>Tax benefit attributable to exercise of stock options</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(used in) financing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(1,596)</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Cash and cash equivalents at the beginning of the period</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the end of the period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5798185" cy="130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76835</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140"/>
          </w:cols>
          <w:pgMar w:left="1380" w:top="494"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CLEARONE COMMUNICATIONS,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5"/>
          </w:tcPr>
          <w:p>
            <w:pPr>
              <w:ind w:left="8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w w:val="93"/>
              </w:rPr>
              <w:t>September</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w w:val="93"/>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5"/>
              <w:spacing w:after="0"/>
              <w:rPr>
                <w:sz w:val="20"/>
                <w:szCs w:val="20"/>
                <w:color w:val="auto"/>
              </w:rPr>
            </w:pPr>
            <w:r>
              <w:rPr>
                <w:rFonts w:ascii="Arial" w:cs="Arial" w:eastAsia="Arial" w:hAnsi="Arial"/>
                <w:sz w:val="17"/>
                <w:szCs w:val="17"/>
                <w:b w:val="1"/>
                <w:bCs w:val="1"/>
                <w:color w:val="auto"/>
              </w:rPr>
              <w:t>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Arial" w:cs="Arial" w:eastAsia="Arial" w:hAnsi="Arial"/>
                <w:sz w:val="17"/>
                <w:szCs w:val="17"/>
                <w:b w:val="1"/>
                <w:bCs w:val="1"/>
                <w:color w:val="auto"/>
              </w:rPr>
              <w:t>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 of cash flow information:</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60" w:type="dxa"/>
            <w:vAlign w:val="bottom"/>
          </w:tcPr>
          <w:p>
            <w:pPr>
              <w:ind w:left="140"/>
              <w:spacing w:after="0"/>
              <w:rPr>
                <w:sz w:val="20"/>
                <w:szCs w:val="20"/>
                <w:color w:val="auto"/>
              </w:rPr>
            </w:pPr>
            <w:r>
              <w:rPr>
                <w:rFonts w:ascii="Arial" w:cs="Arial" w:eastAsia="Arial" w:hAnsi="Arial"/>
                <w:sz w:val="17"/>
                <w:szCs w:val="17"/>
                <w:color w:val="auto"/>
              </w:rPr>
              <w:t>Cash paid for income taxes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101</w:t>
            </w:r>
          </w:p>
        </w:tc>
        <w:tc>
          <w:tcPr>
            <w:tcW w:w="3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Supplemental disclosure of non-cash financing activities:</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Exchanged accounts receivable from a vendor with</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60" w:type="dxa"/>
            <w:vAlign w:val="bottom"/>
          </w:tcPr>
          <w:p>
            <w:pPr>
              <w:ind w:left="220"/>
              <w:spacing w:after="0"/>
              <w:rPr>
                <w:sz w:val="20"/>
                <w:szCs w:val="20"/>
                <w:color w:val="auto"/>
              </w:rPr>
            </w:pPr>
            <w:r>
              <w:rPr>
                <w:rFonts w:ascii="Arial" w:cs="Arial" w:eastAsia="Arial" w:hAnsi="Arial"/>
                <w:sz w:val="17"/>
                <w:szCs w:val="17"/>
                <w:color w:val="auto"/>
              </w:rPr>
              <w:t>acccounts payable to the same vendor</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w:t>
            </w:r>
          </w:p>
        </w:tc>
        <w:tc>
          <w:tcPr>
            <w:tcW w:w="3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Adoption of FIN48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5798185" cy="130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76835</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140"/>
          </w:cols>
          <w:pgMar w:left="1380" w:top="494" w:right="137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CLEARONE COMMUNICATIONS,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244"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accompanying interim consolidated financial statements for the three month periods ended September 30, 2008 and 2007 are not audited. Our consolidated financial statements are prepared in accordance with the requirements for unaudited interim periods, and consequently, do not include all disclosures required to be in conformity with accounting principles generally accepted in the United States of America. The accompanying consolidated financial statements contain all adjustments, consisting of normal recurring accruals, necessary for a fair presentation of our financial position as of September 30, 2008, and our results of operations and cash flows for the three month periods ended September 30, 2008 and 2007. The results of operations for the three month periods ended September 30, 2008 and 2007 are not necessarily indicative of the results for a full-year period. These interim consolidated financial statements should be read in conjunction with the financial statements included in our Annual Report on Form 10-K/A, for the year ended June 30, 2008 filed with the Securities and Exchange Commission (the “SEC”).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Inventories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of reserves, consisted of the following as of September 30, 2008 and June 30, 2008 (in thousands):</w:t>
      </w:r>
    </w:p>
    <w:p>
      <w:pPr>
        <w:spacing w:after="0" w:line="236" w:lineRule="exact"/>
        <w:rPr>
          <w:sz w:val="20"/>
          <w:szCs w:val="20"/>
          <w:color w:val="auto"/>
        </w:rPr>
      </w:pPr>
    </w:p>
    <w:tbl>
      <w:tblPr>
        <w:tblLayout w:type="fixed"/>
        <w:tblInd w:w="228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b w:val="1"/>
                <w:bCs w:val="1"/>
                <w:color w:val="auto"/>
                <w:w w:val="91"/>
              </w:rPr>
              <w:t>September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Finished goods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8,145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Consigned inventory</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ind w:left="140"/>
              <w:spacing w:after="0"/>
              <w:rPr>
                <w:sz w:val="20"/>
                <w:szCs w:val="20"/>
                <w:color w:val="auto"/>
              </w:rPr>
            </w:pPr>
            <w:r>
              <w:rPr>
                <w:rFonts w:ascii="Arial" w:cs="Arial" w:eastAsia="Arial" w:hAnsi="Arial"/>
                <w:sz w:val="17"/>
                <w:szCs w:val="17"/>
                <w:color w:val="auto"/>
              </w:rPr>
              <w:t>Total inventory</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10,757</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7,799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Our inventory increased approximately $3 million during the three month period ending September 30, 2008 as we began stocking inventory in our Hong Kong facility in order to prepare for the fulfillment of the majority of our international orders from Hong Kong. Additionally , we built up safety stock of certain of our key products to mitigate stock-outs.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Consigned inventory represents inventory at distributors and other customers where revenue recognition criteria have not been achieved.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Stock-based Compensation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for the three month periods ended September 30, 2008 and 2007 has been allocated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80" w:type="dxa"/>
            <w:vAlign w:val="bottom"/>
            <w:gridSpan w:val="4"/>
          </w:tcPr>
          <w:p>
            <w:pPr>
              <w:jc w:val="right"/>
              <w:ind w:right="155"/>
              <w:spacing w:after="0"/>
              <w:rPr>
                <w:sz w:val="20"/>
                <w:szCs w:val="20"/>
                <w:color w:val="auto"/>
              </w:rPr>
            </w:pPr>
            <w:r>
              <w:rPr>
                <w:rFonts w:ascii="Arial" w:cs="Arial" w:eastAsia="Arial" w:hAnsi="Arial"/>
                <w:sz w:val="17"/>
                <w:szCs w:val="17"/>
                <w:b w:val="1"/>
                <w:bCs w:val="1"/>
                <w:color w:val="auto"/>
              </w:rPr>
              <w:t>Three months Ended</w:t>
            </w: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5"/>
        </w:trPr>
        <w:tc>
          <w:tcPr>
            <w:tcW w:w="23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gridSpan w:val="3"/>
          </w:tcPr>
          <w:p>
            <w:pPr>
              <w:jc w:val="right"/>
              <w:ind w:right="395"/>
              <w:spacing w:after="0"/>
              <w:rPr>
                <w:sz w:val="20"/>
                <w:szCs w:val="20"/>
                <w:color w:val="auto"/>
              </w:rPr>
            </w:pPr>
            <w:r>
              <w:rPr>
                <w:rFonts w:ascii="Arial" w:cs="Arial" w:eastAsia="Arial" w:hAnsi="Arial"/>
                <w:sz w:val="17"/>
                <w:szCs w:val="17"/>
                <w:b w:val="1"/>
                <w:bCs w:val="1"/>
                <w:color w:val="auto"/>
                <w:w w:val="89"/>
              </w:rPr>
              <w:t>September 30,</w:t>
            </w: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27"/>
        </w:trPr>
        <w:tc>
          <w:tcPr>
            <w:tcW w:w="2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2007</w:t>
            </w:r>
          </w:p>
        </w:tc>
        <w:tc>
          <w:tcPr>
            <w:tcW w:w="44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r>
      <w:tr>
        <w:trPr>
          <w:trHeight w:val="205"/>
        </w:trPr>
        <w:tc>
          <w:tcPr>
            <w:tcW w:w="230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2080" w:type="dxa"/>
            <w:vAlign w:val="bottom"/>
            <w:gridSpan w:val="2"/>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60" w:type="dxa"/>
            <w:vAlign w:val="bottom"/>
            <w:gridSpan w:val="2"/>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80" w:type="dxa"/>
            <w:vAlign w:val="bottom"/>
          </w:tcPr>
          <w:p>
            <w:pPr>
              <w:spacing w:after="0"/>
              <w:rPr>
                <w:sz w:val="17"/>
                <w:szCs w:val="17"/>
                <w:color w:val="auto"/>
              </w:rPr>
            </w:pPr>
          </w:p>
        </w:tc>
      </w:tr>
      <w:tr>
        <w:trPr>
          <w:trHeight w:val="205"/>
        </w:trPr>
        <w:tc>
          <w:tcPr>
            <w:tcW w:w="230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7"/>
                <w:szCs w:val="17"/>
                <w:color w:val="auto"/>
              </w:rPr>
              <w:t>Sales &amp; marketing</w:t>
            </w: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22</w:t>
            </w:r>
          </w:p>
        </w:tc>
        <w:tc>
          <w:tcPr>
            <w:tcW w:w="2280" w:type="dxa"/>
            <w:vAlign w:val="bottom"/>
          </w:tcPr>
          <w:p>
            <w:pPr>
              <w:spacing w:after="0"/>
              <w:rPr>
                <w:sz w:val="17"/>
                <w:szCs w:val="17"/>
                <w:color w:val="auto"/>
              </w:rPr>
            </w:pPr>
          </w:p>
        </w:tc>
      </w:tr>
      <w:tr>
        <w:trPr>
          <w:trHeight w:val="205"/>
        </w:trPr>
        <w:tc>
          <w:tcPr>
            <w:tcW w:w="230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Research &amp; development</w:t>
            </w: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280" w:type="dxa"/>
            <w:vAlign w:val="bottom"/>
          </w:tcPr>
          <w:p>
            <w:pPr>
              <w:spacing w:after="0"/>
              <w:rPr>
                <w:sz w:val="17"/>
                <w:szCs w:val="17"/>
                <w:color w:val="auto"/>
              </w:rPr>
            </w:pPr>
          </w:p>
        </w:tc>
      </w:tr>
      <w:tr>
        <w:trPr>
          <w:trHeight w:val="211"/>
        </w:trPr>
        <w:tc>
          <w:tcPr>
            <w:tcW w:w="23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7"/>
                <w:szCs w:val="17"/>
                <w:color w:val="auto"/>
              </w:rPr>
              <w:t>General &amp;administrative</w:t>
            </w:r>
          </w:p>
        </w:tc>
        <w:tc>
          <w:tcPr>
            <w:tcW w:w="1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2280" w:type="dxa"/>
            <w:vAlign w:val="bottom"/>
          </w:tcPr>
          <w:p>
            <w:pPr>
              <w:spacing w:after="0"/>
              <w:rPr>
                <w:sz w:val="18"/>
                <w:szCs w:val="18"/>
                <w:color w:val="auto"/>
              </w:rPr>
            </w:pPr>
          </w:p>
        </w:tc>
      </w:tr>
      <w:tr>
        <w:trPr>
          <w:trHeight w:val="245"/>
        </w:trPr>
        <w:tc>
          <w:tcPr>
            <w:tcW w:w="230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w:t>
            </w:r>
          </w:p>
        </w:tc>
        <w:tc>
          <w:tcPr>
            <w:tcW w:w="2080" w:type="dxa"/>
            <w:vAlign w:val="bottom"/>
            <w:gridSpan w:val="2"/>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60" w:type="dxa"/>
            <w:vAlign w:val="bottom"/>
            <w:gridSpan w:val="2"/>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2280" w:type="dxa"/>
            <w:vAlign w:val="bottom"/>
          </w:tcPr>
          <w:p>
            <w:pPr>
              <w:spacing w:after="0"/>
              <w:rPr>
                <w:sz w:val="21"/>
                <w:szCs w:val="21"/>
                <w:color w:val="auto"/>
              </w:rPr>
            </w:pPr>
          </w:p>
        </w:tc>
      </w:tr>
      <w:tr>
        <w:trPr>
          <w:trHeight w:val="797"/>
        </w:trPr>
        <w:tc>
          <w:tcPr>
            <w:tcW w:w="2300" w:type="dxa"/>
            <w:vAlign w:val="bottom"/>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jc w:val="right"/>
              <w:ind w:right="475"/>
              <w:spacing w:after="0"/>
              <w:rPr>
                <w:sz w:val="20"/>
                <w:szCs w:val="20"/>
                <w:color w:val="auto"/>
              </w:rPr>
            </w:pPr>
            <w:r>
              <w:rPr>
                <w:rFonts w:ascii="Arial" w:cs="Arial" w:eastAsia="Arial" w:hAnsi="Arial"/>
                <w:sz w:val="17"/>
                <w:szCs w:val="17"/>
                <w:color w:val="auto"/>
              </w:rPr>
              <w:t>6</w:t>
            </w:r>
          </w:p>
        </w:tc>
        <w:tc>
          <w:tcPr>
            <w:tcW w:w="8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13"/>
        </w:trPr>
        <w:tc>
          <w:tcPr>
            <w:tcW w:w="230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8" w:name="page9"/>
    <w:bookmarkEnd w:id="8"/>
    <w:p>
      <w:pPr>
        <w:ind w:right="60"/>
        <w:spacing w:after="0" w:line="297" w:lineRule="auto"/>
        <w:rPr>
          <w:sz w:val="20"/>
          <w:szCs w:val="20"/>
          <w:color w:val="auto"/>
        </w:rPr>
      </w:pPr>
      <w:r>
        <w:rPr>
          <w:rFonts w:ascii="Arial" w:cs="Arial" w:eastAsia="Arial" w:hAnsi="Arial"/>
          <w:sz w:val="15"/>
          <w:szCs w:val="15"/>
          <w:color w:val="auto"/>
        </w:rPr>
        <w:t>As of September 30, 2008, the total remaining unrecognized compensation cost related to non-vested stock options, net of forfeitures, was approximately $867,000. During the three months ended September 30, 2008 and 2007, we granted 7,500 and 315,000 stock options, respectively.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SFAS No. 123R and the original SFAS No. 123.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Discontinued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Summary operating results of the discontinued operations are as follows (in thousands of dollars):</w:t>
      </w:r>
    </w:p>
    <w:p>
      <w:pPr>
        <w:spacing w:after="0" w:line="236" w:lineRule="exact"/>
        <w:rPr>
          <w:sz w:val="20"/>
          <w:szCs w:val="20"/>
          <w:color w:val="auto"/>
        </w:rPr>
      </w:pPr>
    </w:p>
    <w:tbl>
      <w:tblPr>
        <w:tblLayout w:type="fixed"/>
        <w:tblInd w:w="22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5"/>
          </w:tcPr>
          <w:p>
            <w:pPr>
              <w:jc w:val="right"/>
              <w:ind w:right="595"/>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September 30,</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1"/>
              </w:rPr>
              <w:t>September 30,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2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475"/>
              <w:spacing w:after="0"/>
              <w:rPr>
                <w:sz w:val="20"/>
                <w:szCs w:val="20"/>
                <w:color w:val="auto"/>
              </w:rPr>
            </w:pPr>
            <w:r>
              <w:rPr>
                <w:rFonts w:ascii="Arial" w:cs="Arial" w:eastAsia="Arial" w:hAnsi="Arial"/>
                <w:sz w:val="17"/>
                <w:szCs w:val="17"/>
                <w:b w:val="1"/>
                <w:bCs w:val="1"/>
                <w:color w:val="auto"/>
              </w:rPr>
              <w:t>2007</w:t>
            </w:r>
          </w:p>
        </w:tc>
        <w:tc>
          <w:tcPr>
            <w:tcW w:w="0" w:type="dxa"/>
            <w:vAlign w:val="bottom"/>
          </w:tcPr>
          <w:p>
            <w:pPr>
              <w:spacing w:after="0"/>
              <w:rPr>
                <w:sz w:val="1"/>
                <w:szCs w:val="1"/>
                <w:color w:val="auto"/>
              </w:rPr>
            </w:pPr>
          </w:p>
        </w:tc>
      </w:tr>
      <w:tr>
        <w:trPr>
          <w:trHeight w:val="409"/>
        </w:trPr>
        <w:tc>
          <w:tcPr>
            <w:tcW w:w="3840" w:type="dxa"/>
            <w:vAlign w:val="bottom"/>
            <w:gridSpan w:val="2"/>
          </w:tcPr>
          <w:p>
            <w:pPr>
              <w:spacing w:after="0"/>
              <w:rPr>
                <w:sz w:val="20"/>
                <w:szCs w:val="20"/>
                <w:color w:val="auto"/>
              </w:rPr>
            </w:pPr>
            <w:r>
              <w:rPr>
                <w:rFonts w:ascii="Arial" w:cs="Arial" w:eastAsia="Arial" w:hAnsi="Arial"/>
                <w:sz w:val="17"/>
                <w:szCs w:val="17"/>
                <w:color w:val="auto"/>
              </w:rPr>
              <w:t>Gain on disposal of discontinued operations:</w:t>
            </w:r>
          </w:p>
        </w:tc>
        <w:tc>
          <w:tcPr>
            <w:tcW w:w="2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OM Video</w:t>
            </w:r>
          </w:p>
        </w:tc>
        <w:tc>
          <w:tcPr>
            <w:tcW w:w="1420" w:type="dxa"/>
            <w:vAlign w:val="bottom"/>
            <w:gridSpan w:val="2"/>
            <w:shd w:val="clear" w:color="auto" w:fill="CCEEFF"/>
          </w:tcPr>
          <w:p>
            <w:pPr>
              <w:jc w:val="right"/>
              <w:ind w:right="105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tcBorders>
              <w:top w:val="single" w:sz="8" w:color="CCEEFF"/>
            </w:tcBorders>
          </w:tcPr>
          <w:p>
            <w:pPr>
              <w:ind w:left="300"/>
              <w:spacing w:after="0"/>
              <w:rPr>
                <w:sz w:val="20"/>
                <w:szCs w:val="20"/>
                <w:color w:val="auto"/>
              </w:rPr>
            </w:pPr>
            <w:r>
              <w:rPr>
                <w:rFonts w:ascii="Arial" w:cs="Arial" w:eastAsia="Arial" w:hAnsi="Arial"/>
                <w:sz w:val="17"/>
                <w:szCs w:val="17"/>
                <w:color w:val="auto"/>
                <w:w w:val="94"/>
              </w:rPr>
              <w:t>Total gain on disposal of discontinued operations</w:t>
            </w: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OM Video</w:t>
            </w:r>
          </w:p>
        </w:tc>
        <w:tc>
          <w:tcPr>
            <w:tcW w:w="1420" w:type="dxa"/>
            <w:vAlign w:val="bottom"/>
            <w:gridSpan w:val="2"/>
            <w:shd w:val="clear" w:color="auto" w:fill="CCEEFF"/>
          </w:tcPr>
          <w:p>
            <w:pPr>
              <w:jc w:val="right"/>
              <w:ind w:right="105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tcPr>
          <w:p>
            <w:pPr>
              <w:ind w:left="300"/>
              <w:spacing w:after="0"/>
              <w:rPr>
                <w:sz w:val="20"/>
                <w:szCs w:val="20"/>
                <w:color w:val="auto"/>
              </w:rPr>
            </w:pPr>
            <w:r>
              <w:rPr>
                <w:rFonts w:ascii="Arial" w:cs="Arial" w:eastAsia="Arial" w:hAnsi="Arial"/>
                <w:sz w:val="17"/>
                <w:szCs w:val="17"/>
                <w:color w:val="auto"/>
              </w:rPr>
              <w:t>Total income tax (provision) benefit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820" w:type="dxa"/>
            <w:vAlign w:val="bottom"/>
          </w:tcPr>
          <w:p>
            <w:pPr>
              <w:spacing w:after="0" w:line="193" w:lineRule="exact"/>
              <w:rPr>
                <w:sz w:val="20"/>
                <w:szCs w:val="20"/>
                <w:color w:val="auto"/>
              </w:rPr>
            </w:pPr>
            <w:r>
              <w:rPr>
                <w:rFonts w:ascii="Arial" w:cs="Arial" w:eastAsia="Arial" w:hAnsi="Arial"/>
                <w:sz w:val="17"/>
                <w:szCs w:val="17"/>
                <w:color w:val="auto"/>
              </w:rPr>
              <w:t>Total income from discontinued operations, net of</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40" w:type="dxa"/>
            <w:vAlign w:val="bottom"/>
            <w:gridSpan w:val="2"/>
          </w:tcPr>
          <w:p>
            <w:pPr>
              <w:spacing w:after="0"/>
              <w:rPr>
                <w:sz w:val="20"/>
                <w:szCs w:val="20"/>
                <w:color w:val="auto"/>
              </w:rPr>
            </w:pPr>
            <w:r>
              <w:rPr>
                <w:rFonts w:ascii="Arial" w:cs="Arial" w:eastAsia="Arial" w:hAnsi="Arial"/>
                <w:sz w:val="17"/>
                <w:szCs w:val="17"/>
                <w:color w:val="auto"/>
              </w:rPr>
              <w:t>income taxes: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OM Video</w:t>
            </w:r>
          </w:p>
        </w:tc>
        <w:tc>
          <w:tcPr>
            <w:tcW w:w="1420" w:type="dxa"/>
            <w:vAlign w:val="bottom"/>
            <w:gridSpan w:val="2"/>
            <w:shd w:val="clear" w:color="auto" w:fill="CCEEFF"/>
          </w:tcPr>
          <w:p>
            <w:pPr>
              <w:jc w:val="right"/>
              <w:ind w:right="105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20" w:type="dxa"/>
            <w:vAlign w:val="bottom"/>
            <w:tcBorders>
              <w:top w:val="single" w:sz="8" w:color="CCEEFF"/>
            </w:tcBorders>
          </w:tcPr>
          <w:p>
            <w:pPr>
              <w:ind w:left="300"/>
              <w:spacing w:after="0"/>
              <w:rPr>
                <w:sz w:val="20"/>
                <w:szCs w:val="20"/>
                <w:color w:val="auto"/>
              </w:rPr>
            </w:pPr>
            <w:r>
              <w:rPr>
                <w:rFonts w:ascii="Arial" w:cs="Arial" w:eastAsia="Arial" w:hAnsi="Arial"/>
                <w:sz w:val="17"/>
                <w:szCs w:val="17"/>
                <w:color w:val="auto"/>
              </w:rPr>
              <w:t>Total income from discontinued operations,</w:t>
            </w:r>
          </w:p>
        </w:tc>
        <w:tc>
          <w:tcPr>
            <w:tcW w:w="2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of income taxes</w:t>
            </w:r>
          </w:p>
        </w:tc>
        <w:tc>
          <w:tcPr>
            <w:tcW w:w="1420" w:type="dxa"/>
            <w:vAlign w:val="bottom"/>
            <w:gridSpan w:val="2"/>
            <w:shd w:val="clear" w:color="auto" w:fill="CCEEFF"/>
          </w:tcPr>
          <w:p>
            <w:pPr>
              <w:jc w:val="right"/>
              <w:ind w:right="105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OM Video</w:t>
      </w:r>
    </w:p>
    <w:p>
      <w:pPr>
        <w:spacing w:after="0" w:line="240"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On March 4, 2005, we sold all of the issued and outstanding stock of our Canadian subsidiary, ClearOne Communications of Canada, Inc. (“ClearOne Canada”) to 6351352 Canada Inc., a Canada corporation. ClearOne Canada owned all the issued and outstanding stock of Stechyson Electronics, Ltd., which conducted business under the name OM Video. We agreed to sell the stock of ClearOne Canada for $200,000 in cash; a $1.3 million note receivable over a 15-month period, with interest accruing on the unpaid balance at the rate of 5.3% per year; and contingent consideration ranging from 3.0% to 4.0% of related gross revenues over a five-year period.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was recognized as cash was collected (as collection was not reasonably assured). Through December 31, 2005, all required payments had been made however, 6351352 Canada Inc. failed to make any subsequent, required payments under the note receivable until June 30, 2006, when we received a payment of $50,000. We reevaluated our options and concluded that our best course of action was to enforce our security and appoint a receiver over the assets of OM Video. The amount of the promissory note and contingent earn-out provision was approximately $660,000 which is net of $632,000 collected through receivership.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Shareholders’ Equity</w:t>
      </w:r>
    </w:p>
    <w:p>
      <w:pPr>
        <w:spacing w:after="0" w:line="244" w:lineRule="exact"/>
        <w:rPr>
          <w:sz w:val="20"/>
          <w:szCs w:val="20"/>
          <w:color w:val="auto"/>
        </w:rPr>
      </w:pPr>
    </w:p>
    <w:p>
      <w:pPr>
        <w:ind w:right="180"/>
        <w:spacing w:after="0" w:line="345" w:lineRule="auto"/>
        <w:rPr>
          <w:sz w:val="20"/>
          <w:szCs w:val="20"/>
          <w:color w:val="auto"/>
        </w:rPr>
      </w:pPr>
      <w:r>
        <w:rPr>
          <w:rFonts w:ascii="Arial" w:cs="Arial" w:eastAsia="Arial" w:hAnsi="Arial"/>
          <w:sz w:val="15"/>
          <w:szCs w:val="15"/>
          <w:color w:val="auto"/>
        </w:rPr>
        <w:t>Our shareholders’ equity of $26.5 million at September 30, 2008 declined approximately $5.7 million from June 30, 2008. During the quarter ending September 30, 2008, we repurchased 1,342,620 shares for approximately $6.8 million. The share repurchase was partially offset by net income of approximately $1.1 million.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6. Income Taxes</w:t>
      </w:r>
    </w:p>
    <w:p>
      <w:pPr>
        <w:spacing w:after="0" w:line="24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During our first fiscal quarter of 2009, we recorded approximately $121,000 related to unrecognized tax benefits that would favorably impact our effective tax rate if recognized. The total outstanding balance for liabilities related to unrecognized tax benefits at September 30, 2008 was $1.3 million of which $100,000 was associated with interest and penalties. We account for interest expense and penalties for unrecognized tax benefits as part of our income tax provision.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Contingent Liability</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have accrued for legal fees and costs of the probable amount the Company was able to estimate at September 30, 2008, of our contingent liability under indemnification agreements with two former officers. In accordance with Statement of Financial Accounting Standards No. 5, “Accounting for Contingencies”, we have accrued a total of $3.3 million, the unpaid balance of which was about $1.5 million at September 30, 2008 representing the probable amount that, as of the date of the financial statements, could be reasonably estimated of our contingent liability, through trial, under the indemnification agreements if required under applicable law. In accordance with SFAS No. 5, we will adjust our contingent liability, as necessary, to reflect the probable amount that can be reasonably estimated. Our actual liability may be higher or lower than the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Investments</w:t>
      </w:r>
    </w:p>
    <w:p>
      <w:pPr>
        <w:spacing w:after="0" w:line="244"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color w:val="auto"/>
        </w:rPr>
        <w:t>The following table displays the gross unrealized losses and fair value of our investments with unrealized losses that are not deemed to be other-than-temporarily impaired (in thousands) inclusive of the length of time the securities have been in a continuous unrealized loss position at September 30, 2008:</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4720" w:type="dxa"/>
            <w:vAlign w:val="bottom"/>
          </w:tcPr>
          <w:p>
            <w:pPr>
              <w:jc w:val="center"/>
              <w:ind w:right="15"/>
              <w:spacing w:after="0"/>
              <w:rPr>
                <w:sz w:val="20"/>
                <w:szCs w:val="20"/>
                <w:color w:val="auto"/>
              </w:rPr>
            </w:pPr>
            <w:r>
              <w:rPr>
                <w:rFonts w:ascii="Arial" w:cs="Arial" w:eastAsia="Arial" w:hAnsi="Arial"/>
                <w:sz w:val="17"/>
                <w:szCs w:val="17"/>
                <w:b w:val="1"/>
                <w:bCs w:val="1"/>
                <w:color w:val="auto"/>
                <w:w w:val="88"/>
              </w:rPr>
              <w:t>Description of Securities</w:t>
            </w:r>
          </w:p>
        </w:tc>
        <w:tc>
          <w:tcPr>
            <w:tcW w:w="3260" w:type="dxa"/>
            <w:vAlign w:val="bottom"/>
            <w:gridSpan w:val="3"/>
          </w:tcPr>
          <w:p>
            <w:pPr>
              <w:jc w:val="right"/>
              <w:ind w:right="435"/>
              <w:spacing w:after="0"/>
              <w:rPr>
                <w:sz w:val="20"/>
                <w:szCs w:val="20"/>
                <w:color w:val="auto"/>
              </w:rPr>
            </w:pPr>
            <w:r>
              <w:rPr>
                <w:rFonts w:ascii="Arial" w:cs="Arial" w:eastAsia="Arial" w:hAnsi="Arial"/>
                <w:sz w:val="17"/>
                <w:szCs w:val="17"/>
                <w:b w:val="1"/>
                <w:bCs w:val="1"/>
                <w:color w:val="auto"/>
              </w:rPr>
              <w:t>Total - All Less than 12 Months</w:t>
            </w:r>
          </w:p>
        </w:tc>
      </w:tr>
      <w:tr>
        <w:trPr>
          <w:trHeight w:val="221"/>
        </w:trPr>
        <w:tc>
          <w:tcPr>
            <w:tcW w:w="472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Fair Value</w:t>
            </w: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Unrealized Losses</w:t>
            </w:r>
          </w:p>
        </w:tc>
      </w:tr>
      <w:tr>
        <w:trPr>
          <w:trHeight w:val="226"/>
        </w:trPr>
        <w:tc>
          <w:tcPr>
            <w:tcW w:w="4720" w:type="dxa"/>
            <w:vAlign w:val="bottom"/>
            <w:shd w:val="clear" w:color="auto" w:fill="CCEEFF"/>
          </w:tcPr>
          <w:p>
            <w:pPr>
              <w:jc w:val="center"/>
              <w:ind w:right="15"/>
              <w:spacing w:after="0"/>
              <w:rPr>
                <w:sz w:val="20"/>
                <w:szCs w:val="20"/>
                <w:color w:val="auto"/>
              </w:rPr>
            </w:pPr>
            <w:r>
              <w:rPr>
                <w:rFonts w:ascii="Arial" w:cs="Arial" w:eastAsia="Arial" w:hAnsi="Arial"/>
                <w:sz w:val="17"/>
                <w:szCs w:val="17"/>
                <w:color w:val="auto"/>
                <w:w w:val="91"/>
              </w:rPr>
              <w:t>Investments: Auction Rate Securities and Corporate Bonds</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11,568</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w:t>
            </w: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2008, $12.2 million of investments were invested in auction rate securities ("ARSs") which were in accordance with our investment</w:t>
      </w:r>
    </w:p>
    <w:p>
      <w:pPr>
        <w:spacing w:after="0" w:line="21"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policy. Recently, auctions for these securities were not successful, resulting in our continuing to hold these securities and the issuers paying interest at the maximum contractual rate.</w:t>
      </w:r>
    </w:p>
    <w:p>
      <w:pPr>
        <w:spacing w:after="0" w:line="201"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While these failures in the auction process have affected our ability to access these funds in the near term, we do not believe that the long-term value of the underlying securities or collateral have been affected. Our ARSs are held at two different investment banks: UBS and Morgan Stanley. All but one of the ARS investments are</w:t>
      </w:r>
    </w:p>
    <w:p>
      <w:pPr>
        <w:spacing w:after="0" w:line="1" w:lineRule="exact"/>
        <w:rPr>
          <w:sz w:val="20"/>
          <w:szCs w:val="20"/>
          <w:color w:val="auto"/>
        </w:rPr>
      </w:pPr>
    </w:p>
    <w:p>
      <w:pPr>
        <w:jc w:val="both"/>
        <w:ind w:right="280" w:firstLine="2"/>
        <w:spacing w:after="0" w:line="257" w:lineRule="auto"/>
        <w:tabs>
          <w:tab w:leader="none" w:pos="413" w:val="left"/>
        </w:tabs>
        <w:numPr>
          <w:ilvl w:val="0"/>
          <w:numId w:val="2"/>
        </w:numPr>
        <w:rPr>
          <w:rFonts w:ascii="Arial" w:cs="Arial" w:eastAsia="Arial" w:hAnsi="Arial"/>
          <w:sz w:val="17"/>
          <w:szCs w:val="17"/>
          <w:color w:val="auto"/>
        </w:rPr>
      </w:pPr>
      <w:r>
        <w:rPr>
          <w:rFonts w:ascii="Arial" w:cs="Arial" w:eastAsia="Arial" w:hAnsi="Arial"/>
          <w:sz w:val="17"/>
          <w:szCs w:val="17"/>
          <w:color w:val="auto"/>
        </w:rPr>
        <w:t>and/or Aaa rated. The other ARS is A2/A rated. Due to the current market conditions, we evaluated the accounting treatment of our ARS investments. In our evaluation, we have considered SFAS No. 115, Accounting for Certain Investments in Debt and Equity Securities and related guidance issued by the FASB and the Securities and Exchange Commission.</w:t>
      </w:r>
    </w:p>
    <w:p>
      <w:pPr>
        <w:spacing w:after="0" w:line="20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Changes in the unrealized holding losses on our marketable securities are reported as a separate component of accumulated other comprehensive income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5"/>
          </w:tcPr>
          <w:p>
            <w:pPr>
              <w:jc w:val="right"/>
              <w:ind w:right="595"/>
              <w:spacing w:after="0"/>
              <w:rPr>
                <w:sz w:val="20"/>
                <w:szCs w:val="20"/>
                <w:color w:val="auto"/>
              </w:rPr>
            </w:pPr>
            <w:r>
              <w:rPr>
                <w:rFonts w:ascii="Arial" w:cs="Arial" w:eastAsia="Arial" w:hAnsi="Arial"/>
                <w:sz w:val="17"/>
                <w:szCs w:val="17"/>
                <w:b w:val="1"/>
                <w:bCs w:val="1"/>
                <w:color w:val="auto"/>
              </w:rPr>
              <w:t>Three Months Ended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w w:val="91"/>
              </w:rPr>
              <w:t>September 30,</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1"/>
              </w:rPr>
              <w:t>September 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2007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3740" w:type="dxa"/>
            <w:vAlign w:val="bottom"/>
          </w:tcPr>
          <w:p>
            <w:pPr>
              <w:ind w:left="140"/>
              <w:spacing w:after="0"/>
              <w:rPr>
                <w:sz w:val="20"/>
                <w:szCs w:val="20"/>
                <w:color w:val="auto"/>
              </w:rPr>
            </w:pPr>
            <w:r>
              <w:rPr>
                <w:rFonts w:ascii="Arial" w:cs="Arial" w:eastAsia="Arial" w:hAnsi="Arial"/>
                <w:sz w:val="17"/>
                <w:szCs w:val="17"/>
                <w:color w:val="auto"/>
              </w:rPr>
              <w:t>Unrealized holding (losses), in equity securities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tax benefit</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Balance, end of period</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(895)</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jc w:val="right"/>
              <w:ind w:right="195"/>
              <w:spacing w:after="0"/>
              <w:rPr>
                <w:sz w:val="20"/>
                <w:szCs w:val="20"/>
                <w:color w:val="auto"/>
              </w:rPr>
            </w:pPr>
            <w:r>
              <w:rPr>
                <w:rFonts w:ascii="Arial" w:cs="Arial" w:eastAsia="Arial" w:hAnsi="Arial"/>
                <w:sz w:val="17"/>
                <w:szCs w:val="17"/>
                <w:color w:val="auto"/>
              </w:rPr>
              <w:t>8</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6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30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10" w:name="page11"/>
    <w:bookmarkEnd w:id="10"/>
    <w:p>
      <w:pPr>
        <w:ind w:right="220"/>
        <w:spacing w:after="0" w:line="309" w:lineRule="auto"/>
        <w:rPr>
          <w:sz w:val="20"/>
          <w:szCs w:val="20"/>
          <w:color w:val="auto"/>
        </w:rPr>
      </w:pPr>
      <w:r>
        <w:rPr>
          <w:rFonts w:ascii="Arial" w:cs="Arial" w:eastAsia="Arial" w:hAnsi="Arial"/>
          <w:sz w:val="16"/>
          <w:szCs w:val="16"/>
          <w:color w:val="auto"/>
        </w:rPr>
        <w:t>During October 2008 we accepted offers to repurchase our ARSs, at par value, from the two investment banks that sold and continue to hold our ARSs. We believe we are eligible to participate in the offers and expect to sell them at par value in exchange for cash between November 2008 and January 2009.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gridSpan w:val="2"/>
          </w:tcPr>
          <w:p>
            <w:pPr>
              <w:spacing w:after="0"/>
              <w:rPr>
                <w:sz w:val="20"/>
                <w:szCs w:val="20"/>
                <w:color w:val="auto"/>
              </w:rPr>
            </w:pPr>
            <w:r>
              <w:rPr>
                <w:rFonts w:ascii="Arial" w:cs="Arial" w:eastAsia="Arial" w:hAnsi="Arial"/>
                <w:sz w:val="17"/>
                <w:szCs w:val="17"/>
                <w:b w:val="1"/>
                <w:bCs w:val="1"/>
                <w:color w:val="auto"/>
              </w:rPr>
              <w:t>9. Comprehensive 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35"/>
        </w:trPr>
        <w:tc>
          <w:tcPr>
            <w:tcW w:w="6240" w:type="dxa"/>
            <w:vAlign w:val="bottom"/>
            <w:gridSpan w:val="2"/>
          </w:tcPr>
          <w:p>
            <w:pPr>
              <w:spacing w:after="0"/>
              <w:rPr>
                <w:sz w:val="20"/>
                <w:szCs w:val="20"/>
                <w:color w:val="auto"/>
              </w:rPr>
            </w:pPr>
            <w:r>
              <w:rPr>
                <w:rFonts w:ascii="Arial" w:cs="Arial" w:eastAsia="Arial" w:hAnsi="Arial"/>
                <w:sz w:val="17"/>
                <w:szCs w:val="17"/>
                <w:color w:val="auto"/>
              </w:rPr>
              <w:t>The components of comprehensive income (loss) are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2"/>
        </w:trPr>
        <w:tc>
          <w:tcPr>
            <w:tcW w:w="2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7"/>
                <w:szCs w:val="17"/>
                <w:b w:val="1"/>
                <w:bCs w:val="1"/>
                <w:color w:val="auto"/>
              </w:rPr>
              <w:t>Three Months Ended</w:t>
            </w:r>
          </w:p>
        </w:tc>
      </w:tr>
      <w:tr>
        <w:trPr>
          <w:trHeight w:val="229"/>
        </w:trPr>
        <w:tc>
          <w:tcPr>
            <w:tcW w:w="23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1"/>
              </w:rPr>
              <w:t>September 30,</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b w:val="1"/>
                <w:bCs w:val="1"/>
                <w:color w:val="auto"/>
                <w:w w:val="89"/>
              </w:rPr>
              <w:t>September 30,</w:t>
            </w:r>
          </w:p>
        </w:tc>
      </w:tr>
      <w:tr>
        <w:trPr>
          <w:trHeight w:val="237"/>
        </w:trPr>
        <w:tc>
          <w:tcPr>
            <w:tcW w:w="23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2008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2007</w:t>
            </w:r>
          </w:p>
        </w:tc>
      </w:tr>
      <w:tr>
        <w:trPr>
          <w:trHeight w:val="205"/>
        </w:trPr>
        <w:tc>
          <w:tcPr>
            <w:tcW w:w="230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(924)</w:t>
            </w:r>
          </w:p>
        </w:tc>
      </w:tr>
      <w:tr>
        <w:trPr>
          <w:trHeight w:val="205"/>
        </w:trPr>
        <w:tc>
          <w:tcPr>
            <w:tcW w:w="23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5"/>
        </w:trPr>
        <w:tc>
          <w:tcPr>
            <w:tcW w:w="230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Unrealized gain (loss) on available-for-sale investment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11"/>
        </w:trPr>
        <w:tc>
          <w:tcPr>
            <w:tcW w:w="230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7"/>
                <w:szCs w:val="17"/>
                <w:color w:val="auto"/>
              </w:rPr>
              <w:t>Income tax benefit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r>
      <w:tr>
        <w:trPr>
          <w:trHeight w:val="225"/>
        </w:trPr>
        <w:tc>
          <w:tcPr>
            <w:tcW w:w="230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(924)</w:t>
            </w:r>
          </w:p>
        </w:tc>
      </w:tr>
      <w:tr>
        <w:trPr>
          <w:trHeight w:val="20"/>
        </w:trPr>
        <w:tc>
          <w:tcPr>
            <w:tcW w:w="230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Fair Value Measurements</w:t>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adopted SFAS No. 157 “Fair Value Measurements” (as impacted by SFAS 157-2) on July 1, 2008. This statement defines fair value, establishes a framework to measure fair value, and expands disclosures about fair value measurements. SFAS 157 defines fair value as the price that could be received upon the sale of an asset or paid to transfer a liability in an orderly transaction between market participants at the measurement date. SFAS 157 establishes a fair value hierarchy used to prioritize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9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Level 1: Valuations based on quoted prices in active markets for identical instruments that we are able to access. Since valuations are based on quoted prices that are readily and regularly available in an active market, valuation of these products does not entail a significant degree of judgment.</w:t>
      </w:r>
    </w:p>
    <w:p>
      <w:pPr>
        <w:spacing w:after="0" w:line="191" w:lineRule="exact"/>
        <w:rPr>
          <w:sz w:val="20"/>
          <w:szCs w:val="20"/>
          <w:color w:val="auto"/>
        </w:rPr>
      </w:pPr>
    </w:p>
    <w:p>
      <w:pPr>
        <w:ind w:right="360"/>
        <w:spacing w:after="0" w:line="309" w:lineRule="auto"/>
        <w:rPr>
          <w:sz w:val="20"/>
          <w:szCs w:val="20"/>
          <w:color w:val="auto"/>
        </w:rPr>
      </w:pPr>
      <w:r>
        <w:rPr>
          <w:rFonts w:ascii="Arial" w:cs="Arial" w:eastAsia="Arial" w:hAnsi="Arial"/>
          <w:sz w:val="16"/>
          <w:szCs w:val="16"/>
          <w:color w:val="auto"/>
        </w:rPr>
        <w:t>Level 2: Valuations based on quoted prices in active markets for instruments that are similar, or quoted prices in markets that are not active for identical or similar instruments, and model-derived valuations in which all significant inputs and significant value drivers are observable in active markets.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Level 3: Valuations based on inputs that are unobservable and significant to the overall fair value measurement.</w:t>
      </w:r>
    </w:p>
    <w:p>
      <w:pPr>
        <w:spacing w:after="0" w:line="240" w:lineRule="exact"/>
        <w:rPr>
          <w:sz w:val="20"/>
          <w:szCs w:val="20"/>
          <w:color w:val="auto"/>
        </w:rPr>
      </w:pPr>
    </w:p>
    <w:p>
      <w:pPr>
        <w:jc w:val="both"/>
        <w:ind w:right="260"/>
        <w:spacing w:after="0" w:line="264" w:lineRule="auto"/>
        <w:rPr>
          <w:sz w:val="20"/>
          <w:szCs w:val="20"/>
          <w:color w:val="auto"/>
        </w:rPr>
      </w:pPr>
      <w:r>
        <w:rPr>
          <w:rFonts w:ascii="Arial" w:cs="Arial" w:eastAsia="Arial" w:hAnsi="Arial"/>
          <w:sz w:val="17"/>
          <w:szCs w:val="17"/>
          <w:color w:val="auto"/>
        </w:rPr>
        <w:t>As of September 30, 2008, financial assets utilizing Level 1 inputs included short term investment securities traded on active securities exchanges. Financial assets utilizing Level 2 inputs included long term investments in auction rate securities. We did not have any financial assets utilizing Level 3 inputs. We did not have any liabilities that were required to be measured at fair value as of September 30, 2008.</w:t>
      </w:r>
    </w:p>
    <w:p>
      <w:pPr>
        <w:spacing w:after="0" w:line="200"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Fair value is a market-based measure considered from the perspective of a market participant who holds the asset or owes the liability rather than an entity-specific measure. Therefore, even when market assumptions are not readily available, our own assumptions are set to reflect those that market participants would use in pricing the asset or liability at the measurement date. We use prices and inputs that are current as of the measurement date, including during periods of market dislocation, such as the recent illiquidity in the auction rate securities market. In periods of market dislocation, the observability of prices and inputs may be reduced for many instruments. This condition has caused, and in the future may cause, our financial instruments to be reclassified from Level 1 to Level 2.</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SFAS No. 157 requires that the valuation techniques used by us are consistent with at least one of the three possible approaches: the market approach, income approach and/or cost approach. Our Level 1 valuations are based on the market approach and consist of quoted prices for identical items on active securities exchanges. Our Level 2 valuations are based on the income approach, specifically, discounted cash flow analyses which utilize significant inputs based on observable inputs.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following table provides our financial assets carried at fair value measured on a recurring basis as of September 30, 2008 (in thousands):</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color w:val="auto"/>
              </w:rPr>
              <w:t>(in thousands)</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60"/>
              <w:spacing w:after="0" w:line="193" w:lineRule="exact"/>
              <w:rPr>
                <w:sz w:val="20"/>
                <w:szCs w:val="20"/>
                <w:color w:val="auto"/>
              </w:rPr>
            </w:pPr>
            <w:r>
              <w:rPr>
                <w:rFonts w:ascii="Arial" w:cs="Arial" w:eastAsia="Arial" w:hAnsi="Arial"/>
                <w:sz w:val="17"/>
                <w:szCs w:val="17"/>
                <w:color w:val="auto"/>
                <w:w w:val="90"/>
              </w:rPr>
              <w:t>Quoted Prices in</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Active Markets</w:t>
            </w: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Significant other</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for Identical</w:t>
            </w:r>
          </w:p>
        </w:tc>
        <w:tc>
          <w:tcPr>
            <w:tcW w:w="1360" w:type="dxa"/>
            <w:vAlign w:val="bottom"/>
            <w:gridSpan w:val="3"/>
          </w:tcPr>
          <w:p>
            <w:pPr>
              <w:jc w:val="right"/>
              <w:ind w:right="80"/>
              <w:spacing w:after="0"/>
              <w:rPr>
                <w:sz w:val="20"/>
                <w:szCs w:val="20"/>
                <w:color w:val="auto"/>
              </w:rPr>
            </w:pPr>
            <w:r>
              <w:rPr>
                <w:rFonts w:ascii="Arial" w:cs="Arial" w:eastAsia="Arial" w:hAnsi="Arial"/>
                <w:sz w:val="17"/>
                <w:szCs w:val="17"/>
                <w:color w:val="auto"/>
                <w:w w:val="94"/>
              </w:rPr>
              <w:t>observable inputs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Assets (Level 1)</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(Level 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Short-term available-for-sale securities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Long-term available-for-sale securities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10,861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10,861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10,861</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Long term investment securities in the table above that are measured at fair value using significant other observable inputs (Level 2) include available-for-sale auction rate securities (See “Investments,” Note 8). These auction rate securities are valued based on the income approach, specifically, discounted cash flow analyses which utilize significant inputs including interest rate, security rating, and expected maturity dates.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Recent Accounting Pronouncements</w:t>
      </w:r>
    </w:p>
    <w:p>
      <w:pPr>
        <w:spacing w:after="0" w:line="24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We adopted the requirements of SFAS 157 on July 1, 2008, the beginning our of 2009 fiscal year.</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February 2007, the FASB issued SFAS 159 “The Fair Value Option for Financial Assets and Financial Liabilities” (“SFAS” 159). This statement permits entities to choose to measure many financial instruments and certain other items at fair value that were not previously required to be measured at fair value. The objective of SFAS 159 is to improve financial reporting by providing entities with the opportunity to mitigate volatility in reported earnings caused by measuring related assets and liabilities differently without having to apply complex hedge accounting provisions. SFAS 159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w:t>
      </w:r>
    </w:p>
    <w:p>
      <w:pPr>
        <w:spacing w:after="0" w:line="3" w:lineRule="exact"/>
        <w:rPr>
          <w:sz w:val="20"/>
          <w:szCs w:val="20"/>
          <w:color w:val="auto"/>
        </w:rPr>
      </w:pPr>
    </w:p>
    <w:p>
      <w:pPr>
        <w:ind w:right="220"/>
        <w:spacing w:after="0" w:line="330" w:lineRule="auto"/>
        <w:rPr>
          <w:sz w:val="20"/>
          <w:szCs w:val="20"/>
          <w:color w:val="auto"/>
        </w:rPr>
      </w:pPr>
      <w:r>
        <w:rPr>
          <w:rFonts w:ascii="Arial" w:cs="Arial" w:eastAsia="Arial" w:hAnsi="Arial"/>
          <w:sz w:val="15"/>
          <w:szCs w:val="15"/>
          <w:color w:val="auto"/>
        </w:rPr>
        <w:t>2007. We adopted SFAS 159 on July 1, 2008, and elected not to establish the fair market option allowed for financial instruments and certain other items under this statement. Therefore, our adoption of this statement did not impact our financial statements during the three month period ended September 30, 2008.</w:t>
      </w:r>
    </w:p>
    <w:p>
      <w:pPr>
        <w:spacing w:after="0" w:line="15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In December 2007, the FASB issued SFAS No. 141 (revised 2007) “Business Combinations” (SFAS 141R). SFAS 141R establishes principles and requirements for how the acquirer of a business recognizes and measures in its financial statements the identifiable assets acquired, the liabilities assumed, and any noncontrolling interest in the acquiree and the goodwill acquired. SFAS 141R establishes disclosure requirements to enable the evaluation of the nature and financial effects of the business combination. SFAS 141R is effective for the financial statements issued for fiscal years beginning after December 15, 2008. We are currently evaluating the potential impact, if any, that this statement may have on our consolidated financial position and results of operations.</w:t>
      </w:r>
    </w:p>
    <w:p>
      <w:pPr>
        <w:spacing w:after="0" w:line="19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In December 2007, the FASB issued SFAS No. 161 “Disclosures about Derivative Instruments and Hedging Activities” (“SFAS 161”). SFAS 161 requires additional disclosures related to how and why an entity uses derivative instruments and hedges, as well as how derivative instruments and hedges are accounted for in an entity’s financial statements. SFAS 161 is effective for financial statements issued for fiscal years beginning after November 15, 2008. We are currently evaluating the potential impact, if any, that this statement may have on our consolidated financial position and results of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12. Subsequent Events</w:t>
      </w:r>
    </w:p>
    <w:p>
      <w:pPr>
        <w:spacing w:after="0" w:line="240"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color w:val="auto"/>
        </w:rPr>
        <w:t xml:space="preserve">Auction Rate Securities. </w:t>
      </w:r>
      <w:r>
        <w:rPr>
          <w:rFonts w:ascii="Arial" w:cs="Arial" w:eastAsia="Arial" w:hAnsi="Arial"/>
          <w:sz w:val="16"/>
          <w:szCs w:val="16"/>
          <w:color w:val="auto"/>
        </w:rPr>
        <w:t>During October 2008 we accepted offers to repurchase our Auction Rate Securities (ARSs), at par value, from the two investment banks that</w:t>
      </w:r>
      <w:r>
        <w:rPr>
          <w:rFonts w:ascii="Arial" w:cs="Arial" w:eastAsia="Arial" w:hAnsi="Arial"/>
          <w:sz w:val="16"/>
          <w:szCs w:val="16"/>
          <w:b w:val="1"/>
          <w:bCs w:val="1"/>
          <w:color w:val="auto"/>
        </w:rPr>
        <w:t xml:space="preserve"> </w:t>
      </w:r>
      <w:r>
        <w:rPr>
          <w:rFonts w:ascii="Arial" w:cs="Arial" w:eastAsia="Arial" w:hAnsi="Arial"/>
          <w:sz w:val="16"/>
          <w:szCs w:val="16"/>
          <w:color w:val="auto"/>
        </w:rPr>
        <w:t>sold and continue to hold our ARSs. We believe we are eligible to participate in the offers and expect to sell them at par value in exchange for cash between November 2008 and January 2009. The total par value of our ARSs is approximately $12.2 million. The two investment banks who have made the repurchase offers, UBS and Morgan Stanley, have each represented they have the financial resources to perform their obligations under the offers. However, there can be no assurance that either one or both investment banks can maintain the financial resources to satisfy their obligations under the repurchase offers.</w:t>
      </w:r>
    </w:p>
    <w:p>
      <w:pPr>
        <w:spacing w:after="0" w:line="186"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color w:val="auto"/>
        </w:rPr>
        <w:t xml:space="preserve">Theft of Intellectual Property. </w:t>
      </w:r>
      <w:r>
        <w:rPr>
          <w:rFonts w:ascii="Arial" w:cs="Arial" w:eastAsia="Arial" w:hAnsi="Arial"/>
          <w:sz w:val="17"/>
          <w:szCs w:val="17"/>
          <w:color w:val="auto"/>
        </w:rPr>
        <w:t>On November 5, 2008, the jury returned a verdict in our favor in connection with our lawsuit against Biamp Systems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Versatile DSP, Inc., WideBand Solutions, Inc. and three of WideBand’s principals. Accordingly, the jury awarded us approximately $3.5 million in compensatory damages and $7.0 million in punitive damages. Among other things, the jury found that all of the Defendants willfully and maliciously misappropriated our trade secrets. Based on that finding, the court may also award us exemplary damages and reasonable attorneys’ fees. The court left in place the previously-entered preliminary injunction, pending our application for entry of a permanent injunction against the Defendants. While we intend to vigorously pursue collection of the damage awards, collectability of the judgments cannot be guaranteed. Furthermore, the jury’s verdict and damage awards are subject to appeal by one or more of the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4"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auto"/>
        </w:rPr>
        <w:t>This report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revenues among a few customers, products and/or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w:t>
      </w:r>
      <w:r>
        <w:rPr>
          <w:rFonts w:ascii="Arial" w:cs="Arial" w:eastAsia="Arial" w:hAnsi="Arial"/>
          <w:sz w:val="15"/>
          <w:szCs w:val="15"/>
          <w:color w:val="auto"/>
        </w:rPr>
        <w:t>10-K/A,</w:t>
      </w:r>
      <w:r>
        <w:rPr>
          <w:rFonts w:ascii="Arial" w:cs="Arial" w:eastAsia="Arial" w:hAnsi="Arial"/>
          <w:sz w:val="15"/>
          <w:szCs w:val="15"/>
          <w:i w:val="1"/>
          <w:iCs w:val="1"/>
          <w:color w:val="auto"/>
        </w:rPr>
        <w:t xml:space="preserve"> for the year ended June 30, 2008. All subsequent forward-looking statements attributable to us or persons acting on our behalf are expressly qualified in their entirety by these cautionary</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i w:val="1"/>
          <w:iCs w:val="1"/>
          <w:color w:val="auto"/>
        </w:rPr>
        <w:t>statements. Additional factors that may have a direct bearing on our operating results are discussed in Part I, Item 1A “Risk Factors” in our Annual Report on Form 10-K/A for the year ended June 30, 2008.</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44"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We are an audio conferencing products company. We develop, manufacture, market, and service a comprehensive line of high-quality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19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end-users include some of the world’s largest and most prestigious companies and institutions,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We also sell products on a limited basis directly to dealers, systems integrators, value-added resellers, and end-users.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4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Revenue and Associated Allowances for Revenue Adjustments and Doubtful Accounts</w:t>
      </w:r>
    </w:p>
    <w:p>
      <w:pPr>
        <w:spacing w:after="0" w:line="244"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provide a right of return on product sales to distributors. Accordingly, revenue from product sales to distributors is not recognized until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 sold could differ from actual amounts, we believe that our calculations are indicative of actual levels of inventory in the distribution channel. The amounts of deferred cost of goods sold were included in consigned inventory. The following table details the amount of deferred revenue, cost of goods sold, and gross profit at each quarter end for the 12-month period ended September 30, 2008 (in thousands).</w:t>
      </w:r>
    </w:p>
    <w:p>
      <w:pPr>
        <w:spacing w:after="0" w:line="184" w:lineRule="exact"/>
        <w:rPr>
          <w:sz w:val="20"/>
          <w:szCs w:val="20"/>
          <w:color w:val="auto"/>
        </w:rPr>
      </w:pPr>
    </w:p>
    <w:tbl>
      <w:tblPr>
        <w:tblLayout w:type="fixed"/>
        <w:tblInd w:w="28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Deferred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Cost of</w:t>
            </w:r>
          </w:p>
        </w:tc>
        <w:tc>
          <w:tcPr>
            <w:tcW w:w="8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4"/>
              </w:rPr>
              <w:t>Deferred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Arial" w:cs="Arial" w:eastAsia="Arial" w:hAnsi="Arial"/>
                <w:sz w:val="17"/>
                <w:szCs w:val="17"/>
                <w:b w:val="1"/>
                <w:bCs w:val="1"/>
                <w:color w:val="auto"/>
              </w:rPr>
              <w:t>Deferred</w:t>
            </w:r>
          </w:p>
        </w:tc>
        <w:tc>
          <w:tcPr>
            <w:tcW w:w="10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Goods</w:t>
            </w:r>
          </w:p>
        </w:tc>
        <w:tc>
          <w:tcPr>
            <w:tcW w:w="12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5"/>
              </w:rPr>
              <w:t>Gross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80" w:type="dxa"/>
            <w:vAlign w:val="bottom"/>
            <w:gridSpan w:val="3"/>
          </w:tcPr>
          <w:p>
            <w:pPr>
              <w:ind w:left="80"/>
              <w:spacing w:after="0"/>
              <w:rPr>
                <w:sz w:val="20"/>
                <w:szCs w:val="20"/>
                <w:color w:val="auto"/>
              </w:rPr>
            </w:pPr>
            <w:r>
              <w:rPr>
                <w:rFonts w:ascii="Arial" w:cs="Arial" w:eastAsia="Arial" w:hAnsi="Arial"/>
                <w:sz w:val="17"/>
                <w:szCs w:val="17"/>
                <w:b w:val="1"/>
                <w:bCs w:val="1"/>
                <w:color w:val="auto"/>
              </w:rPr>
              <w:t>Revenue</w:t>
            </w:r>
          </w:p>
        </w:tc>
        <w:tc>
          <w:tcPr>
            <w:tcW w:w="10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Sold</w:t>
            </w:r>
          </w:p>
        </w:tc>
        <w:tc>
          <w:tcPr>
            <w:tcW w:w="120" w:type="dxa"/>
            <w:vAlign w:val="bottom"/>
          </w:tcPr>
          <w:p>
            <w:pPr>
              <w:spacing w:after="0"/>
              <w:rPr>
                <w:sz w:val="19"/>
                <w:szCs w:val="19"/>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Profit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2008</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7"/>
                <w:szCs w:val="17"/>
                <w:color w:val="auto"/>
              </w:rPr>
              <w:t>June 30, 2008</w:t>
            </w:r>
          </w:p>
        </w:tc>
        <w:tc>
          <w:tcPr>
            <w:tcW w:w="2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4,547</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1,719</w:t>
            </w:r>
          </w:p>
        </w:tc>
        <w:tc>
          <w:tcPr>
            <w:tcW w:w="1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2,828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March 31, 2008</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1,757</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7"/>
                <w:szCs w:val="17"/>
                <w:color w:val="auto"/>
              </w:rPr>
              <w:t>December 31, 2007</w:t>
            </w:r>
          </w:p>
        </w:tc>
        <w:tc>
          <w:tcPr>
            <w:tcW w:w="2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4,980</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1,859</w:t>
            </w:r>
          </w:p>
        </w:tc>
        <w:tc>
          <w:tcPr>
            <w:tcW w:w="1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3,121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2007</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5,875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2,149</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3,726</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offer rebates and market development funds in some combination to certain of our distributors, dealers/resellers, and end-users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w:t>
      </w:r>
    </w:p>
    <w:p>
      <w:pPr>
        <w:spacing w:after="0" w:line="18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Accounting for Income Taxes</w:t>
      </w:r>
    </w:p>
    <w:p>
      <w:pPr>
        <w:spacing w:after="0" w:line="24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Lower-of-Cost or Market Adjustments and Reserves for Excess and Obsolete Inventory</w:t>
      </w:r>
    </w:p>
    <w:p>
      <w:pPr>
        <w:spacing w:after="0" w:line="24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account for our inventory on a first-in, first-out basis, and make appropriate adjustments on a quarterly basis to write-down the value of inventory to the lower-of-cost or market.</w:t>
      </w:r>
    </w:p>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4"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 xml:space="preserve">We account for stock-based compensation in accordance with SFAS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Under the fair value recognition provisions of this statement, we measure share-based compensation cost at the grant date based on the value of the award and is recognized as expense over the vesting period. Judgment is required in estimating the amount of share-based awards that are expected to be forfeited. If actual results differ significantly from these estimates, stock-based compensation expense and our results of operations could be materially impacted.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44" w:lineRule="exact"/>
        <w:rPr>
          <w:sz w:val="20"/>
          <w:szCs w:val="20"/>
          <w:color w:val="auto"/>
        </w:rPr>
      </w:pPr>
    </w:p>
    <w:p>
      <w:pPr>
        <w:ind w:right="360"/>
        <w:spacing w:after="0" w:line="345" w:lineRule="auto"/>
        <w:rPr>
          <w:sz w:val="20"/>
          <w:szCs w:val="20"/>
          <w:color w:val="auto"/>
        </w:rPr>
      </w:pPr>
      <w:r>
        <w:rPr>
          <w:rFonts w:ascii="Arial" w:cs="Arial" w:eastAsia="Arial" w:hAnsi="Arial"/>
          <w:sz w:val="15"/>
          <w:szCs w:val="15"/>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725"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ANALYSIS OF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months or the first fiscal quarter (“1Q”) ended September 30, 2008 and 2007</w:t>
      </w:r>
    </w:p>
    <w:p>
      <w:pPr>
        <w:spacing w:after="0" w:line="24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(in thousands) for the three months ended September 30, 2008 and 2007, together with the percentage of total revenue which each such item represents:</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7"/>
          </w:tcPr>
          <w:p>
            <w:pPr>
              <w:ind w:left="300"/>
              <w:spacing w:after="0"/>
              <w:rPr>
                <w:sz w:val="20"/>
                <w:szCs w:val="20"/>
                <w:color w:val="auto"/>
              </w:rPr>
            </w:pPr>
            <w:r>
              <w:rPr>
                <w:rFonts w:ascii="Arial" w:cs="Arial" w:eastAsia="Arial" w:hAnsi="Arial"/>
                <w:sz w:val="17"/>
                <w:szCs w:val="17"/>
                <w:b w:val="1"/>
                <w:bCs w:val="1"/>
                <w:color w:val="auto"/>
              </w:rPr>
              <w:t>Three Months Ended</w:t>
            </w: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(in thousands)</w:t>
            </w: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4"/>
          </w:tcPr>
          <w:p>
            <w:pPr>
              <w:jc w:val="center"/>
              <w:ind w:right="400"/>
              <w:spacing w:after="0" w:line="189" w:lineRule="exact"/>
              <w:rPr>
                <w:sz w:val="20"/>
                <w:szCs w:val="20"/>
                <w:color w:val="auto"/>
              </w:rPr>
            </w:pPr>
            <w:r>
              <w:rPr>
                <w:rFonts w:ascii="Arial" w:cs="Arial" w:eastAsia="Arial" w:hAnsi="Arial"/>
                <w:sz w:val="17"/>
                <w:szCs w:val="17"/>
                <w:b w:val="1"/>
                <w:bCs w:val="1"/>
                <w:color w:val="auto"/>
                <w:w w:val="89"/>
              </w:rPr>
              <w:t>September 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w w:val="89"/>
              </w:rPr>
              <w:t>September 30,</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2007</w:t>
            </w: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7"/>
                <w:szCs w:val="17"/>
                <w:b w:val="1"/>
                <w:bCs w:val="1"/>
                <w:color w:val="auto"/>
                <w:w w:val="89"/>
              </w:rPr>
              <w:t>% of Revenue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 of Revenue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70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10,258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9,442</w:t>
            </w:r>
          </w:p>
        </w:tc>
        <w:tc>
          <w:tcPr>
            <w:tcW w:w="5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ind w:left="280"/>
              <w:spacing w:after="0"/>
              <w:rPr>
                <w:sz w:val="20"/>
                <w:szCs w:val="20"/>
                <w:color w:val="auto"/>
              </w:rPr>
            </w:pPr>
            <w:r>
              <w:rPr>
                <w:rFonts w:ascii="Arial" w:cs="Arial" w:eastAsia="Arial" w:hAnsi="Arial"/>
                <w:sz w:val="17"/>
                <w:szCs w:val="17"/>
                <w:color w:val="auto"/>
              </w:rPr>
              <w:t>Total cost of goods sold</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3,625</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4,299</w:t>
            </w:r>
          </w:p>
        </w:tc>
        <w:tc>
          <w:tcPr>
            <w:tcW w:w="5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6,633</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5,143</w:t>
            </w:r>
          </w:p>
        </w:tc>
        <w:tc>
          <w:tcPr>
            <w:tcW w:w="5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ind w:left="140"/>
              <w:spacing w:after="0"/>
              <w:rPr>
                <w:sz w:val="20"/>
                <w:szCs w:val="20"/>
                <w:color w:val="auto"/>
              </w:rPr>
            </w:pPr>
            <w:r>
              <w:rPr>
                <w:rFonts w:ascii="Arial" w:cs="Arial" w:eastAsia="Arial" w:hAnsi="Arial"/>
                <w:sz w:val="17"/>
                <w:szCs w:val="17"/>
                <w:color w:val="auto"/>
              </w:rPr>
              <w:t>Sales &amp; marketing</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1,977</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1,601</w:t>
            </w:r>
          </w:p>
        </w:tc>
        <w:tc>
          <w:tcPr>
            <w:tcW w:w="5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product development</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1,756</w:t>
            </w:r>
          </w:p>
        </w:tc>
        <w:tc>
          <w:tcPr>
            <w:tcW w:w="5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1,072</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2,895</w:t>
            </w:r>
          </w:p>
        </w:tc>
        <w:tc>
          <w:tcPr>
            <w:tcW w:w="5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operating expenses</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4,825</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6,252</w:t>
            </w:r>
          </w:p>
        </w:tc>
        <w:tc>
          <w:tcPr>
            <w:tcW w:w="5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w:t>
      </w:r>
    </w:p>
    <w:p>
      <w:pPr>
        <w:spacing w:after="0" w:line="24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Revenue for 1Q 2009 increased 9%, or approximately $816,000, compared to 1Q 2008. The 1Q 2009 increase was due primarily to continued growth in our professional audio and tabletop conferencing products which collectively increased approximately $850,000 over 1Q 2008. The 1Q 2009 increases were partially offset by an approximate $140,000 increase in our marketing related programs (e.g. marketing development funds, rebates, etc.) which, in accordance with generally accepted accounting principles, are accounted for as a reduction in revenue.</w:t>
      </w:r>
    </w:p>
    <w:p>
      <w:pPr>
        <w:spacing w:after="0" w:line="203"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1Q 2009 and 2008, the net change in deferred revenue based on the net movement of inventory in the channel was a net recognition of $115,000 and net deferral of $1 million in revenue,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Costs of Goods Sold and Gross Profit</w:t>
      </w:r>
    </w:p>
    <w:p>
      <w:pPr>
        <w:spacing w:after="0" w:line="244"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Costs of goods sold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gross profit margin (GPM), gross profit as a percentage of sales, was 65% and 54% in 1Q 2009 and 1Q 2008, respectively. 1Q 2009 GPM was significantly higher than in the same period of 2008 due primarily to a favorable mix of higher margin product revenue in 1Q 2009, led by our professional audio conferencing products, in addition to product cost efficiencies, lower inventory obsolescence reserve requirements and lower unfavorable manufacturing variances.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auto"/>
        </w:rPr>
        <w:t>Operating Expenses</w:t>
      </w:r>
    </w:p>
    <w:p>
      <w:pPr>
        <w:spacing w:after="0" w:line="244"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1Q 2009 operating expenses were $4.8 million, a decrease of $1.4 million, or 23%, from $6.3 million in 1Q 2008. The following is a more detailed discussion of expenses related to sales and marketing, general and administrative, and research and product development.</w:t>
      </w:r>
    </w:p>
    <w:p>
      <w:pPr>
        <w:spacing w:after="0" w:line="187"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b w:val="1"/>
          <w:bCs w:val="1"/>
          <w:u w:val="single" w:color="auto"/>
          <w:color w:val="auto"/>
        </w:rPr>
        <w:t>Sales and Marketing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S&amp;M expenses include selling, customer service, and marketing expenses such as employee-related costs, allocations of overhead</w:t>
      </w:r>
      <w:r>
        <w:rPr>
          <w:rFonts w:ascii="Arial" w:cs="Arial" w:eastAsia="Arial" w:hAnsi="Arial"/>
          <w:sz w:val="15"/>
          <w:szCs w:val="15"/>
          <w:b w:val="1"/>
          <w:bCs w:val="1"/>
          <w:color w:val="auto"/>
        </w:rPr>
        <w:t xml:space="preserve"> </w:t>
      </w:r>
      <w:r>
        <w:rPr>
          <w:rFonts w:ascii="Arial" w:cs="Arial" w:eastAsia="Arial" w:hAnsi="Arial"/>
          <w:sz w:val="15"/>
          <w:szCs w:val="15"/>
          <w:color w:val="auto"/>
        </w:rPr>
        <w:t>expenses, trade shows, and other advertising and selling expenses. 1Q 2009 S&amp;M expenses increased approximately $376,000, or 23%, to $2.0 million compared to 1Q 2008 expenses of $1.6 million. As a percentage of revenue, 1Q 2009 and 2008 marketing and selling expenses were 19% and 17%, respectively. The 1Q 2009 increase in S&amp;M expenses over 1Q 2008 was due primarily to increased sales commissions paid to independent manufacturer sales representatives. During 1Q 2009 we began paying certain independent sales representatives commissions directly. These were formerly paid by certain our distributors.</w:t>
      </w:r>
    </w:p>
    <w:p>
      <w:pPr>
        <w:spacing w:after="0" w:line="173"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b w:val="1"/>
          <w:bCs w:val="1"/>
          <w:u w:val="single" w:color="auto"/>
          <w:color w:val="auto"/>
        </w:rPr>
        <w:t>Research and Development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R&amp;D expenses include research and development and product line management, including employee-related costs, outside</w:t>
      </w:r>
      <w:r>
        <w:rPr>
          <w:rFonts w:ascii="Arial" w:cs="Arial" w:eastAsia="Arial" w:hAnsi="Arial"/>
          <w:sz w:val="15"/>
          <w:szCs w:val="15"/>
          <w:b w:val="1"/>
          <w:bCs w:val="1"/>
          <w:color w:val="auto"/>
        </w:rPr>
        <w:t xml:space="preserve"> </w:t>
      </w:r>
      <w:r>
        <w:rPr>
          <w:rFonts w:ascii="Arial" w:cs="Arial" w:eastAsia="Arial" w:hAnsi="Arial"/>
          <w:sz w:val="15"/>
          <w:szCs w:val="15"/>
          <w:color w:val="auto"/>
        </w:rPr>
        <w:t>services, expensed materials, depreciation, and an allocation of overhead expenses. R&amp;D expenses of $1.8 million were about the same in both 1Q 2009 and 2008. As a percentage of revenue, 1Q 2009 and 2008 R&amp;D expenses were 17% and 19%, respectively. The 1Q 2009 percentage decrease was due to our higher 1Q</w:t>
      </w:r>
    </w:p>
    <w:p>
      <w:pPr>
        <w:spacing w:after="0"/>
        <w:rPr>
          <w:sz w:val="20"/>
          <w:szCs w:val="20"/>
          <w:color w:val="auto"/>
        </w:rPr>
      </w:pPr>
      <w:r>
        <w:rPr>
          <w:rFonts w:ascii="Arial" w:cs="Arial" w:eastAsia="Arial" w:hAnsi="Arial"/>
          <w:sz w:val="17"/>
          <w:szCs w:val="17"/>
          <w:color w:val="auto"/>
        </w:rPr>
        <w:t>2009 revenue.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 costs</w:t>
      </w:r>
      <w:r>
        <w:rPr>
          <w:rFonts w:ascii="Arial" w:cs="Arial" w:eastAsia="Arial" w:hAnsi="Arial"/>
          <w:sz w:val="16"/>
          <w:szCs w:val="16"/>
          <w:b w:val="1"/>
          <w:bCs w:val="1"/>
          <w:color w:val="auto"/>
        </w:rPr>
        <w:t xml:space="preserve"> </w:t>
      </w:r>
      <w:r>
        <w:rPr>
          <w:rFonts w:ascii="Arial" w:cs="Arial" w:eastAsia="Arial" w:hAnsi="Arial"/>
          <w:sz w:val="16"/>
          <w:szCs w:val="16"/>
          <w:color w:val="auto"/>
        </w:rPr>
        <w:t>and corporate administrative costs, including finance and human resources. 1Q 2009 G&amp;A expenses decreased $1.8 million to $1.1 million compared to 1Q 2008 expenses of $2.9 million. 1Q 2009 and 2008 G&amp;A expenses were 10% and 31% of sales, respectively. The significant 1Q 2009 decrease was primarily due to the 1Q 2008 estimation and establishment of a $1.8 million accrual for a contingent liability. Also, during 1Q 2008 we paid Edward D. Bagley, our former director and Chairman the sum of $200,000 upon his resignation and in consideration for his service as a director of the Company since 1994.</w:t>
      </w:r>
    </w:p>
    <w:p>
      <w:pPr>
        <w:spacing w:after="0" w:line="18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b w:val="1"/>
          <w:bCs w:val="1"/>
          <w:u w:val="single" w:color="auto"/>
          <w:color w:val="auto"/>
        </w:rPr>
        <w:t>Operating income (loss)</w:t>
      </w:r>
      <w:r>
        <w:rPr>
          <w:rFonts w:ascii="Arial" w:cs="Arial" w:eastAsia="Arial" w:hAnsi="Arial"/>
          <w:sz w:val="17"/>
          <w:szCs w:val="17"/>
          <w:b w:val="1"/>
          <w:bCs w:val="1"/>
          <w:color w:val="auto"/>
        </w:rPr>
        <w:t xml:space="preserve"> </w:t>
      </w:r>
      <w:r>
        <w:rPr>
          <w:rFonts w:ascii="Arial" w:cs="Arial" w:eastAsia="Arial" w:hAnsi="Arial"/>
          <w:sz w:val="17"/>
          <w:szCs w:val="17"/>
          <w:color w:val="auto"/>
        </w:rPr>
        <w:t>1Q 2009 operating income was $1.8 million compared to an operating (loss) of ($1.1 million) in 1Q 2008. The 1Q 2009 operating income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of approximately $2.9 million was due primarily to the non recurrence of the $1.8 million contingent liability charged to G&amp;A expenses in 1Q 2008 in addition to the higher revenue and associated gross profit in 1Q 2009 discussed above.</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b w:val="1"/>
          <w:bCs w:val="1"/>
          <w:u w:val="single" w:color="auto"/>
          <w:color w:val="auto"/>
        </w:rPr>
        <w:t>Other income, net</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income, net, includes interest income, interest expense, capital gains, gain (loss) on the disposal of assets, and currency gain (loss). 1Q</w:t>
      </w:r>
      <w:r>
        <w:rPr>
          <w:rFonts w:ascii="Arial" w:cs="Arial" w:eastAsia="Arial" w:hAnsi="Arial"/>
          <w:sz w:val="17"/>
          <w:szCs w:val="17"/>
          <w:b w:val="1"/>
          <w:bCs w:val="1"/>
          <w:color w:val="auto"/>
        </w:rPr>
        <w:t xml:space="preserve"> </w:t>
      </w:r>
      <w:r>
        <w:rPr>
          <w:rFonts w:ascii="Arial" w:cs="Arial" w:eastAsia="Arial" w:hAnsi="Arial"/>
          <w:sz w:val="17"/>
          <w:szCs w:val="17"/>
          <w:color w:val="auto"/>
        </w:rPr>
        <w:t>2009 other income was $65,000 compared to $341,000 in 1Q 2008. The $276,000 decrease in 1Q 2009 was due primarily to our lower cash and investment balances in addition to lower interest rates on our investments compared to the same period last year.</w:t>
      </w:r>
    </w:p>
    <w:p>
      <w:pPr>
        <w:spacing w:after="0" w:line="195"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u w:val="single" w:color="auto"/>
          <w:color w:val="auto"/>
        </w:rPr>
        <w:t>Income from discontinued operations, net of tax</w:t>
      </w:r>
      <w:r>
        <w:rPr>
          <w:rFonts w:ascii="Arial" w:cs="Arial" w:eastAsia="Arial" w:hAnsi="Arial"/>
          <w:sz w:val="17"/>
          <w:szCs w:val="17"/>
          <w:b w:val="1"/>
          <w:bCs w:val="1"/>
          <w:color w:val="auto"/>
        </w:rPr>
        <w:t xml:space="preserve"> </w:t>
      </w:r>
      <w:r>
        <w:rPr>
          <w:rFonts w:ascii="Arial" w:cs="Arial" w:eastAsia="Arial" w:hAnsi="Arial"/>
          <w:sz w:val="17"/>
          <w:szCs w:val="17"/>
          <w:color w:val="auto"/>
        </w:rPr>
        <w:t>During 1Q 2008 we recorded income from discontinued operations, net of tax of $15,000 which was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funds received through the receivership of OM Video. We did not have any income from discontinued operations in 1Q 2009.</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00"/>
          </w:cols>
          <w:pgMar w:left="240" w:top="494"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4"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Net cash provided by operating activities was $263,000 in 1Q 2009, a decrease of $874,000 from the net cash provided by operating activities of $1.1 million in 1Q 2008. The year-over-year decrease can be attributed primarily to an additional $2.4 million used in 1Q 2009 to purchase inventory to stock our new Asia-Pacific support center and build up safety stock of certain key products to mitigate stock-outs. We also realized approximately $300,000 lower inventory write-offs in 1Q 2009 from 1Q 2008. These decreases were partially offset by a $2.1 million net income increase in 1Q 2009 over the same period last year.</w:t>
      </w:r>
    </w:p>
    <w:p>
      <w:pPr>
        <w:spacing w:after="0" w:line="180" w:lineRule="exact"/>
        <w:rPr>
          <w:sz w:val="20"/>
          <w:szCs w:val="20"/>
          <w:color w:val="auto"/>
        </w:rPr>
      </w:pPr>
    </w:p>
    <w:p>
      <w:pPr>
        <w:spacing w:after="0" w:line="299" w:lineRule="auto"/>
        <w:rPr>
          <w:sz w:val="20"/>
          <w:szCs w:val="20"/>
          <w:color w:val="auto"/>
        </w:rPr>
      </w:pPr>
      <w:r>
        <w:rPr>
          <w:rFonts w:ascii="Arial" w:cs="Arial" w:eastAsia="Arial" w:hAnsi="Arial"/>
          <w:sz w:val="19"/>
          <w:szCs w:val="19"/>
          <w:color w:val="auto"/>
        </w:rPr>
        <w:t>Net cash flows provided by investing activities were $4.9 million in 1Q 2009, an increase of about $6.3 million from 1Q 2008. During 1Q 2009 we converted about $5.2 million of marketable securities to cash in order to fund our 1Q 2009 repurchase of common stock</w:t>
      </w:r>
      <w:r>
        <w:rPr>
          <w:rFonts w:ascii="Arial" w:cs="Arial" w:eastAsia="Arial" w:hAnsi="Arial"/>
          <w:sz w:val="16"/>
          <w:szCs w:val="16"/>
          <w:color w:val="auto"/>
        </w:rPr>
        <w:t>.</w:t>
      </w:r>
    </w:p>
    <w:p>
      <w:pPr>
        <w:spacing w:after="0" w:line="156" w:lineRule="exact"/>
        <w:rPr>
          <w:sz w:val="20"/>
          <w:szCs w:val="20"/>
          <w:color w:val="auto"/>
        </w:rPr>
      </w:pPr>
    </w:p>
    <w:p>
      <w:pPr>
        <w:ind w:right="320"/>
        <w:spacing w:after="0" w:line="315" w:lineRule="auto"/>
        <w:rPr>
          <w:sz w:val="20"/>
          <w:szCs w:val="20"/>
          <w:color w:val="auto"/>
        </w:rPr>
      </w:pPr>
      <w:r>
        <w:rPr>
          <w:rFonts w:ascii="Arial" w:cs="Arial" w:eastAsia="Arial" w:hAnsi="Arial"/>
          <w:sz w:val="15"/>
          <w:szCs w:val="15"/>
          <w:color w:val="auto"/>
        </w:rPr>
        <w:t>Net cash (used in) financing activities in 1Q 2009 totaled ($6.8 million) for our repurchase of 1,342,620 shares of common stock. Net cash (used in) financing activities in 1Q 2008 totaled ($42,000) and was attributed to our repurchase of approximately 88,000 shares of common stock for $566,000, partially offset by the receipt of $455,000 from the exercise of stock options and $69,000 related to the tax benefit attributable to the exercise of those stock options.</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Additionally in 1Q 2009, we paid approximately $100,000 in income taxes and exchanged $20,000 of accounts receivable from a vendor with accounts payable to the same vendor.</w:t>
      </w:r>
    </w:p>
    <w:p>
      <w:pPr>
        <w:spacing w:after="0" w:line="191"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During September 2008 we entered into a demand margin loan agreement with UBS Financial Services, Inc., which enables us to borrow up to $3,870,000 at an interest rate based on the 30-day LIBOR rate plus 25 basis points.</w:t>
      </w:r>
    </w:p>
    <w:p>
      <w:pPr>
        <w:spacing w:after="0" w:line="191"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During October 2008 we accepted offers to repurchase our currently illiquid Auction Rate Securities (ARSs), at par value, from the two investment banks that sold and continue to hold our ARSs. We believe we are eligible to participate in the offers and expect to sell them at par value in exchange for cash between November 2008 and January 2009. The total par value of our ARSs is approximately $12.2 million.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We currently believe that our present sources of liquidity and capital are adequate for our current operations and for the foreseeable future.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Our exposure to market risk has not changed materially since June 30, 2008.</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An evaluation of the effectiveness of our disclosure controls and procedures as of September 30, 2008 was performed under the supervision and with the participation of our management, including our Chief Executive Officer and our Chief Financial Officer. Based on that evaluation, our management, including our Chief Executive Officer and Chief Financial Officer, concluded that our disclosure controls and procedures are effective to ensure that information required to be disclosed by us in reports we file or submit under the Exchange Act is recorded, processed, summarized and reported as specified in the SEC’s rules and forms.</w:t>
      </w:r>
    </w:p>
    <w:p>
      <w:pPr>
        <w:spacing w:after="0" w:line="188"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color w:val="auto"/>
        </w:rPr>
        <w:t>There was no change in our internal control over financial reporting during the quarter ended September 30, 2008 that materially affected, or that we believe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494" w:right="27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PART II - 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4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 proceedings which</w:t>
      </w:r>
      <w:r>
        <w:rPr>
          <w:rFonts w:ascii="Arial" w:cs="Arial" w:eastAsia="Arial" w:hAnsi="Arial"/>
          <w:sz w:val="17"/>
          <w:szCs w:val="17"/>
          <w:i w:val="1"/>
          <w:iCs w:val="1"/>
          <w:color w:val="auto"/>
        </w:rPr>
        <w:t xml:space="preserve"> </w:t>
      </w:r>
      <w:r>
        <w:rPr>
          <w:rFonts w:ascii="Arial" w:cs="Arial" w:eastAsia="Arial" w:hAnsi="Arial"/>
          <w:sz w:val="17"/>
          <w:szCs w:val="17"/>
          <w:color w:val="auto"/>
        </w:rPr>
        <w:t>arise in the normal course of business. Such matters are subject to many uncertainties and outcomes that are not predictable.</w:t>
      </w:r>
    </w:p>
    <w:p>
      <w:pPr>
        <w:spacing w:after="0" w:line="191" w:lineRule="exact"/>
        <w:rPr>
          <w:sz w:val="20"/>
          <w:szCs w:val="20"/>
          <w:color w:val="auto"/>
        </w:rPr>
      </w:pPr>
    </w:p>
    <w:p>
      <w:pPr>
        <w:ind w:right="20" w:firstLine="632"/>
        <w:spacing w:after="0" w:line="291" w:lineRule="auto"/>
        <w:rPr>
          <w:sz w:val="20"/>
          <w:szCs w:val="20"/>
          <w:color w:val="auto"/>
        </w:rPr>
      </w:pPr>
      <w:r>
        <w:rPr>
          <w:rFonts w:ascii="Arial" w:cs="Arial" w:eastAsia="Arial" w:hAnsi="Arial"/>
          <w:sz w:val="15"/>
          <w:szCs w:val="15"/>
          <w:b w:val="1"/>
          <w:bCs w:val="1"/>
          <w:i w:val="1"/>
          <w:iCs w:val="1"/>
          <w:color w:val="auto"/>
        </w:rPr>
        <w:t xml:space="preserve">Former Officer Indemnification. </w:t>
      </w:r>
      <w:r>
        <w:rPr>
          <w:rFonts w:ascii="Arial" w:cs="Arial" w:eastAsia="Arial" w:hAnsi="Arial"/>
          <w:sz w:val="15"/>
          <w:szCs w:val="15"/>
          <w:color w:val="auto"/>
        </w:rPr>
        <w:t>On July 25, 2007, the U.S. Attorney’s Office for the District of Utah indicted two of our former officers, Frances Flood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Susie Strohm, for allegedly causing us to issue materially misstated financial statements for our 2001 and 2002 fiscal years. On January 31, 2008, the U.S. Attorney’s Office filed a superseding indictment further alleging perjury in connection with the prior investigation by the SEC into the alleged misstatements. We are cooperating fully with the U.S. Attorney’s Office in this matter and have been advised that we are neither a target nor a subject of the investigation or indictment. In December 2003, we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$1.8 million in reasonable attorney’s fees and costs to defend against the charges. We have been informed that a trial date has been set for February 2, 2009. As of October 29, 2008, these former officers have requested advancement of approximately an additional $550,000 in legal fees and costs incurred as of that date, which amounts we have not paid. On August 21,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on August 21, 2008, Ms. Flood filed a lawsuit in Federal District Court for the District of Utah, seeking similar relief.</w:t>
      </w:r>
    </w:p>
    <w:p>
      <w:pPr>
        <w:spacing w:after="0" w:line="184" w:lineRule="exact"/>
        <w:rPr>
          <w:sz w:val="20"/>
          <w:szCs w:val="20"/>
          <w:color w:val="auto"/>
        </w:rPr>
      </w:pPr>
    </w:p>
    <w:p>
      <w:pPr>
        <w:ind w:right="20" w:firstLine="629"/>
        <w:spacing w:after="0" w:line="274" w:lineRule="auto"/>
        <w:rPr>
          <w:sz w:val="20"/>
          <w:szCs w:val="20"/>
          <w:color w:val="auto"/>
        </w:rPr>
      </w:pPr>
      <w:r>
        <w:rPr>
          <w:rFonts w:ascii="Arial" w:cs="Arial" w:eastAsia="Arial" w:hAnsi="Arial"/>
          <w:sz w:val="16"/>
          <w:szCs w:val="16"/>
          <w:color w:val="auto"/>
        </w:rPr>
        <w:t>We have accrued for legal fees and costs of the probable amount we were able to estimate of our contingent liability under the indemnification agreements at September 30, 2008. In accordance with Statement of Financial Accounting Standards No. 5, “Accounting for Contingencies”, we have accrued a total of $3.3 million, the balance of which was about $1.5 million at September 30, 2008 representing the probable amount that, as of the date of the financial statements, could be reasonably estimated of our contingent liability, through trial, under the indemnification agreements if required under applicable law. In accordance with SFAS No. 5, we will adjust our contingent liability, as necessary, to reflect the probable amount that can be reasonably estimated. Our actual liability may be higher or lower than our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194" w:lineRule="exact"/>
        <w:rPr>
          <w:sz w:val="20"/>
          <w:szCs w:val="20"/>
          <w:color w:val="auto"/>
        </w:rPr>
      </w:pPr>
    </w:p>
    <w:p>
      <w:pPr>
        <w:ind w:firstLine="632"/>
        <w:spacing w:after="0" w:line="289" w:lineRule="auto"/>
        <w:rPr>
          <w:sz w:val="20"/>
          <w:szCs w:val="20"/>
          <w:color w:val="auto"/>
        </w:rPr>
      </w:pPr>
      <w:r>
        <w:rPr>
          <w:rFonts w:ascii="Arial" w:cs="Arial" w:eastAsia="Arial" w:hAnsi="Arial"/>
          <w:sz w:val="15"/>
          <w:szCs w:val="15"/>
          <w:b w:val="1"/>
          <w:bCs w:val="1"/>
          <w:i w:val="1"/>
          <w:iCs w:val="1"/>
          <w:color w:val="auto"/>
        </w:rPr>
        <w:t xml:space="preserve">Theft of Intellectual Property and Copyright Complaints. </w:t>
      </w:r>
      <w:r>
        <w:rPr>
          <w:rFonts w:ascii="Arial" w:cs="Arial" w:eastAsia="Arial" w:hAnsi="Arial"/>
          <w:sz w:val="15"/>
          <w:szCs w:val="15"/>
          <w:color w:val="auto"/>
        </w:rPr>
        <w:t>During January 2007, we filed a lawsuit in the Third Judicial District Court, Salt Lake County,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State of Utah against WideBand Solutions, Inc. and two of its principals, one of which was a former employee named Dr. Jun Yang, and one of which was previously affiliated with an entity that sold certain assets to us (the “Intellectual Property Case”). We also brought claims against Biamp Systems Corporation, Inc. The matter was subsequently removed to federal court, the United States District Court, District of Utah, Central Division. The case is styled </w:t>
      </w:r>
      <w:r>
        <w:rPr>
          <w:rFonts w:ascii="Arial" w:cs="Arial" w:eastAsia="Arial" w:hAnsi="Arial"/>
          <w:sz w:val="15"/>
          <w:szCs w:val="15"/>
          <w:i w:val="1"/>
          <w:iCs w:val="1"/>
          <w:color w:val="auto"/>
        </w:rPr>
        <w:t>ClearOne Communications, Inc. v.</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Jun Yang, et. al. </w:t>
      </w:r>
      <w:r>
        <w:rPr>
          <w:rFonts w:ascii="Arial" w:cs="Arial" w:eastAsia="Arial" w:hAnsi="Arial"/>
          <w:sz w:val="15"/>
          <w:szCs w:val="15"/>
          <w:color w:val="auto"/>
        </w:rPr>
        <w:t>Civil No. 2:07-co-37 TC. The complaint brings claims against different combinations of the defendants for, among other things, misappropriation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trade secrets, breach of contract, conversion, unjust enrichment and intentional interference with business and contractual relations, primarily in relation to certain algorithms and computer code. The relief being sought by us includes an order enjoining the defendants from further use of our trade secrets and an award consisting of, among other things, compensation and damages related to the unjust enrichment of the defendants. The court subsequently granted leave to add a third WideBand principal as a defendant to the case. In August 2007, we filed a motion for a preliminary injunction in the Intellectual Property Case, in the United States District Court, District of Utah, seeking to enjoin Wideband Solutions, Inc. from licensing certain technology we believe constitutes our intellectual property and trade secrets to Harman Music Group, Inc. On September 13, 2007, the court in the Intellectual Property Case granted us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also brings claims related to the theft and misuse of our confidential and trade secret information. During October 2007, the court issued an injunction ordering Dr. Yang and others under his direction from working on or delivering any source or object code to Harman until the completion of the trial. During November 2007, the court required us to post a bond of approximately $908,000, which was subsequently reduced to $210,000.</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494" w:right="279" w:bottom="1440" w:gutter="0" w:footer="0" w:header="0"/>
        </w:sectPr>
      </w:pPr>
    </w:p>
    <w:bookmarkStart w:id="20" w:name="page21"/>
    <w:bookmarkEnd w:id="20"/>
    <w:p>
      <w:pPr>
        <w:ind w:firstLine="632"/>
        <w:spacing w:after="0" w:line="257" w:lineRule="auto"/>
        <w:rPr>
          <w:sz w:val="20"/>
          <w:szCs w:val="20"/>
          <w:color w:val="auto"/>
        </w:rPr>
      </w:pPr>
      <w:r>
        <w:rPr>
          <w:rFonts w:ascii="Arial" w:cs="Arial" w:eastAsia="Arial" w:hAnsi="Arial"/>
          <w:sz w:val="17"/>
          <w:szCs w:val="17"/>
          <w:color w:val="auto"/>
        </w:rPr>
        <w:t>During October 2007, we filed a second action against WideBand and the same three principals named as defendants in the Intellectual Property Case, this time alleging copyright infringement (the “Copyright Case”). The claims in the Copyright Case arise out of a copyright issued to us for the same intellectual property, including the algorithms and computer code that is the subject of the claims in the Intellectual Property Case. The relief being sought by us includes an order enjoining the defendants from further use of our copyrighted material, and an award consisting of, among other things, compensation and damages related to the copyright infringement.</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May 12, 2008 the court granted us leave to add Versatile DSP, Inc. as a defendent.</w:t>
      </w:r>
    </w:p>
    <w:p>
      <w:pPr>
        <w:spacing w:after="0" w:line="240" w:lineRule="exact"/>
        <w:rPr>
          <w:sz w:val="20"/>
          <w:szCs w:val="20"/>
          <w:color w:val="auto"/>
        </w:rPr>
      </w:pPr>
    </w:p>
    <w:p>
      <w:pPr>
        <w:ind w:firstLine="632"/>
        <w:spacing w:after="0" w:line="257" w:lineRule="auto"/>
        <w:rPr>
          <w:sz w:val="20"/>
          <w:szCs w:val="20"/>
          <w:color w:val="auto"/>
        </w:rPr>
      </w:pPr>
      <w:r>
        <w:rPr>
          <w:rFonts w:ascii="Arial" w:cs="Arial" w:eastAsia="Arial" w:hAnsi="Arial"/>
          <w:sz w:val="17"/>
          <w:szCs w:val="17"/>
          <w:color w:val="auto"/>
        </w:rPr>
        <w:t>During June 2008, we filed a separate action in the United States District Court, District of Utah, Central Division, against an affiliate of WideBand and Donald Bowers, which claims for declaratory judgment, fraudulent transfer under Utah law, and misappropriation of trade secrets. During June 2008, the United States District Court entered an order granting our request for a temporary restraining order against any sale or transfer of ownership of certain assets of WideBand to its affiliated entity, and imposes certain prohibitions against any sale or transfer of ownership of certain of WideBand’s computer code and related algorithms and against any transfer of profits from the disputed code.</w:t>
      </w:r>
    </w:p>
    <w:p>
      <w:pPr>
        <w:spacing w:after="0" w:line="208" w:lineRule="exact"/>
        <w:rPr>
          <w:sz w:val="20"/>
          <w:szCs w:val="20"/>
          <w:color w:val="auto"/>
        </w:rPr>
      </w:pPr>
    </w:p>
    <w:p>
      <w:pPr>
        <w:ind w:right="100" w:firstLine="632"/>
        <w:spacing w:after="0" w:line="300" w:lineRule="auto"/>
        <w:rPr>
          <w:sz w:val="20"/>
          <w:szCs w:val="20"/>
          <w:color w:val="auto"/>
        </w:rPr>
      </w:pPr>
      <w:r>
        <w:rPr>
          <w:rFonts w:ascii="Arial" w:cs="Arial" w:eastAsia="Arial" w:hAnsi="Arial"/>
          <w:sz w:val="15"/>
          <w:szCs w:val="15"/>
          <w:color w:val="auto"/>
        </w:rPr>
        <w:t>On November 5, 2008, the jury returned a verdict in our favor and awarded us approximately $3.5 million in compensatory damages and $7.0 million in punitive damages. Among other things, the jury found that all of the Defendants willfully and maliciously misappropriated our trade secrets. Based on that finding, the court may also award us exemplary damages and reasonable attorneys’ fees. The court left in place the previously-entered preliminary injunction, pending our application for entry of a permanent injunction against the Defendants. While we intend to vigorously pursue collection of the damage awards, collectability of the judgments cannot be guaranteed. Furthermore, the jury’s verdict and damage awards are subject to appeal by one or more of the Defendants.</w:t>
      </w:r>
    </w:p>
    <w:p>
      <w:pPr>
        <w:spacing w:after="0" w:line="177" w:lineRule="exact"/>
        <w:rPr>
          <w:sz w:val="20"/>
          <w:szCs w:val="20"/>
          <w:color w:val="auto"/>
        </w:rPr>
      </w:pPr>
    </w:p>
    <w:p>
      <w:pPr>
        <w:ind w:firstLine="632"/>
        <w:spacing w:after="0" w:line="290" w:lineRule="auto"/>
        <w:rPr>
          <w:sz w:val="20"/>
          <w:szCs w:val="20"/>
          <w:color w:val="auto"/>
        </w:rPr>
      </w:pPr>
      <w:r>
        <w:rPr>
          <w:rFonts w:ascii="Arial" w:cs="Arial" w:eastAsia="Arial" w:hAnsi="Arial"/>
          <w:sz w:val="15"/>
          <w:szCs w:val="15"/>
          <w:b w:val="1"/>
          <w:bCs w:val="1"/>
          <w:i w:val="1"/>
          <w:iCs w:val="1"/>
          <w:color w:val="auto"/>
        </w:rPr>
        <w:t xml:space="preserve">The Shareholder Derivative Actions. </w:t>
      </w:r>
      <w:r>
        <w:rPr>
          <w:rFonts w:ascii="Arial" w:cs="Arial" w:eastAsia="Arial" w:hAnsi="Arial"/>
          <w:sz w:val="15"/>
          <w:szCs w:val="15"/>
          <w:color w:val="auto"/>
        </w:rPr>
        <w:t>Between March and August 2003, four shareholder derivative actions were filed in the Third Judicial District Court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Salt Lake County, State of Utah, by certain of our shareholders against various present and past officers and directors and against Ernst &amp; Young. The complaints asserted allegations similar to those asserted in the SEC complaint that was filed on January 15, 2003 with regard to alleged improper revenue recognition practices and the shareholders’ class action that was filed on June 30, 2003. The complaints further alleged that (a) the defendant directors and officers violated their fiduciary duties to us by causing or allowing us to recognize revenue in violation of U.S. GAAP and to issue materially misstated financial statements, and (b) Ernst &amp; Young breached its professional responsibilities to us and acted in violation of U.S. GAAP and generally accepted auditing standards by failing to identify or prevent the alleged revenue recognition violations and by issuing unqualified audit opinions with respect to our fiscal 2002 and 2001 financial statements. One of these actions was dismissed without prejudice during June 2003. As to the other three actions, our Board of Directors appointed a special litigation committee of independent directors to evaluate the claims, which determined that the maintenance of the derivative proceedings against the individual defendants was not in our best interests. Accordingly, during December 2003, we moved to dismiss those claims. During March 2004, our motions were granted, and the derivative claims were dismissed with prejudice as to all defendants except Ernst &amp; Young. We were substituted as the plaintiff in the action and are now pursuing in our own name the claims against Ernst &amp; Young. The dates of the arbitration case management have been scheduled including commencement of the hearing on April 20, 2009.</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20"/>
          </w:cols>
          <w:pgMar w:left="240" w:top="35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ITEM 1A. RISK FACTORS</w:t>
      </w:r>
    </w:p>
    <w:p>
      <w:pPr>
        <w:spacing w:after="0" w:line="24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i w:val="1"/>
          <w:iCs w:val="1"/>
          <w:color w:val="auto"/>
        </w:rPr>
        <w:t>In addition to other information set forth in this Report, you should carefully consider the factors discussed in Part I, “Item 1A. Risk Factors” in our Annual Report on Form 10-K/A for the year ended June 30, 2008, which could materially affect our business, financial condition or future results. The risks described in our Annual Report on Form 10-K/A are not the only risks we face. Additional risks and uncertainties not currently known to us or that we currently deem to be immaterial also may materially and adversely affect our business, financial condition and/or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purchases by us of our own securities during 1Q 2009.</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0"/>
              </w:rPr>
              <w:t>Total Number of Shares</w:t>
            </w:r>
          </w:p>
        </w:tc>
        <w:tc>
          <w:tcPr>
            <w:tcW w:w="24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6"/>
              </w:rPr>
              <w:t>Maximum Number (or</w:t>
            </w:r>
          </w:p>
        </w:tc>
      </w:tr>
      <w:tr>
        <w:trPr>
          <w:trHeight w:val="205"/>
        </w:trPr>
        <w:tc>
          <w:tcPr>
            <w:tcW w:w="4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88"/>
              </w:rPr>
              <w:t>Purchased as Part of</w:t>
            </w:r>
          </w:p>
        </w:tc>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2"/>
              </w:rPr>
              <w:t>Approximate Dollar Value) of</w:t>
            </w:r>
          </w:p>
        </w:tc>
      </w:tr>
      <w:tr>
        <w:trPr>
          <w:trHeight w:val="205"/>
        </w:trPr>
        <w:tc>
          <w:tcPr>
            <w:tcW w:w="42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3"/>
              </w:rPr>
              <w:t>Total Number of</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88"/>
              </w:rPr>
              <w:t>Average Price</w:t>
            </w: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89"/>
              </w:rPr>
              <w:t>Publicly Announced Plans</w:t>
            </w:r>
          </w:p>
        </w:tc>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0"/>
              </w:rPr>
              <w:t>Shares that May by Purchased</w:t>
            </w:r>
          </w:p>
        </w:tc>
      </w:tr>
      <w:tr>
        <w:trPr>
          <w:trHeight w:val="209"/>
        </w:trPr>
        <w:tc>
          <w:tcPr>
            <w:tcW w:w="4260" w:type="dxa"/>
            <w:vAlign w:val="bottom"/>
          </w:tcPr>
          <w:p>
            <w:pPr>
              <w:ind w:left="1880"/>
              <w:spacing w:after="0"/>
              <w:rPr>
                <w:sz w:val="20"/>
                <w:szCs w:val="20"/>
                <w:color w:val="auto"/>
              </w:rPr>
            </w:pPr>
            <w:r>
              <w:rPr>
                <w:rFonts w:ascii="Arial" w:cs="Arial" w:eastAsia="Arial" w:hAnsi="Arial"/>
                <w:sz w:val="17"/>
                <w:szCs w:val="17"/>
                <w:b w:val="1"/>
                <w:bCs w:val="1"/>
                <w:color w:val="auto"/>
              </w:rPr>
              <w:t>Period</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87"/>
              </w:rPr>
              <w:t>Shares Purchased</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0"/>
              </w:rPr>
              <w:t>Paid per Share</w:t>
            </w: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90"/>
              </w:rPr>
              <w:t>or Programs</w:t>
            </w:r>
          </w:p>
        </w:tc>
        <w:tc>
          <w:tcPr>
            <w:tcW w:w="2400" w:type="dxa"/>
            <w:vAlign w:val="bottom"/>
          </w:tcPr>
          <w:p>
            <w:pPr>
              <w:jc w:val="center"/>
              <w:spacing w:after="0"/>
              <w:rPr>
                <w:sz w:val="20"/>
                <w:szCs w:val="20"/>
                <w:color w:val="auto"/>
              </w:rPr>
            </w:pPr>
            <w:r>
              <w:rPr>
                <w:rFonts w:ascii="Arial" w:cs="Arial" w:eastAsia="Arial" w:hAnsi="Arial"/>
                <w:sz w:val="17"/>
                <w:szCs w:val="17"/>
                <w:b w:val="1"/>
                <w:bCs w:val="1"/>
                <w:color w:val="auto"/>
                <w:w w:val="91"/>
              </w:rPr>
              <w:t>Under the Plans or Programs (2)</w:t>
            </w:r>
          </w:p>
        </w:tc>
      </w:tr>
      <w:tr>
        <w:trPr>
          <w:trHeight w:val="205"/>
        </w:trPr>
        <w:tc>
          <w:tcPr>
            <w:tcW w:w="4260" w:type="dxa"/>
            <w:vAlign w:val="bottom"/>
          </w:tcPr>
          <w:p>
            <w:pPr>
              <w:spacing w:after="0"/>
              <w:rPr>
                <w:sz w:val="20"/>
                <w:szCs w:val="20"/>
                <w:color w:val="auto"/>
              </w:rPr>
            </w:pPr>
            <w:r>
              <w:rPr>
                <w:rFonts w:ascii="Arial" w:cs="Arial" w:eastAsia="Arial" w:hAnsi="Arial"/>
                <w:sz w:val="17"/>
                <w:szCs w:val="17"/>
                <w:color w:val="auto"/>
              </w:rPr>
              <w:t>July 1, 2008 – July 31, 2008</w:t>
            </w:r>
          </w:p>
        </w:tc>
        <w:tc>
          <w:tcPr>
            <w:tcW w:w="1580" w:type="dxa"/>
            <w:vAlign w:val="bottom"/>
          </w:tcPr>
          <w:p>
            <w:pPr>
              <w:jc w:val="center"/>
              <w:spacing w:after="0"/>
              <w:rPr>
                <w:sz w:val="20"/>
                <w:szCs w:val="20"/>
                <w:color w:val="auto"/>
              </w:rPr>
            </w:pPr>
            <w:r>
              <w:rPr>
                <w:rFonts w:ascii="Arial" w:cs="Arial" w:eastAsia="Arial" w:hAnsi="Arial"/>
                <w:sz w:val="17"/>
                <w:szCs w:val="17"/>
                <w:color w:val="auto"/>
              </w:rPr>
              <w:t>0</w:t>
            </w:r>
          </w:p>
        </w:tc>
        <w:tc>
          <w:tcPr>
            <w:tcW w:w="1200" w:type="dxa"/>
            <w:vAlign w:val="bottom"/>
          </w:tcPr>
          <w:p>
            <w:pPr>
              <w:jc w:val="center"/>
              <w:spacing w:after="0"/>
              <w:rPr>
                <w:sz w:val="20"/>
                <w:szCs w:val="20"/>
                <w:color w:val="auto"/>
              </w:rPr>
            </w:pPr>
            <w:r>
              <w:rPr>
                <w:rFonts w:ascii="Arial" w:cs="Arial" w:eastAsia="Arial" w:hAnsi="Arial"/>
                <w:sz w:val="17"/>
                <w:szCs w:val="17"/>
                <w:color w:val="auto"/>
                <w:w w:val="98"/>
              </w:rPr>
              <w:t>N/A</w:t>
            </w:r>
          </w:p>
        </w:tc>
        <w:tc>
          <w:tcPr>
            <w:tcW w:w="19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400" w:type="dxa"/>
            <w:vAlign w:val="bottom"/>
          </w:tcPr>
          <w:p>
            <w:pPr>
              <w:jc w:val="center"/>
              <w:spacing w:after="0"/>
              <w:rPr>
                <w:sz w:val="20"/>
                <w:szCs w:val="20"/>
                <w:color w:val="auto"/>
              </w:rPr>
            </w:pPr>
            <w:r>
              <w:rPr>
                <w:rFonts w:ascii="Arial" w:cs="Arial" w:eastAsia="Arial" w:hAnsi="Arial"/>
                <w:sz w:val="17"/>
                <w:szCs w:val="17"/>
                <w:color w:val="auto"/>
                <w:w w:val="90"/>
              </w:rPr>
              <w:t>$276,573</w:t>
            </w:r>
          </w:p>
        </w:tc>
      </w:tr>
      <w:tr>
        <w:trPr>
          <w:trHeight w:val="229"/>
        </w:trPr>
        <w:tc>
          <w:tcPr>
            <w:tcW w:w="4260" w:type="dxa"/>
            <w:vAlign w:val="bottom"/>
          </w:tcPr>
          <w:p>
            <w:pPr>
              <w:spacing w:after="0"/>
              <w:rPr>
                <w:sz w:val="20"/>
                <w:szCs w:val="20"/>
                <w:color w:val="auto"/>
              </w:rPr>
            </w:pPr>
            <w:r>
              <w:rPr>
                <w:rFonts w:ascii="Arial" w:cs="Arial" w:eastAsia="Arial" w:hAnsi="Arial"/>
                <w:sz w:val="17"/>
                <w:szCs w:val="17"/>
                <w:color w:val="auto"/>
              </w:rPr>
              <w:t>August 1, 2008 – August 31, 2008</w:t>
            </w:r>
          </w:p>
        </w:tc>
        <w:tc>
          <w:tcPr>
            <w:tcW w:w="1580" w:type="dxa"/>
            <w:vAlign w:val="bottom"/>
          </w:tcPr>
          <w:p>
            <w:pPr>
              <w:jc w:val="center"/>
              <w:spacing w:after="0"/>
              <w:rPr>
                <w:sz w:val="20"/>
                <w:szCs w:val="20"/>
                <w:color w:val="auto"/>
              </w:rPr>
            </w:pPr>
            <w:r>
              <w:rPr>
                <w:rFonts w:ascii="Arial" w:cs="Arial" w:eastAsia="Arial" w:hAnsi="Arial"/>
                <w:sz w:val="17"/>
                <w:szCs w:val="17"/>
                <w:color w:val="auto"/>
              </w:rPr>
              <w:t>0</w:t>
            </w:r>
          </w:p>
        </w:tc>
        <w:tc>
          <w:tcPr>
            <w:tcW w:w="1200" w:type="dxa"/>
            <w:vAlign w:val="bottom"/>
          </w:tcPr>
          <w:p>
            <w:pPr>
              <w:jc w:val="center"/>
              <w:spacing w:after="0"/>
              <w:rPr>
                <w:sz w:val="20"/>
                <w:szCs w:val="20"/>
                <w:color w:val="auto"/>
              </w:rPr>
            </w:pPr>
            <w:r>
              <w:rPr>
                <w:rFonts w:ascii="Arial" w:cs="Arial" w:eastAsia="Arial" w:hAnsi="Arial"/>
                <w:sz w:val="17"/>
                <w:szCs w:val="17"/>
                <w:color w:val="auto"/>
                <w:w w:val="98"/>
              </w:rPr>
              <w:t>N/A</w:t>
            </w:r>
          </w:p>
        </w:tc>
        <w:tc>
          <w:tcPr>
            <w:tcW w:w="19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400" w:type="dxa"/>
            <w:vAlign w:val="bottom"/>
          </w:tcPr>
          <w:p>
            <w:pPr>
              <w:jc w:val="center"/>
              <w:spacing w:after="0"/>
              <w:rPr>
                <w:sz w:val="20"/>
                <w:szCs w:val="20"/>
                <w:color w:val="auto"/>
              </w:rPr>
            </w:pPr>
            <w:r>
              <w:rPr>
                <w:rFonts w:ascii="Arial" w:cs="Arial" w:eastAsia="Arial" w:hAnsi="Arial"/>
                <w:sz w:val="17"/>
                <w:szCs w:val="17"/>
                <w:color w:val="auto"/>
                <w:w w:val="90"/>
              </w:rPr>
              <w:t>$276,573</w:t>
            </w:r>
          </w:p>
        </w:tc>
      </w:tr>
      <w:tr>
        <w:trPr>
          <w:trHeight w:val="225"/>
        </w:trPr>
        <w:tc>
          <w:tcPr>
            <w:tcW w:w="4260" w:type="dxa"/>
            <w:vAlign w:val="bottom"/>
          </w:tcPr>
          <w:p>
            <w:pPr>
              <w:spacing w:after="0"/>
              <w:rPr>
                <w:sz w:val="20"/>
                <w:szCs w:val="20"/>
                <w:color w:val="auto"/>
              </w:rPr>
            </w:pPr>
            <w:r>
              <w:rPr>
                <w:rFonts w:ascii="Arial" w:cs="Arial" w:eastAsia="Arial" w:hAnsi="Arial"/>
                <w:sz w:val="17"/>
                <w:szCs w:val="17"/>
                <w:color w:val="auto"/>
              </w:rPr>
              <w:t>September 1, 2008 – September 30, 2008 (1)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1,342,620</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$5.00</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1,342,620</w:t>
            </w:r>
          </w:p>
        </w:tc>
        <w:tc>
          <w:tcPr>
            <w:tcW w:w="2400" w:type="dxa"/>
            <w:vAlign w:val="bottom"/>
          </w:tcPr>
          <w:p>
            <w:pPr>
              <w:jc w:val="center"/>
              <w:spacing w:after="0"/>
              <w:rPr>
                <w:sz w:val="20"/>
                <w:szCs w:val="20"/>
                <w:color w:val="auto"/>
              </w:rPr>
            </w:pPr>
            <w:r>
              <w:rPr>
                <w:rFonts w:ascii="Arial" w:cs="Arial" w:eastAsia="Arial" w:hAnsi="Arial"/>
                <w:sz w:val="17"/>
                <w:szCs w:val="17"/>
                <w:color w:val="auto"/>
                <w:w w:val="88"/>
              </w:rPr>
              <w:t>$10,000,000</w:t>
            </w:r>
          </w:p>
        </w:tc>
      </w:tr>
      <w:tr>
        <w:trPr>
          <w:trHeight w:val="205"/>
        </w:trPr>
        <w:tc>
          <w:tcPr>
            <w:tcW w:w="4260" w:type="dxa"/>
            <w:vAlign w:val="bottom"/>
          </w:tcPr>
          <w:p>
            <w:pPr>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1,342,620</w:t>
            </w:r>
          </w:p>
        </w:tc>
        <w:tc>
          <w:tcPr>
            <w:tcW w:w="1200" w:type="dxa"/>
            <w:vAlign w:val="bottom"/>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1,342,620</w:t>
            </w:r>
          </w:p>
        </w:tc>
        <w:tc>
          <w:tcPr>
            <w:tcW w:w="240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left="620" w:hanging="287"/>
        <w:spacing w:after="0" w:line="288"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August 11, 2008 we announced that our Board of Directors authorized the repurchase of up to 2,000,000 of our shares in a modified Dutch auction tender offer at a price per share of no less than $4.00 and no greater than $5.00 per share. Under the tender offer, which expired on September 16, 2008, we repurchased 1,342,620 shares, or approximately 13% of shares outstanding, for approximately $6.75 million at a price per share of $5.00.</w:t>
      </w:r>
    </w:p>
    <w:p>
      <w:pPr>
        <w:spacing w:after="0" w:line="182" w:lineRule="exact"/>
        <w:rPr>
          <w:rFonts w:ascii="Arial" w:cs="Arial" w:eastAsia="Arial" w:hAnsi="Arial"/>
          <w:sz w:val="16"/>
          <w:szCs w:val="16"/>
          <w:color w:val="auto"/>
        </w:rPr>
      </w:pPr>
    </w:p>
    <w:p>
      <w:pPr>
        <w:jc w:val="both"/>
        <w:ind w:left="620" w:hanging="287"/>
        <w:spacing w:after="0" w:line="260"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August 30, 2007, we announced that our Board of Directors had approved a stock repurchase program to purchase up $3,625,000 of our common stock during the following 12 month period in open market and private block transactions. On May 1, 2008 we announced that our Board of Directors authorized the purchase of up to an additional $1 million of our common stock. The stock repurchase program expired on August 30, 2008. $276,573 of the board approved repurchases remained and were available for purchase during July and August 2008.</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Item 6.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tcPr>
          <w:p>
            <w:pPr>
              <w:spacing w:after="0"/>
              <w:rPr>
                <w:sz w:val="17"/>
                <w:szCs w:val="17"/>
                <w:color w:val="auto"/>
              </w:rPr>
            </w:pPr>
          </w:p>
        </w:tc>
        <w:tc>
          <w:tcPr>
            <w:tcW w:w="860" w:type="dxa"/>
            <w:vAlign w:val="bottom"/>
          </w:tcPr>
          <w:p>
            <w:pPr>
              <w:jc w:val="center"/>
              <w:ind w:left="35"/>
              <w:spacing w:after="0"/>
              <w:rPr>
                <w:sz w:val="20"/>
                <w:szCs w:val="20"/>
                <w:color w:val="auto"/>
              </w:rPr>
            </w:pPr>
            <w:r>
              <w:rPr>
                <w:rFonts w:ascii="Arial" w:cs="Arial" w:eastAsia="Arial" w:hAnsi="Arial"/>
                <w:sz w:val="17"/>
                <w:szCs w:val="17"/>
                <w:color w:val="auto"/>
                <w:w w:val="97"/>
              </w:rPr>
              <w:t>Exhibit</w:t>
            </w:r>
          </w:p>
        </w:tc>
        <w:tc>
          <w:tcPr>
            <w:tcW w:w="9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3"/>
        </w:trPr>
        <w:tc>
          <w:tcPr>
            <w:tcW w:w="1720" w:type="dxa"/>
            <w:vAlign w:val="bottom"/>
          </w:tcPr>
          <w:p>
            <w:pPr>
              <w:spacing w:after="0"/>
              <w:rPr>
                <w:sz w:val="19"/>
                <w:szCs w:val="19"/>
                <w:color w:val="auto"/>
              </w:rPr>
            </w:pPr>
          </w:p>
        </w:tc>
        <w:tc>
          <w:tcPr>
            <w:tcW w:w="86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color w:val="auto"/>
                <w:w w:val="98"/>
              </w:rPr>
              <w:t>No.</w:t>
            </w:r>
          </w:p>
        </w:tc>
        <w:tc>
          <w:tcPr>
            <w:tcW w:w="94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ind w:left="1500"/>
              <w:spacing w:after="0"/>
              <w:rPr>
                <w:sz w:val="20"/>
                <w:szCs w:val="20"/>
                <w:color w:val="auto"/>
              </w:rPr>
            </w:pPr>
            <w:r>
              <w:rPr>
                <w:rFonts w:ascii="Arial" w:cs="Arial" w:eastAsia="Arial" w:hAnsi="Arial"/>
                <w:sz w:val="17"/>
                <w:szCs w:val="17"/>
                <w:color w:val="auto"/>
              </w:rPr>
              <w:t>Title of Document</w:t>
            </w:r>
          </w:p>
        </w:tc>
        <w:tc>
          <w:tcPr>
            <w:tcW w:w="1580" w:type="dxa"/>
            <w:vAlign w:val="bottom"/>
            <w:tcBorders>
              <w:bottom w:val="single" w:sz="8" w:color="auto"/>
            </w:tcBorders>
          </w:tcPr>
          <w:p>
            <w:pPr>
              <w:jc w:val="center"/>
              <w:ind w:left="395"/>
              <w:spacing w:after="0"/>
              <w:rPr>
                <w:sz w:val="20"/>
                <w:szCs w:val="20"/>
                <w:color w:val="auto"/>
              </w:rPr>
            </w:pPr>
            <w:r>
              <w:rPr>
                <w:rFonts w:ascii="Arial" w:cs="Arial" w:eastAsia="Arial" w:hAnsi="Arial"/>
                <w:sz w:val="17"/>
                <w:szCs w:val="17"/>
                <w:color w:val="auto"/>
                <w:w w:val="96"/>
              </w:rPr>
              <w:t>Location</w:t>
            </w:r>
          </w:p>
        </w:tc>
        <w:tc>
          <w:tcPr>
            <w:tcW w:w="1720" w:type="dxa"/>
            <w:vAlign w:val="bottom"/>
          </w:tcPr>
          <w:p>
            <w:pPr>
              <w:spacing w:after="0"/>
              <w:rPr>
                <w:sz w:val="19"/>
                <w:szCs w:val="19"/>
                <w:color w:val="auto"/>
              </w:rPr>
            </w:pPr>
          </w:p>
        </w:tc>
      </w:tr>
      <w:tr>
        <w:trPr>
          <w:trHeight w:val="192"/>
        </w:trPr>
        <w:tc>
          <w:tcPr>
            <w:tcW w:w="1720" w:type="dxa"/>
            <w:vAlign w:val="bottom"/>
          </w:tcPr>
          <w:p>
            <w:pPr>
              <w:spacing w:after="0"/>
              <w:rPr>
                <w:sz w:val="16"/>
                <w:szCs w:val="16"/>
                <w:color w:val="auto"/>
              </w:rPr>
            </w:pPr>
          </w:p>
        </w:tc>
        <w:tc>
          <w:tcPr>
            <w:tcW w:w="860" w:type="dxa"/>
            <w:vAlign w:val="bottom"/>
            <w:shd w:val="clear" w:color="auto" w:fill="CCEEFF"/>
          </w:tcPr>
          <w:p>
            <w:pPr>
              <w:jc w:val="center"/>
              <w:ind w:left="35"/>
              <w:spacing w:after="0" w:line="193" w:lineRule="exact"/>
              <w:rPr>
                <w:sz w:val="20"/>
                <w:szCs w:val="20"/>
                <w:color w:val="auto"/>
              </w:rPr>
            </w:pPr>
            <w:r>
              <w:rPr>
                <w:rFonts w:ascii="Arial" w:cs="Arial" w:eastAsia="Arial" w:hAnsi="Arial"/>
                <w:sz w:val="17"/>
                <w:szCs w:val="17"/>
                <w:color w:val="auto"/>
                <w:w w:val="89"/>
              </w:rPr>
              <w:t>10.13</w:t>
            </w:r>
          </w:p>
        </w:tc>
        <w:tc>
          <w:tcPr>
            <w:tcW w:w="554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7"/>
                <w:szCs w:val="17"/>
                <w:color w:val="auto"/>
              </w:rPr>
              <w:t>Warehouse Lease Agreement between CB Center, LLC and ClearOne</w:t>
            </w:r>
          </w:p>
        </w:tc>
        <w:tc>
          <w:tcPr>
            <w:tcW w:w="1580" w:type="dxa"/>
            <w:vAlign w:val="bottom"/>
            <w:shd w:val="clear" w:color="auto" w:fill="CCEEFF"/>
          </w:tcPr>
          <w:p>
            <w:pPr>
              <w:jc w:val="center"/>
              <w:ind w:left="415"/>
              <w:spacing w:after="0" w:line="193" w:lineRule="exact"/>
              <w:rPr>
                <w:sz w:val="20"/>
                <w:szCs w:val="20"/>
                <w:color w:val="auto"/>
              </w:rPr>
            </w:pPr>
            <w:r>
              <w:rPr>
                <w:rFonts w:ascii="Arial" w:cs="Arial" w:eastAsia="Arial" w:hAnsi="Arial"/>
                <w:sz w:val="17"/>
                <w:szCs w:val="17"/>
                <w:color w:val="auto"/>
              </w:rPr>
              <w:t>This filing</w:t>
            </w:r>
          </w:p>
        </w:tc>
        <w:tc>
          <w:tcPr>
            <w:tcW w:w="1720" w:type="dxa"/>
            <w:vAlign w:val="bottom"/>
          </w:tcPr>
          <w:p>
            <w:pPr>
              <w:spacing w:after="0"/>
              <w:rPr>
                <w:sz w:val="16"/>
                <w:szCs w:val="16"/>
                <w:color w:val="auto"/>
              </w:rPr>
            </w:pPr>
          </w:p>
        </w:tc>
      </w:tr>
      <w:tr>
        <w:trPr>
          <w:trHeight w:val="217"/>
        </w:trPr>
        <w:tc>
          <w:tcPr>
            <w:tcW w:w="17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Communications, Inc. dated October 13, 2008</w:t>
            </w:r>
          </w:p>
        </w:tc>
        <w:tc>
          <w:tcPr>
            <w:tcW w:w="15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5"/>
        </w:trPr>
        <w:tc>
          <w:tcPr>
            <w:tcW w:w="1720" w:type="dxa"/>
            <w:vAlign w:val="bottom"/>
          </w:tcPr>
          <w:p>
            <w:pPr>
              <w:spacing w:after="0"/>
              <w:rPr>
                <w:sz w:val="17"/>
                <w:szCs w:val="17"/>
                <w:color w:val="auto"/>
              </w:rPr>
            </w:pPr>
          </w:p>
        </w:tc>
        <w:tc>
          <w:tcPr>
            <w:tcW w:w="860" w:type="dxa"/>
            <w:vAlign w:val="bottom"/>
          </w:tcPr>
          <w:p>
            <w:pPr>
              <w:jc w:val="center"/>
              <w:ind w:left="35"/>
              <w:spacing w:after="0"/>
              <w:rPr>
                <w:sz w:val="20"/>
                <w:szCs w:val="20"/>
                <w:color w:val="auto"/>
              </w:rPr>
            </w:pPr>
            <w:r>
              <w:rPr>
                <w:rFonts w:ascii="Arial" w:cs="Arial" w:eastAsia="Arial" w:hAnsi="Arial"/>
                <w:sz w:val="17"/>
                <w:szCs w:val="17"/>
                <w:color w:val="auto"/>
                <w:w w:val="90"/>
              </w:rPr>
              <w:t>31.1</w:t>
            </w:r>
          </w:p>
        </w:tc>
        <w:tc>
          <w:tcPr>
            <w:tcW w:w="940" w:type="dxa"/>
            <w:vAlign w:val="bottom"/>
          </w:tcPr>
          <w:p>
            <w:pPr>
              <w:ind w:left="120"/>
              <w:spacing w:after="0"/>
              <w:rPr>
                <w:sz w:val="20"/>
                <w:szCs w:val="20"/>
                <w:color w:val="auto"/>
              </w:rPr>
            </w:pPr>
            <w:r>
              <w:rPr>
                <w:rFonts w:ascii="Arial" w:cs="Arial" w:eastAsia="Arial" w:hAnsi="Arial"/>
                <w:sz w:val="17"/>
                <w:szCs w:val="17"/>
                <w:color w:val="auto"/>
                <w:w w:val="89"/>
              </w:rPr>
              <w:t>Section 302</w:t>
            </w:r>
          </w:p>
        </w:tc>
        <w:tc>
          <w:tcPr>
            <w:tcW w:w="4600" w:type="dxa"/>
            <w:vAlign w:val="bottom"/>
          </w:tcPr>
          <w:p>
            <w:pPr>
              <w:ind w:left="20"/>
              <w:spacing w:after="0"/>
              <w:rPr>
                <w:sz w:val="20"/>
                <w:szCs w:val="20"/>
                <w:color w:val="auto"/>
              </w:rPr>
            </w:pPr>
            <w:r>
              <w:rPr>
                <w:rFonts w:ascii="Arial" w:cs="Arial" w:eastAsia="Arial" w:hAnsi="Arial"/>
                <w:sz w:val="17"/>
                <w:szCs w:val="17"/>
                <w:color w:val="auto"/>
              </w:rPr>
              <w:t>Certification of Chief Executive Officer</w:t>
            </w:r>
          </w:p>
        </w:tc>
        <w:tc>
          <w:tcPr>
            <w:tcW w:w="1580" w:type="dxa"/>
            <w:vAlign w:val="bottom"/>
          </w:tcPr>
          <w:p>
            <w:pPr>
              <w:jc w:val="center"/>
              <w:ind w:left="415"/>
              <w:spacing w:after="0"/>
              <w:rPr>
                <w:sz w:val="20"/>
                <w:szCs w:val="20"/>
                <w:color w:val="auto"/>
              </w:rPr>
            </w:pPr>
            <w:r>
              <w:rPr>
                <w:rFonts w:ascii="Arial" w:cs="Arial" w:eastAsia="Arial" w:hAnsi="Arial"/>
                <w:sz w:val="17"/>
                <w:szCs w:val="17"/>
                <w:color w:val="auto"/>
              </w:rPr>
              <w:t>This filing</w:t>
            </w:r>
          </w:p>
        </w:tc>
        <w:tc>
          <w:tcPr>
            <w:tcW w:w="1720" w:type="dxa"/>
            <w:vAlign w:val="bottom"/>
          </w:tcPr>
          <w:p>
            <w:pPr>
              <w:spacing w:after="0"/>
              <w:rPr>
                <w:sz w:val="17"/>
                <w:szCs w:val="17"/>
                <w:color w:val="auto"/>
              </w:rPr>
            </w:pPr>
          </w:p>
        </w:tc>
      </w:tr>
      <w:tr>
        <w:trPr>
          <w:trHeight w:val="205"/>
        </w:trPr>
        <w:tc>
          <w:tcPr>
            <w:tcW w:w="1720" w:type="dxa"/>
            <w:vAlign w:val="bottom"/>
          </w:tcPr>
          <w:p>
            <w:pPr>
              <w:spacing w:after="0"/>
              <w:rPr>
                <w:sz w:val="17"/>
                <w:szCs w:val="17"/>
                <w:color w:val="auto"/>
              </w:rPr>
            </w:pPr>
          </w:p>
        </w:tc>
        <w:tc>
          <w:tcPr>
            <w:tcW w:w="86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0"/>
              </w:rPr>
              <w:t>31.2</w:t>
            </w:r>
          </w:p>
        </w:tc>
        <w:tc>
          <w:tcPr>
            <w:tcW w:w="94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9"/>
              </w:rPr>
              <w:t>Section 302</w:t>
            </w: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Certification of Principal Financial Officer</w:t>
            </w:r>
          </w:p>
        </w:tc>
        <w:tc>
          <w:tcPr>
            <w:tcW w:w="158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rPr>
              <w:t>This filing</w:t>
            </w:r>
          </w:p>
        </w:tc>
        <w:tc>
          <w:tcPr>
            <w:tcW w:w="1720" w:type="dxa"/>
            <w:vAlign w:val="bottom"/>
          </w:tcPr>
          <w:p>
            <w:pPr>
              <w:spacing w:after="0"/>
              <w:rPr>
                <w:sz w:val="17"/>
                <w:szCs w:val="17"/>
                <w:color w:val="auto"/>
              </w:rPr>
            </w:pPr>
          </w:p>
        </w:tc>
      </w:tr>
      <w:tr>
        <w:trPr>
          <w:trHeight w:val="205"/>
        </w:trPr>
        <w:tc>
          <w:tcPr>
            <w:tcW w:w="1720" w:type="dxa"/>
            <w:vAlign w:val="bottom"/>
          </w:tcPr>
          <w:p>
            <w:pPr>
              <w:spacing w:after="0"/>
              <w:rPr>
                <w:sz w:val="17"/>
                <w:szCs w:val="17"/>
                <w:color w:val="auto"/>
              </w:rPr>
            </w:pPr>
          </w:p>
        </w:tc>
        <w:tc>
          <w:tcPr>
            <w:tcW w:w="860" w:type="dxa"/>
            <w:vAlign w:val="bottom"/>
          </w:tcPr>
          <w:p>
            <w:pPr>
              <w:jc w:val="center"/>
              <w:ind w:left="35"/>
              <w:spacing w:after="0"/>
              <w:rPr>
                <w:sz w:val="20"/>
                <w:szCs w:val="20"/>
                <w:color w:val="auto"/>
              </w:rPr>
            </w:pPr>
            <w:r>
              <w:rPr>
                <w:rFonts w:ascii="Arial" w:cs="Arial" w:eastAsia="Arial" w:hAnsi="Arial"/>
                <w:sz w:val="17"/>
                <w:szCs w:val="17"/>
                <w:color w:val="auto"/>
                <w:w w:val="90"/>
              </w:rPr>
              <w:t>32.1</w:t>
            </w:r>
          </w:p>
        </w:tc>
        <w:tc>
          <w:tcPr>
            <w:tcW w:w="940" w:type="dxa"/>
            <w:vAlign w:val="bottom"/>
          </w:tcPr>
          <w:p>
            <w:pPr>
              <w:ind w:left="120"/>
              <w:spacing w:after="0"/>
              <w:rPr>
                <w:sz w:val="20"/>
                <w:szCs w:val="20"/>
                <w:color w:val="auto"/>
              </w:rPr>
            </w:pPr>
            <w:r>
              <w:rPr>
                <w:rFonts w:ascii="Arial" w:cs="Arial" w:eastAsia="Arial" w:hAnsi="Arial"/>
                <w:sz w:val="17"/>
                <w:szCs w:val="17"/>
                <w:color w:val="auto"/>
                <w:w w:val="89"/>
              </w:rPr>
              <w:t>Section 906</w:t>
            </w:r>
          </w:p>
        </w:tc>
        <w:tc>
          <w:tcPr>
            <w:tcW w:w="4600" w:type="dxa"/>
            <w:vAlign w:val="bottom"/>
          </w:tcPr>
          <w:p>
            <w:pPr>
              <w:ind w:left="20"/>
              <w:spacing w:after="0"/>
              <w:rPr>
                <w:sz w:val="20"/>
                <w:szCs w:val="20"/>
                <w:color w:val="auto"/>
              </w:rPr>
            </w:pPr>
            <w:r>
              <w:rPr>
                <w:rFonts w:ascii="Arial" w:cs="Arial" w:eastAsia="Arial" w:hAnsi="Arial"/>
                <w:sz w:val="17"/>
                <w:szCs w:val="17"/>
                <w:color w:val="auto"/>
              </w:rPr>
              <w:t>Certification of Chief Executive Officer</w:t>
            </w:r>
          </w:p>
        </w:tc>
        <w:tc>
          <w:tcPr>
            <w:tcW w:w="1580" w:type="dxa"/>
            <w:vAlign w:val="bottom"/>
          </w:tcPr>
          <w:p>
            <w:pPr>
              <w:jc w:val="center"/>
              <w:ind w:left="415"/>
              <w:spacing w:after="0"/>
              <w:rPr>
                <w:sz w:val="20"/>
                <w:szCs w:val="20"/>
                <w:color w:val="auto"/>
              </w:rPr>
            </w:pPr>
            <w:r>
              <w:rPr>
                <w:rFonts w:ascii="Arial" w:cs="Arial" w:eastAsia="Arial" w:hAnsi="Arial"/>
                <w:sz w:val="17"/>
                <w:szCs w:val="17"/>
                <w:color w:val="auto"/>
              </w:rPr>
              <w:t>This filing</w:t>
            </w:r>
          </w:p>
        </w:tc>
        <w:tc>
          <w:tcPr>
            <w:tcW w:w="1720" w:type="dxa"/>
            <w:vAlign w:val="bottom"/>
          </w:tcPr>
          <w:p>
            <w:pPr>
              <w:spacing w:after="0"/>
              <w:rPr>
                <w:sz w:val="17"/>
                <w:szCs w:val="17"/>
                <w:color w:val="auto"/>
              </w:rPr>
            </w:pPr>
          </w:p>
        </w:tc>
      </w:tr>
      <w:tr>
        <w:trPr>
          <w:trHeight w:val="205"/>
        </w:trPr>
        <w:tc>
          <w:tcPr>
            <w:tcW w:w="1720" w:type="dxa"/>
            <w:vAlign w:val="bottom"/>
          </w:tcPr>
          <w:p>
            <w:pPr>
              <w:spacing w:after="0"/>
              <w:rPr>
                <w:sz w:val="17"/>
                <w:szCs w:val="17"/>
                <w:color w:val="auto"/>
              </w:rPr>
            </w:pPr>
          </w:p>
        </w:tc>
        <w:tc>
          <w:tcPr>
            <w:tcW w:w="86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0"/>
              </w:rPr>
              <w:t>32.2</w:t>
            </w:r>
          </w:p>
        </w:tc>
        <w:tc>
          <w:tcPr>
            <w:tcW w:w="94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9"/>
              </w:rPr>
              <w:t>Section 906</w:t>
            </w:r>
          </w:p>
        </w:tc>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Certification of Principal Financial Officer</w:t>
            </w:r>
          </w:p>
        </w:tc>
        <w:tc>
          <w:tcPr>
            <w:tcW w:w="158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rPr>
              <w:t>This filing</w:t>
            </w:r>
          </w:p>
        </w:tc>
        <w:tc>
          <w:tcPr>
            <w:tcW w:w="1720" w:type="dxa"/>
            <w:vAlign w:val="bottom"/>
          </w:tcPr>
          <w:p>
            <w:pPr>
              <w:spacing w:after="0"/>
              <w:rPr>
                <w:sz w:val="17"/>
                <w:szCs w:val="17"/>
                <w:color w:val="auto"/>
              </w:rPr>
            </w:pPr>
          </w:p>
        </w:tc>
      </w:tr>
      <w:tr>
        <w:trPr>
          <w:trHeight w:val="806"/>
        </w:trPr>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0" w:type="dxa"/>
            <w:vAlign w:val="bottom"/>
          </w:tcPr>
          <w:p>
            <w:pPr>
              <w:ind w:left="2100"/>
              <w:spacing w:after="0"/>
              <w:rPr>
                <w:sz w:val="20"/>
                <w:szCs w:val="20"/>
                <w:color w:val="auto"/>
              </w:rPr>
            </w:pPr>
            <w:r>
              <w:rPr>
                <w:rFonts w:ascii="Arial" w:cs="Arial" w:eastAsia="Arial" w:hAnsi="Arial"/>
                <w:sz w:val="17"/>
                <w:szCs w:val="17"/>
                <w:color w:val="auto"/>
              </w:rPr>
              <w:t>21</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3"/>
        </w:trPr>
        <w:tc>
          <w:tcPr>
            <w:tcW w:w="17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23" w:name="page24"/>
    <w:bookmarkEnd w:id="23"/>
    <w:p>
      <w:pPr>
        <w:jc w:val="center"/>
        <w:ind w:right="-779"/>
        <w:spacing w:after="0"/>
        <w:rPr>
          <w:sz w:val="20"/>
          <w:szCs w:val="20"/>
          <w:color w:val="auto"/>
        </w:rPr>
      </w:pPr>
      <w:r>
        <w:rPr>
          <w:rFonts w:ascii="Arial" w:cs="Arial" w:eastAsia="Arial" w:hAnsi="Arial"/>
          <w:sz w:val="17"/>
          <w:szCs w:val="17"/>
          <w:b w:val="1"/>
          <w:bCs w:val="1"/>
          <w:color w:val="auto"/>
        </w:rPr>
        <w:t>SIGNATURES</w:t>
      </w:r>
    </w:p>
    <w:p>
      <w:pPr>
        <w:spacing w:after="0" w:line="244" w:lineRule="exact"/>
        <w:rPr>
          <w:sz w:val="20"/>
          <w:szCs w:val="20"/>
          <w:color w:val="auto"/>
        </w:rPr>
      </w:pPr>
    </w:p>
    <w:p>
      <w:pPr>
        <w:ind w:firstLine="615"/>
        <w:spacing w:after="0" w:line="276" w:lineRule="auto"/>
        <w:rPr>
          <w:sz w:val="20"/>
          <w:szCs w:val="20"/>
          <w:color w:val="auto"/>
        </w:rPr>
      </w:pPr>
      <w:r>
        <w:rPr>
          <w:rFonts w:ascii="Arial" w:cs="Arial" w:eastAsia="Arial" w:hAnsi="Arial"/>
          <w:sz w:val="17"/>
          <w:szCs w:val="17"/>
          <w:color w:val="auto"/>
        </w:rPr>
        <w:t>Pursuant to the requirements of the Securities and Exchange Act of 1934, the registrant has duly caused this report to be signed on its behalf by the undersigned thereunto duly authorized.</w:t>
      </w:r>
    </w:p>
    <w:p>
      <w:pPr>
        <w:spacing w:after="0" w:line="187"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520" w:val="left"/>
          <w:tab w:leader="none" w:pos="5100" w:val="left"/>
        </w:tabs>
        <w:rPr>
          <w:sz w:val="20"/>
          <w:szCs w:val="20"/>
          <w:color w:val="auto"/>
        </w:rPr>
      </w:pPr>
      <w:r>
        <w:rPr>
          <w:rFonts w:ascii="Arial" w:cs="Arial" w:eastAsia="Arial" w:hAnsi="Arial"/>
          <w:sz w:val="17"/>
          <w:szCs w:val="17"/>
          <w:color w:val="auto"/>
        </w:rPr>
        <w:t>November 11, 2008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wp:posOffset>
            </wp:positionV>
            <wp:extent cx="400875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08755" cy="16510"/>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Zeynep Hakimoglu</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President and Chief Executive Officer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520" w:val="left"/>
          <w:tab w:leader="none" w:pos="5100" w:val="left"/>
        </w:tabs>
        <w:rPr>
          <w:sz w:val="20"/>
          <w:szCs w:val="20"/>
          <w:color w:val="auto"/>
        </w:rPr>
      </w:pPr>
      <w:r>
        <w:rPr>
          <w:rFonts w:ascii="Arial" w:cs="Arial" w:eastAsia="Arial" w:hAnsi="Arial"/>
          <w:sz w:val="17"/>
          <w:szCs w:val="17"/>
          <w:color w:val="auto"/>
        </w:rPr>
        <w:t>November 11, 2008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wp:posOffset>
            </wp:positionV>
            <wp:extent cx="400875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08755" cy="16510"/>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Greg A. LeClaire</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Chief Financial Officer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660"/>
          </w:cols>
          <w:pgMar w:left="240" w:top="725" w:right="999" w:bottom="1440" w:gutter="0" w:footer="0" w:header="0"/>
        </w:sectPr>
      </w:pPr>
    </w:p>
    <w:bookmarkStart w:id="24" w:name="page25"/>
    <w:bookmarkEnd w:id="24"/>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430530</wp:posOffset>
            </wp:positionV>
            <wp:extent cx="7270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115" cy="825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20"/>
          <w:szCs w:val="20"/>
          <w:b w:val="1"/>
          <w:bCs w:val="1"/>
          <w:color w:val="auto"/>
        </w:rPr>
        <w:t>EXHIBIT 10.13</w:t>
      </w:r>
    </w:p>
    <w:p>
      <w:pPr>
        <w:spacing w:after="0" w:line="200" w:lineRule="exact"/>
        <w:rPr>
          <w:sz w:val="20"/>
          <w:szCs w:val="20"/>
          <w:color w:val="auto"/>
        </w:rPr>
      </w:pPr>
    </w:p>
    <w:p>
      <w:pPr>
        <w:spacing w:after="0" w:line="262" w:lineRule="exact"/>
        <w:rPr>
          <w:sz w:val="20"/>
          <w:szCs w:val="20"/>
          <w:color w:val="auto"/>
        </w:rPr>
      </w:pPr>
    </w:p>
    <w:p>
      <w:pPr>
        <w:jc w:val="center"/>
        <w:ind w:left="460"/>
        <w:spacing w:after="0"/>
        <w:rPr>
          <w:sz w:val="20"/>
          <w:szCs w:val="20"/>
          <w:color w:val="auto"/>
        </w:rPr>
      </w:pPr>
      <w:r>
        <w:rPr>
          <w:rFonts w:ascii="Arial" w:cs="Arial" w:eastAsia="Arial" w:hAnsi="Arial"/>
          <w:sz w:val="20"/>
          <w:szCs w:val="20"/>
          <w:b w:val="1"/>
          <w:bCs w:val="1"/>
          <w:color w:val="auto"/>
        </w:rPr>
        <w:t>Industrial Real Estate Lease</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20"/>
          <w:szCs w:val="20"/>
          <w:b w:val="1"/>
          <w:bCs w:val="1"/>
          <w:color w:val="auto"/>
        </w:rPr>
        <w:t>(Multi-Tenant Facility)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ONE: </w:t>
      </w:r>
      <w:r>
        <w:rPr>
          <w:rFonts w:ascii="Arial" w:cs="Arial" w:eastAsia="Arial" w:hAnsi="Arial"/>
          <w:sz w:val="17"/>
          <w:szCs w:val="17"/>
          <w:b w:val="1"/>
          <w:bCs w:val="1"/>
          <w:color w:val="auto"/>
        </w:rPr>
        <w:t>BASIC TERMS</w:t>
      </w:r>
    </w:p>
    <w:p>
      <w:pPr>
        <w:spacing w:after="0" w:line="2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Article One contains the Basic Terms of this Lease between the Landlord and Tenant named below. Other Articles, Sections and Paragraphs of the Lease referred to in this Article One explain and define the Basic Terms and are to be read in conjunction with the Basic Terms.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gridSpan w:val="6"/>
          </w:tcPr>
          <w:p>
            <w:pPr>
              <w:spacing w:after="0"/>
              <w:rPr>
                <w:sz w:val="20"/>
                <w:szCs w:val="20"/>
                <w:color w:val="auto"/>
              </w:rPr>
            </w:pPr>
            <w:r>
              <w:rPr>
                <w:rFonts w:ascii="Arial" w:cs="Arial" w:eastAsia="Arial" w:hAnsi="Arial"/>
                <w:sz w:val="17"/>
                <w:szCs w:val="17"/>
                <w:color w:val="auto"/>
                <w:w w:val="92"/>
              </w:rPr>
              <w:t xml:space="preserve">Section 1.01. </w:t>
            </w:r>
            <w:r>
              <w:rPr>
                <w:rFonts w:ascii="Arial" w:cs="Arial" w:eastAsia="Arial" w:hAnsi="Arial"/>
                <w:sz w:val="17"/>
                <w:szCs w:val="17"/>
                <w:b w:val="1"/>
                <w:bCs w:val="1"/>
                <w:color w:val="auto"/>
                <w:w w:val="92"/>
              </w:rPr>
              <w:t>Date of Lease:</w:t>
            </w:r>
            <w:r>
              <w:rPr>
                <w:rFonts w:ascii="Arial" w:cs="Arial" w:eastAsia="Arial" w:hAnsi="Arial"/>
                <w:sz w:val="17"/>
                <w:szCs w:val="17"/>
                <w:color w:val="auto"/>
                <w:w w:val="92"/>
              </w:rPr>
              <w:t xml:space="preserve">  10/13/2008</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5"/>
        </w:trPr>
        <w:tc>
          <w:tcPr>
            <w:tcW w:w="5000" w:type="dxa"/>
            <w:vAlign w:val="bottom"/>
            <w:gridSpan w:val="10"/>
          </w:tcPr>
          <w:p>
            <w:pPr>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b w:val="1"/>
                <w:bCs w:val="1"/>
                <w:color w:val="auto"/>
              </w:rPr>
              <w:t>Landlord (include legal entity):</w:t>
            </w:r>
            <w:r>
              <w:rPr>
                <w:rFonts w:ascii="Arial" w:cs="Arial" w:eastAsia="Arial" w:hAnsi="Arial"/>
                <w:sz w:val="17"/>
                <w:szCs w:val="17"/>
                <w:color w:val="auto"/>
              </w:rPr>
              <w:t xml:space="preserve"> CB Center, LLC</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5"/>
        </w:trPr>
        <w:tc>
          <w:tcPr>
            <w:tcW w:w="820" w:type="dxa"/>
            <w:vAlign w:val="bottom"/>
            <w:gridSpan w:val="3"/>
          </w:tcPr>
          <w:p>
            <w:pPr>
              <w:spacing w:after="0"/>
              <w:rPr>
                <w:sz w:val="20"/>
                <w:szCs w:val="20"/>
                <w:color w:val="auto"/>
              </w:rPr>
            </w:pPr>
            <w:r>
              <w:rPr>
                <w:rFonts w:ascii="Arial" w:cs="Arial" w:eastAsia="Arial" w:hAnsi="Arial"/>
                <w:sz w:val="17"/>
                <w:szCs w:val="17"/>
                <w:color w:val="auto"/>
              </w:rPr>
              <w:t>Address</w:t>
            </w:r>
          </w:p>
        </w:tc>
        <w:tc>
          <w:tcPr>
            <w:tcW w:w="420" w:type="dxa"/>
            <w:vAlign w:val="bottom"/>
          </w:tcPr>
          <w:p>
            <w:pPr>
              <w:ind w:left="260"/>
              <w:spacing w:after="0"/>
              <w:rPr>
                <w:sz w:val="20"/>
                <w:szCs w:val="20"/>
                <w:color w:val="auto"/>
              </w:rPr>
            </w:pPr>
            <w:r>
              <w:rPr>
                <w:rFonts w:ascii="Arial" w:cs="Arial" w:eastAsia="Arial" w:hAnsi="Arial"/>
                <w:sz w:val="17"/>
                <w:szCs w:val="17"/>
                <w:color w:val="auto"/>
                <w:w w:val="98"/>
              </w:rPr>
              <w:t>of</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Landlord:</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675</w:t>
            </w: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color w:val="auto"/>
              </w:rPr>
              <w:t>East</w:t>
            </w: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2100</w:t>
            </w: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South,</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Suite</w:t>
            </w: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150,</w:t>
            </w: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Salt</w:t>
            </w: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Lake</w:t>
            </w: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City,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Utah</w:t>
            </w:r>
          </w:p>
        </w:tc>
      </w:tr>
      <w:tr>
        <w:trPr>
          <w:trHeight w:val="185"/>
        </w:trPr>
        <w:tc>
          <w:tcPr>
            <w:tcW w:w="420" w:type="dxa"/>
            <w:vAlign w:val="bottom"/>
            <w:tcBorders>
              <w:bottom w:val="single" w:sz="8" w:color="auto"/>
            </w:tcBorders>
            <w:gridSpan w:val="2"/>
          </w:tcPr>
          <w:p>
            <w:pPr>
              <w:spacing w:after="0" w:line="185" w:lineRule="exact"/>
              <w:rPr>
                <w:sz w:val="20"/>
                <w:szCs w:val="20"/>
                <w:color w:val="auto"/>
              </w:rPr>
            </w:pPr>
            <w:r>
              <w:rPr>
                <w:rFonts w:ascii="Arial" w:cs="Arial" w:eastAsia="Arial" w:hAnsi="Arial"/>
                <w:sz w:val="17"/>
                <w:szCs w:val="17"/>
                <w:color w:val="auto"/>
                <w:w w:val="84"/>
              </w:rPr>
              <w:t>84106</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15"/>
        </w:trPr>
        <w:tc>
          <w:tcPr>
            <w:tcW w:w="820" w:type="dxa"/>
            <w:vAlign w:val="bottom"/>
            <w:gridSpan w:val="3"/>
          </w:tcPr>
          <w:p>
            <w:pPr>
              <w:spacing w:after="0"/>
              <w:rPr>
                <w:sz w:val="20"/>
                <w:szCs w:val="20"/>
                <w:color w:val="auto"/>
              </w:rPr>
            </w:pPr>
            <w:r>
              <w:rPr>
                <w:rFonts w:ascii="Arial" w:cs="Arial" w:eastAsia="Arial" w:hAnsi="Arial"/>
                <w:sz w:val="17"/>
                <w:szCs w:val="17"/>
                <w:color w:val="auto"/>
              </w:rPr>
              <w:t>Section</w:t>
            </w:r>
          </w:p>
        </w:tc>
        <w:tc>
          <w:tcPr>
            <w:tcW w:w="420" w:type="dxa"/>
            <w:vAlign w:val="bottom"/>
          </w:tcPr>
          <w:p>
            <w:pPr>
              <w:spacing w:after="0"/>
              <w:rPr>
                <w:sz w:val="24"/>
                <w:szCs w:val="24"/>
                <w:color w:val="auto"/>
              </w:rPr>
            </w:pPr>
          </w:p>
        </w:tc>
        <w:tc>
          <w:tcPr>
            <w:tcW w:w="820" w:type="dxa"/>
            <w:vAlign w:val="bottom"/>
          </w:tcPr>
          <w:p>
            <w:pPr>
              <w:jc w:val="right"/>
              <w:ind w:right="375"/>
              <w:spacing w:after="0"/>
              <w:rPr>
                <w:sz w:val="20"/>
                <w:szCs w:val="20"/>
                <w:color w:val="auto"/>
              </w:rPr>
            </w:pPr>
            <w:r>
              <w:rPr>
                <w:rFonts w:ascii="Arial" w:cs="Arial" w:eastAsia="Arial" w:hAnsi="Arial"/>
                <w:sz w:val="17"/>
                <w:szCs w:val="17"/>
                <w:color w:val="auto"/>
                <w:w w:val="89"/>
              </w:rPr>
              <w:t>1.03.</w:t>
            </w:r>
          </w:p>
        </w:tc>
        <w:tc>
          <w:tcPr>
            <w:tcW w:w="880" w:type="dxa"/>
            <w:vAlign w:val="bottom"/>
          </w:tcPr>
          <w:p>
            <w:pPr>
              <w:spacing w:after="0"/>
              <w:rPr>
                <w:sz w:val="24"/>
                <w:szCs w:val="24"/>
                <w:color w:val="auto"/>
              </w:rPr>
            </w:pPr>
          </w:p>
        </w:tc>
        <w:tc>
          <w:tcPr>
            <w:tcW w:w="1040" w:type="dxa"/>
            <w:vAlign w:val="bottom"/>
            <w:gridSpan w:val="2"/>
          </w:tcPr>
          <w:p>
            <w:pPr>
              <w:jc w:val="right"/>
              <w:ind w:right="295"/>
              <w:spacing w:after="0"/>
              <w:rPr>
                <w:sz w:val="20"/>
                <w:szCs w:val="20"/>
                <w:color w:val="auto"/>
              </w:rPr>
            </w:pPr>
            <w:r>
              <w:rPr>
                <w:rFonts w:ascii="Arial" w:cs="Arial" w:eastAsia="Arial" w:hAnsi="Arial"/>
                <w:sz w:val="17"/>
                <w:szCs w:val="17"/>
                <w:b w:val="1"/>
                <w:bCs w:val="1"/>
                <w:color w:val="auto"/>
              </w:rPr>
              <w:t>Tenant</w:t>
            </w:r>
          </w:p>
        </w:tc>
        <w:tc>
          <w:tcPr>
            <w:tcW w:w="1020" w:type="dxa"/>
            <w:vAlign w:val="bottom"/>
            <w:gridSpan w:val="2"/>
          </w:tcPr>
          <w:p>
            <w:pPr>
              <w:ind w:left="360"/>
              <w:spacing w:after="0"/>
              <w:rPr>
                <w:sz w:val="20"/>
                <w:szCs w:val="20"/>
                <w:color w:val="auto"/>
              </w:rPr>
            </w:pPr>
            <w:r>
              <w:rPr>
                <w:rFonts w:ascii="Arial" w:cs="Arial" w:eastAsia="Arial" w:hAnsi="Arial"/>
                <w:sz w:val="17"/>
                <w:szCs w:val="17"/>
                <w:b w:val="1"/>
                <w:bCs w:val="1"/>
                <w:color w:val="auto"/>
                <w:w w:val="98"/>
              </w:rPr>
              <w:t>(include</w:t>
            </w:r>
          </w:p>
        </w:tc>
        <w:tc>
          <w:tcPr>
            <w:tcW w:w="54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7"/>
                <w:szCs w:val="17"/>
                <w:b w:val="1"/>
                <w:bCs w:val="1"/>
                <w:color w:val="auto"/>
              </w:rPr>
              <w:t>legal</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1"/>
              </w:rPr>
              <w:t>entity):</w:t>
            </w: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ClearOne</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Communications,</w:t>
            </w:r>
          </w:p>
        </w:tc>
      </w:tr>
      <w:tr>
        <w:trPr>
          <w:trHeight w:val="185"/>
        </w:trPr>
        <w:tc>
          <w:tcPr>
            <w:tcW w:w="820" w:type="dxa"/>
            <w:vAlign w:val="bottom"/>
            <w:gridSpan w:val="3"/>
          </w:tcPr>
          <w:p>
            <w:pPr>
              <w:spacing w:after="0" w:line="185" w:lineRule="exact"/>
              <w:rPr>
                <w:sz w:val="20"/>
                <w:szCs w:val="20"/>
                <w:color w:val="auto"/>
              </w:rPr>
            </w:pPr>
            <w:r>
              <w:rPr>
                <w:rFonts w:ascii="Arial" w:cs="Arial" w:eastAsia="Arial" w:hAnsi="Arial"/>
                <w:sz w:val="17"/>
                <w:szCs w:val="17"/>
                <w:color w:val="auto"/>
              </w:rPr>
              <w:t>Inc.</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jc w:val="right"/>
              <w:ind w:right="275"/>
              <w:spacing w:after="0" w:line="185"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Address of Tenant:  Attn: Roger Quinney, 5225 Wiley Post Way, Suite 500, Salt Lake City, Utah 84116.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-10160</wp:posOffset>
            </wp:positionV>
            <wp:extent cx="3647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47440" cy="8255"/>
                    </a:xfrm>
                    <a:prstGeom prst="rect">
                      <a:avLst/>
                    </a:prstGeom>
                    <a:noFill/>
                  </pic:spPr>
                </pic:pic>
              </a:graphicData>
            </a:graphic>
          </wp:anchor>
        </w:drawing>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The Property is part of Landlord's multi-tenant real property development known as </w:t>
      </w:r>
      <w:r>
        <w:rPr>
          <w:rFonts w:ascii="Arial" w:cs="Arial" w:eastAsia="Arial" w:hAnsi="Arial"/>
          <w:sz w:val="17"/>
          <w:szCs w:val="17"/>
          <w:u w:val="single" w:color="auto"/>
          <w:color w:val="auto"/>
        </w:rPr>
        <w:t>California Business Center</w:t>
      </w:r>
      <w:r>
        <w:rPr>
          <w:rFonts w:ascii="Arial" w:cs="Arial" w:eastAsia="Arial" w:hAnsi="Arial"/>
          <w:sz w:val="17"/>
          <w:szCs w:val="17"/>
          <w:color w:val="auto"/>
        </w:rPr>
        <w:t xml:space="preserve"> and described or depicted in Exhibit "A" (the "Project"). The Project includes the land, the buildings and all other improvements located on the land, and the common areas described in Paragraph 4.05(a). The Property is (include street address, approximate square footage and description) </w:t>
      </w:r>
      <w:r>
        <w:rPr>
          <w:rFonts w:ascii="Arial" w:cs="Arial" w:eastAsia="Arial" w:hAnsi="Arial"/>
          <w:sz w:val="17"/>
          <w:szCs w:val="17"/>
          <w:u w:val="single" w:color="auto"/>
          <w:color w:val="auto"/>
        </w:rPr>
        <w:t>23,712 SF located at 1365 South Gladiola Street, Salt Lake</w:t>
      </w:r>
      <w:r>
        <w:rPr>
          <w:rFonts w:ascii="Arial" w:cs="Arial" w:eastAsia="Arial" w:hAnsi="Arial"/>
          <w:sz w:val="17"/>
          <w:szCs w:val="17"/>
          <w:color w:val="auto"/>
        </w:rPr>
        <w:t xml:space="preserve"> </w:t>
      </w:r>
      <w:r>
        <w:rPr>
          <w:rFonts w:ascii="Arial" w:cs="Arial" w:eastAsia="Arial" w:hAnsi="Arial"/>
          <w:sz w:val="17"/>
          <w:szCs w:val="17"/>
          <w:u w:val="single" w:color="auto"/>
          <w:color w:val="auto"/>
        </w:rPr>
        <w:t>City, Utah</w:t>
      </w:r>
      <w:r>
        <w:rPr>
          <w:rFonts w:ascii="Arial" w:cs="Arial" w:eastAsia="Arial" w:hAnsi="Arial"/>
          <w:sz w:val="17"/>
          <w:szCs w:val="17"/>
          <w:color w:val="auto"/>
        </w:rPr>
        <w:t xml:space="preserve">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b w:val="1"/>
          <w:bCs w:val="1"/>
          <w:color w:val="auto"/>
        </w:rPr>
        <w:t>Lease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Five (5)</w:t>
      </w:r>
      <w:r>
        <w:rPr>
          <w:rFonts w:ascii="Arial" w:cs="Arial" w:eastAsia="Arial" w:hAnsi="Arial"/>
          <w:sz w:val="16"/>
          <w:szCs w:val="16"/>
          <w:color w:val="auto"/>
        </w:rPr>
        <w:t xml:space="preserve"> years </w:t>
      </w:r>
      <w:r>
        <w:rPr>
          <w:rFonts w:ascii="Arial" w:cs="Arial" w:eastAsia="Arial" w:hAnsi="Arial"/>
          <w:sz w:val="16"/>
          <w:szCs w:val="16"/>
          <w:b w:val="1"/>
          <w:bCs w:val="1"/>
          <w:color w:val="auto"/>
        </w:rPr>
        <w:t>beginning 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December 1, 2008</w:t>
      </w:r>
      <w:r>
        <w:rPr>
          <w:rFonts w:ascii="Arial" w:cs="Arial" w:eastAsia="Arial" w:hAnsi="Arial"/>
          <w:sz w:val="16"/>
          <w:szCs w:val="16"/>
          <w:color w:val="auto"/>
        </w:rPr>
        <w:t xml:space="preserve"> or such other date as is specified in this Lease, and </w:t>
      </w:r>
      <w:r>
        <w:rPr>
          <w:rFonts w:ascii="Arial" w:cs="Arial" w:eastAsia="Arial" w:hAnsi="Arial"/>
          <w:sz w:val="16"/>
          <w:szCs w:val="16"/>
          <w:b w:val="1"/>
          <w:bCs w:val="1"/>
          <w:color w:val="auto"/>
        </w:rPr>
        <w:t>ending 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November 30, 2013</w:t>
      </w:r>
      <w:r>
        <w:rPr>
          <w:rFonts w:ascii="Arial" w:cs="Arial" w:eastAsia="Arial" w:hAnsi="Arial"/>
          <w:sz w:val="16"/>
          <w:szCs w:val="16"/>
          <w:color w:val="auto"/>
        </w:rPr>
        <w:t xml:space="preserve"> .</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gridSpan w:val="4"/>
          </w:tcPr>
          <w:p>
            <w:pPr>
              <w:spacing w:after="0"/>
              <w:rPr>
                <w:sz w:val="20"/>
                <w:szCs w:val="20"/>
                <w:color w:val="auto"/>
              </w:rPr>
            </w:pPr>
            <w:r>
              <w:rPr>
                <w:rFonts w:ascii="Arial" w:cs="Arial" w:eastAsia="Arial" w:hAnsi="Arial"/>
                <w:sz w:val="17"/>
                <w:szCs w:val="17"/>
                <w:color w:val="auto"/>
                <w:w w:val="94"/>
              </w:rPr>
              <w:t xml:space="preserve">Section 1.06. </w:t>
            </w:r>
            <w:r>
              <w:rPr>
                <w:rFonts w:ascii="Arial" w:cs="Arial" w:eastAsia="Arial" w:hAnsi="Arial"/>
                <w:sz w:val="17"/>
                <w:szCs w:val="17"/>
                <w:b w:val="1"/>
                <w:bCs w:val="1"/>
                <w:color w:val="auto"/>
                <w:w w:val="94"/>
              </w:rPr>
              <w:t>Permitted Uses:</w:t>
            </w:r>
            <w:r>
              <w:rPr>
                <w:rFonts w:ascii="Arial" w:cs="Arial" w:eastAsia="Arial" w:hAnsi="Arial"/>
                <w:sz w:val="17"/>
                <w:szCs w:val="17"/>
                <w:color w:val="auto"/>
                <w:w w:val="94"/>
              </w:rPr>
              <w:t xml:space="preserve"> (See Article Five)</w:t>
            </w:r>
          </w:p>
        </w:tc>
        <w:tc>
          <w:tcPr>
            <w:tcW w:w="40" w:type="dxa"/>
            <w:vAlign w:val="bottom"/>
          </w:tcPr>
          <w:p>
            <w:pPr>
              <w:spacing w:after="0"/>
              <w:rPr>
                <w:sz w:val="16"/>
                <w:szCs w:val="16"/>
                <w:color w:val="auto"/>
              </w:rPr>
            </w:pPr>
          </w:p>
        </w:tc>
        <w:tc>
          <w:tcPr>
            <w:tcW w:w="3620" w:type="dxa"/>
            <w:vAlign w:val="bottom"/>
            <w:gridSpan w:val="4"/>
          </w:tcPr>
          <w:p>
            <w:pPr>
              <w:ind w:left="20"/>
              <w:spacing w:after="0"/>
              <w:rPr>
                <w:sz w:val="20"/>
                <w:szCs w:val="20"/>
                <w:color w:val="auto"/>
              </w:rPr>
            </w:pPr>
            <w:r>
              <w:rPr>
                <w:rFonts w:ascii="Arial" w:cs="Arial" w:eastAsia="Arial" w:hAnsi="Arial"/>
                <w:sz w:val="17"/>
                <w:szCs w:val="17"/>
                <w:color w:val="auto"/>
                <w:w w:val="98"/>
              </w:rPr>
              <w:t>Warehousing/distribution and related office use..</w:t>
            </w: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53"/>
        </w:trPr>
        <w:tc>
          <w:tcPr>
            <w:tcW w:w="4800" w:type="dxa"/>
            <w:vAlign w:val="bottom"/>
            <w:gridSpan w:val="6"/>
          </w:tcPr>
          <w:p>
            <w:pPr>
              <w:spacing w:after="0"/>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b w:val="1"/>
                <w:bCs w:val="1"/>
                <w:color w:val="auto"/>
              </w:rPr>
              <w:t>Tenant's Guarantor:</w:t>
            </w:r>
            <w:r>
              <w:rPr>
                <w:rFonts w:ascii="Arial" w:cs="Arial" w:eastAsia="Arial" w:hAnsi="Arial"/>
                <w:sz w:val="17"/>
                <w:szCs w:val="17"/>
                <w:color w:val="auto"/>
              </w:rPr>
              <w:t xml:space="preserve"> (If none, so state)</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ind w:left="1540"/>
              <w:spacing w:after="0"/>
              <w:rPr>
                <w:sz w:val="20"/>
                <w:szCs w:val="20"/>
                <w:color w:val="auto"/>
              </w:rPr>
            </w:pPr>
            <w:r>
              <w:rPr>
                <w:rFonts w:ascii="Arial" w:cs="Arial" w:eastAsia="Arial" w:hAnsi="Arial"/>
                <w:sz w:val="17"/>
                <w:szCs w:val="17"/>
                <w:color w:val="auto"/>
              </w:rPr>
              <w:t>60;</w:t>
            </w:r>
          </w:p>
        </w:tc>
        <w:tc>
          <w:tcPr>
            <w:tcW w:w="600" w:type="dxa"/>
            <w:vAlign w:val="bottom"/>
          </w:tcPr>
          <w:p>
            <w:pPr>
              <w:jc w:val="right"/>
              <w:ind w:right="295"/>
              <w:spacing w:after="0"/>
              <w:rPr>
                <w:sz w:val="20"/>
                <w:szCs w:val="20"/>
                <w:color w:val="auto"/>
              </w:rPr>
            </w:pPr>
            <w:r>
              <w:rPr>
                <w:rFonts w:ascii="Arial" w:cs="Arial" w:eastAsia="Arial" w:hAnsi="Arial"/>
                <w:sz w:val="17"/>
                <w:szCs w:val="17"/>
                <w:color w:val="auto"/>
              </w:rPr>
              <w:t>.</w:t>
            </w:r>
          </w:p>
        </w:tc>
      </w:tr>
      <w:tr>
        <w:trPr>
          <w:trHeight w:val="435"/>
        </w:trPr>
        <w:tc>
          <w:tcPr>
            <w:tcW w:w="4800" w:type="dxa"/>
            <w:vAlign w:val="bottom"/>
            <w:gridSpan w:val="6"/>
          </w:tcPr>
          <w:p>
            <w:pPr>
              <w:spacing w:after="0"/>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b w:val="1"/>
                <w:bCs w:val="1"/>
                <w:color w:val="auto"/>
              </w:rPr>
              <w:t>Brokers:</w:t>
            </w:r>
            <w:r>
              <w:rPr>
                <w:rFonts w:ascii="Arial" w:cs="Arial" w:eastAsia="Arial" w:hAnsi="Arial"/>
                <w:sz w:val="17"/>
                <w:szCs w:val="17"/>
                <w:color w:val="auto"/>
              </w:rPr>
              <w:t xml:space="preserve"> (See Article Fourteen)(If none, so state)</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8"/>
        </w:trPr>
        <w:tc>
          <w:tcPr>
            <w:tcW w:w="3560" w:type="dxa"/>
            <w:vAlign w:val="bottom"/>
            <w:gridSpan w:val="5"/>
          </w:tcPr>
          <w:p>
            <w:pPr>
              <w:spacing w:after="0"/>
              <w:rPr>
                <w:sz w:val="20"/>
                <w:szCs w:val="20"/>
                <w:color w:val="auto"/>
              </w:rPr>
            </w:pPr>
            <w:r>
              <w:rPr>
                <w:rFonts w:ascii="Arial" w:cs="Arial" w:eastAsia="Arial" w:hAnsi="Arial"/>
                <w:sz w:val="17"/>
                <w:szCs w:val="17"/>
                <w:color w:val="auto"/>
                <w:w w:val="94"/>
              </w:rPr>
              <w:t>Landlord's Broker: Jeff Richards, CB Richard Ellis</w:t>
            </w: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ind w:left="154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4"/>
                <w:szCs w:val="24"/>
                <w:color w:val="auto"/>
              </w:rPr>
            </w:pPr>
          </w:p>
        </w:tc>
      </w:tr>
      <w:tr>
        <w:trPr>
          <w:trHeight w:val="415"/>
        </w:trPr>
        <w:tc>
          <w:tcPr>
            <w:tcW w:w="1340" w:type="dxa"/>
            <w:vAlign w:val="bottom"/>
            <w:gridSpan w:val="2"/>
          </w:tcPr>
          <w:p>
            <w:pPr>
              <w:spacing w:after="0"/>
              <w:rPr>
                <w:sz w:val="20"/>
                <w:szCs w:val="20"/>
                <w:color w:val="auto"/>
              </w:rPr>
            </w:pPr>
            <w:r>
              <w:rPr>
                <w:rFonts w:ascii="Arial" w:cs="Arial" w:eastAsia="Arial" w:hAnsi="Arial"/>
                <w:sz w:val="17"/>
                <w:szCs w:val="17"/>
                <w:color w:val="auto"/>
              </w:rPr>
              <w:t>Tenant's</w:t>
            </w:r>
          </w:p>
        </w:tc>
        <w:tc>
          <w:tcPr>
            <w:tcW w:w="2180" w:type="dxa"/>
            <w:vAlign w:val="bottom"/>
            <w:tcBorders>
              <w:top w:val="single" w:sz="8" w:color="auto"/>
            </w:tcBorders>
            <w:gridSpan w:val="2"/>
          </w:tcPr>
          <w:p>
            <w:pPr>
              <w:ind w:left="140"/>
              <w:spacing w:after="0"/>
              <w:rPr>
                <w:sz w:val="20"/>
                <w:szCs w:val="20"/>
                <w:color w:val="auto"/>
              </w:rPr>
            </w:pPr>
            <w:r>
              <w:rPr>
                <w:rFonts w:ascii="Arial" w:cs="Arial" w:eastAsia="Arial" w:hAnsi="Arial"/>
                <w:sz w:val="17"/>
                <w:szCs w:val="17"/>
                <w:color w:val="auto"/>
              </w:rPr>
              <w:t>Broker:</w:t>
            </w:r>
          </w:p>
        </w:tc>
        <w:tc>
          <w:tcPr>
            <w:tcW w:w="40" w:type="dxa"/>
            <w:vAlign w:val="bottom"/>
          </w:tcPr>
          <w:p>
            <w:pPr>
              <w:spacing w:after="0"/>
              <w:rPr>
                <w:sz w:val="24"/>
                <w:szCs w:val="24"/>
                <w:color w:val="auto"/>
              </w:rPr>
            </w:pPr>
          </w:p>
        </w:tc>
        <w:tc>
          <w:tcPr>
            <w:tcW w:w="1240" w:type="dxa"/>
            <w:vAlign w:val="bottom"/>
          </w:tcPr>
          <w:p>
            <w:pPr>
              <w:ind w:left="300"/>
              <w:spacing w:after="0"/>
              <w:rPr>
                <w:sz w:val="20"/>
                <w:szCs w:val="20"/>
                <w:color w:val="auto"/>
              </w:rPr>
            </w:pPr>
            <w:r>
              <w:rPr>
                <w:rFonts w:ascii="Arial" w:cs="Arial" w:eastAsia="Arial" w:hAnsi="Arial"/>
                <w:sz w:val="17"/>
                <w:szCs w:val="17"/>
                <w:color w:val="auto"/>
              </w:rPr>
              <w:t>Kneel</w:t>
            </w:r>
          </w:p>
        </w:tc>
        <w:tc>
          <w:tcPr>
            <w:tcW w:w="1560" w:type="dxa"/>
            <w:vAlign w:val="bottom"/>
          </w:tcPr>
          <w:p>
            <w:pPr>
              <w:ind w:left="400"/>
              <w:spacing w:after="0"/>
              <w:rPr>
                <w:sz w:val="20"/>
                <w:szCs w:val="20"/>
                <w:color w:val="auto"/>
              </w:rPr>
            </w:pPr>
            <w:r>
              <w:rPr>
                <w:rFonts w:ascii="Arial" w:cs="Arial" w:eastAsia="Arial" w:hAnsi="Arial"/>
                <w:sz w:val="17"/>
                <w:szCs w:val="17"/>
                <w:color w:val="auto"/>
              </w:rPr>
              <w:t>Robinson,</w:t>
            </w:r>
          </w:p>
        </w:tc>
        <w:tc>
          <w:tcPr>
            <w:tcW w:w="820" w:type="dxa"/>
            <w:vAlign w:val="bottom"/>
            <w:gridSpan w:val="2"/>
          </w:tcPr>
          <w:p>
            <w:pPr>
              <w:ind w:left="460"/>
              <w:spacing w:after="0"/>
              <w:rPr>
                <w:sz w:val="20"/>
                <w:szCs w:val="20"/>
                <w:color w:val="auto"/>
              </w:rPr>
            </w:pPr>
            <w:r>
              <w:rPr>
                <w:rFonts w:ascii="Arial" w:cs="Arial" w:eastAsia="Arial" w:hAnsi="Arial"/>
                <w:sz w:val="17"/>
                <w:szCs w:val="17"/>
                <w:color w:val="auto"/>
              </w:rPr>
              <w:t>NAI</w:t>
            </w:r>
          </w:p>
        </w:tc>
        <w:tc>
          <w:tcPr>
            <w:tcW w:w="1680" w:type="dxa"/>
            <w:vAlign w:val="bottom"/>
          </w:tcPr>
          <w:p>
            <w:pPr>
              <w:jc w:val="right"/>
              <w:ind w:right="375"/>
              <w:spacing w:after="0"/>
              <w:rPr>
                <w:sz w:val="20"/>
                <w:szCs w:val="20"/>
                <w:color w:val="auto"/>
              </w:rPr>
            </w:pPr>
            <w:r>
              <w:rPr>
                <w:rFonts w:ascii="Arial" w:cs="Arial" w:eastAsia="Arial" w:hAnsi="Arial"/>
                <w:sz w:val="17"/>
                <w:szCs w:val="17"/>
                <w:color w:val="auto"/>
              </w:rPr>
              <w:t>Utah</w:t>
            </w:r>
          </w:p>
        </w:tc>
        <w:tc>
          <w:tcPr>
            <w:tcW w:w="1960" w:type="dxa"/>
            <w:vAlign w:val="bottom"/>
          </w:tcPr>
          <w:p>
            <w:pPr>
              <w:ind w:left="460"/>
              <w:spacing w:after="0"/>
              <w:rPr>
                <w:sz w:val="20"/>
                <w:szCs w:val="20"/>
                <w:color w:val="auto"/>
              </w:rPr>
            </w:pPr>
            <w:r>
              <w:rPr>
                <w:rFonts w:ascii="Arial" w:cs="Arial" w:eastAsia="Arial" w:hAnsi="Arial"/>
                <w:sz w:val="17"/>
                <w:szCs w:val="17"/>
                <w:color w:val="auto"/>
              </w:rPr>
              <w:t>Commercial</w:t>
            </w:r>
          </w:p>
        </w:tc>
        <w:tc>
          <w:tcPr>
            <w:tcW w:w="600" w:type="dxa"/>
            <w:vAlign w:val="bottom"/>
          </w:tcPr>
          <w:p>
            <w:pPr>
              <w:jc w:val="right"/>
              <w:spacing w:after="0"/>
              <w:rPr>
                <w:sz w:val="20"/>
                <w:szCs w:val="20"/>
                <w:color w:val="auto"/>
              </w:rPr>
            </w:pPr>
            <w:r>
              <w:rPr>
                <w:rFonts w:ascii="Arial" w:cs="Arial" w:eastAsia="Arial" w:hAnsi="Arial"/>
                <w:sz w:val="17"/>
                <w:szCs w:val="17"/>
                <w:color w:val="auto"/>
              </w:rPr>
              <w:t>Real</w:t>
            </w:r>
          </w:p>
        </w:tc>
      </w:tr>
      <w:tr>
        <w:trPr>
          <w:trHeight w:val="185"/>
        </w:trPr>
        <w:tc>
          <w:tcPr>
            <w:tcW w:w="420" w:type="dxa"/>
            <w:vAlign w:val="bottom"/>
            <w:tcBorders>
              <w:bottom w:val="single" w:sz="8" w:color="auto"/>
            </w:tcBorders>
          </w:tcPr>
          <w:p>
            <w:pPr>
              <w:spacing w:after="0" w:line="185" w:lineRule="exact"/>
              <w:rPr>
                <w:sz w:val="20"/>
                <w:szCs w:val="20"/>
                <w:color w:val="auto"/>
              </w:rPr>
            </w:pPr>
            <w:r>
              <w:rPr>
                <w:rFonts w:ascii="Arial" w:cs="Arial" w:eastAsia="Arial" w:hAnsi="Arial"/>
                <w:sz w:val="17"/>
                <w:szCs w:val="17"/>
                <w:color w:val="auto"/>
                <w:w w:val="82"/>
              </w:rPr>
              <w:t>Estate</w:t>
            </w:r>
          </w:p>
        </w:tc>
        <w:tc>
          <w:tcPr>
            <w:tcW w:w="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95"/>
              <w:spacing w:after="0" w:line="185" w:lineRule="exact"/>
              <w:rPr>
                <w:sz w:val="20"/>
                <w:szCs w:val="20"/>
                <w:color w:val="auto"/>
              </w:rPr>
            </w:pPr>
            <w:r>
              <w:rPr>
                <w:rFonts w:ascii="Arial" w:cs="Arial" w:eastAsia="Arial" w:hAnsi="Arial"/>
                <w:sz w:val="17"/>
                <w:szCs w:val="17"/>
                <w:color w:val="auto"/>
              </w:rPr>
              <w:t>.</w:t>
            </w:r>
          </w:p>
        </w:tc>
        <w:tc>
          <w:tcPr>
            <w:tcW w:w="19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-967105</wp:posOffset>
            </wp:positionV>
            <wp:extent cx="27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b w:val="1"/>
          <w:bCs w:val="1"/>
          <w:color w:val="auto"/>
        </w:rPr>
        <w:t>Commission Payable to Landlord's Broker</w:t>
      </w:r>
      <w:r>
        <w:rPr>
          <w:rFonts w:ascii="Arial" w:cs="Arial" w:eastAsia="Arial" w:hAnsi="Arial"/>
          <w:sz w:val="17"/>
          <w:szCs w:val="17"/>
          <w:color w:val="auto"/>
        </w:rPr>
        <w:t xml:space="preserve">: (See Article Fourteen) </w:t>
      </w:r>
      <w:r>
        <w:rPr>
          <w:rFonts w:ascii="Arial" w:cs="Arial" w:eastAsia="Arial" w:hAnsi="Arial"/>
          <w:sz w:val="17"/>
          <w:szCs w:val="17"/>
          <w:u w:val="single" w:color="auto"/>
          <w:color w:val="auto"/>
        </w:rPr>
        <w:t>6% of net lease consideration to be split 50/50</w:t>
      </w:r>
      <w:r>
        <w:rPr>
          <w:rFonts w:ascii="Arial" w:cs="Arial" w:eastAsia="Arial" w:hAnsi="Arial"/>
          <w:sz w:val="17"/>
          <w:szCs w:val="17"/>
          <w:color w:val="auto"/>
        </w:rPr>
        <w:t xml:space="preserve"> .</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b w:val="1"/>
          <w:bCs w:val="1"/>
          <w:color w:val="auto"/>
        </w:rPr>
        <w:t>Initial Security Deposit:</w:t>
      </w:r>
      <w:r>
        <w:rPr>
          <w:rFonts w:ascii="Arial" w:cs="Arial" w:eastAsia="Arial" w:hAnsi="Arial"/>
          <w:sz w:val="17"/>
          <w:szCs w:val="17"/>
          <w:color w:val="auto"/>
        </w:rPr>
        <w:t xml:space="preserve"> (See Section 3.03) $</w:t>
      </w:r>
      <w:r>
        <w:rPr>
          <w:rFonts w:ascii="Arial" w:cs="Arial" w:eastAsia="Arial" w:hAnsi="Arial"/>
          <w:sz w:val="17"/>
          <w:szCs w:val="17"/>
          <w:u w:val="single" w:color="auto"/>
          <w:color w:val="auto"/>
        </w:rPr>
        <w:t>8,000.00</w:t>
      </w:r>
      <w:r>
        <w:rPr>
          <w:rFonts w:ascii="Arial" w:cs="Arial" w:eastAsia="Arial" w:hAnsi="Arial"/>
          <w:sz w:val="17"/>
          <w:szCs w:val="17"/>
          <w:color w:val="auto"/>
        </w:rPr>
        <w:t xml:space="preserve"> .</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b w:val="1"/>
          <w:bCs w:val="1"/>
          <w:color w:val="auto"/>
        </w:rPr>
        <w:t>Vehicle Parking Spaces Allocated to Tenant:</w:t>
      </w:r>
      <w:r>
        <w:rPr>
          <w:rFonts w:ascii="Arial" w:cs="Arial" w:eastAsia="Arial" w:hAnsi="Arial"/>
          <w:sz w:val="17"/>
          <w:szCs w:val="17"/>
          <w:color w:val="auto"/>
        </w:rPr>
        <w:t xml:space="preserve"> (See Section 4.05) Pro rata share of parking spots as shown on Exhibit A directly in front of leased </w:t>
      </w:r>
      <w:r>
        <w:rPr>
          <w:rFonts w:ascii="Arial" w:cs="Arial" w:eastAsia="Arial" w:hAnsi="Arial"/>
          <w:sz w:val="17"/>
          <w:szCs w:val="17"/>
          <w:u w:val="single" w:color="auto"/>
          <w:color w:val="auto"/>
        </w:rPr>
        <w:t>property.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-173990</wp:posOffset>
            </wp:positionV>
            <wp:extent cx="36506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5061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b w:val="1"/>
          <w:bCs w:val="1"/>
          <w:color w:val="auto"/>
        </w:rPr>
        <w:t>Rent and Other Charges Payable by Tenant:</w:t>
      </w:r>
    </w:p>
    <w:p>
      <w:pPr>
        <w:spacing w:after="0" w:line="244" w:lineRule="exact"/>
        <w:rPr>
          <w:sz w:val="20"/>
          <w:szCs w:val="20"/>
          <w:color w:val="auto"/>
        </w:rPr>
      </w:pPr>
    </w:p>
    <w:p>
      <w:pPr>
        <w:jc w:val="both"/>
        <w:ind w:left="620" w:hanging="3"/>
        <w:spacing w:after="0" w:line="251" w:lineRule="auto"/>
        <w:tabs>
          <w:tab w:leader="none" w:pos="89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BASE RENT: </w:t>
      </w:r>
      <w:r>
        <w:rPr>
          <w:rFonts w:ascii="Arial" w:cs="Arial" w:eastAsia="Arial" w:hAnsi="Arial"/>
          <w:sz w:val="16"/>
          <w:szCs w:val="16"/>
          <w:u w:val="single" w:color="auto"/>
          <w:color w:val="auto"/>
        </w:rPr>
        <w:t>Seven Thousand One Hundred Thirteen and 60/100</w:t>
      </w:r>
      <w:r>
        <w:rPr>
          <w:rFonts w:ascii="Arial" w:cs="Arial" w:eastAsia="Arial" w:hAnsi="Arial"/>
          <w:sz w:val="16"/>
          <w:szCs w:val="16"/>
          <w:color w:val="auto"/>
        </w:rPr>
        <w:t xml:space="preserve"> Dollars ($ </w:t>
      </w:r>
      <w:r>
        <w:rPr>
          <w:rFonts w:ascii="Arial" w:cs="Arial" w:eastAsia="Arial" w:hAnsi="Arial"/>
          <w:sz w:val="16"/>
          <w:szCs w:val="16"/>
          <w:u w:val="single" w:color="auto"/>
          <w:color w:val="auto"/>
        </w:rPr>
        <w:t>7,113.60</w:t>
      </w:r>
      <w:r>
        <w:rPr>
          <w:rFonts w:ascii="Arial" w:cs="Arial" w:eastAsia="Arial" w:hAnsi="Arial"/>
          <w:sz w:val="16"/>
          <w:szCs w:val="16"/>
          <w:color w:val="auto"/>
        </w:rPr>
        <w:t xml:space="preserve"> ) per month for the first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months, as provided in Section 3.01, and shall be increased on the first day of the </w:t>
      </w:r>
      <w:r>
        <w:rPr>
          <w:rFonts w:ascii="Arial" w:cs="Arial" w:eastAsia="Arial" w:hAnsi="Arial"/>
          <w:sz w:val="16"/>
          <w:szCs w:val="16"/>
          <w:u w:val="single" w:color="auto"/>
          <w:color w:val="auto"/>
        </w:rPr>
        <w:t>13</w:t>
      </w:r>
      <w:r>
        <w:rPr>
          <w:rFonts w:ascii="Arial" w:cs="Arial" w:eastAsia="Arial" w:hAnsi="Arial"/>
          <w:sz w:val="22"/>
          <w:szCs w:val="22"/>
          <w:u w:val="single" w:color="auto"/>
          <w:color w:val="auto"/>
          <w:vertAlign w:val="superscript"/>
        </w:rPr>
        <w:t>th</w:t>
      </w:r>
      <w:r>
        <w:rPr>
          <w:rFonts w:ascii="Arial" w:cs="Arial" w:eastAsia="Arial" w:hAnsi="Arial"/>
          <w:sz w:val="16"/>
          <w:szCs w:val="16"/>
          <w:u w:val="single" w:color="auto"/>
          <w:color w:val="auto"/>
        </w:rPr>
        <w:t>, 25</w:t>
      </w:r>
      <w:r>
        <w:rPr>
          <w:rFonts w:ascii="Arial" w:cs="Arial" w:eastAsia="Arial" w:hAnsi="Arial"/>
          <w:sz w:val="22"/>
          <w:szCs w:val="22"/>
          <w:u w:val="single" w:color="auto"/>
          <w:color w:val="auto"/>
          <w:vertAlign w:val="superscript"/>
        </w:rPr>
        <w:t>th</w:t>
      </w:r>
      <w:r>
        <w:rPr>
          <w:rFonts w:ascii="Arial" w:cs="Arial" w:eastAsia="Arial" w:hAnsi="Arial"/>
          <w:sz w:val="16"/>
          <w:szCs w:val="16"/>
          <w:u w:val="single" w:color="auto"/>
          <w:color w:val="auto"/>
        </w:rPr>
        <w:t>, 37</w:t>
      </w:r>
      <w:r>
        <w:rPr>
          <w:rFonts w:ascii="Arial" w:cs="Arial" w:eastAsia="Arial" w:hAnsi="Arial"/>
          <w:sz w:val="22"/>
          <w:szCs w:val="22"/>
          <w:u w:val="single" w:color="auto"/>
          <w:color w:val="auto"/>
          <w:vertAlign w:val="superscript"/>
        </w:rPr>
        <w:t>th</w:t>
      </w:r>
      <w:r>
        <w:rPr>
          <w:rFonts w:ascii="Arial" w:cs="Arial" w:eastAsia="Arial" w:hAnsi="Arial"/>
          <w:sz w:val="16"/>
          <w:szCs w:val="16"/>
          <w:u w:val="single" w:color="auto"/>
          <w:color w:val="auto"/>
        </w:rPr>
        <w:t>, and 49</w:t>
      </w:r>
      <w:r>
        <w:rPr>
          <w:rFonts w:ascii="Arial" w:cs="Arial" w:eastAsia="Arial" w:hAnsi="Arial"/>
          <w:sz w:val="22"/>
          <w:szCs w:val="22"/>
          <w:u w:val="single" w:color="auto"/>
          <w:color w:val="auto"/>
          <w:vertAlign w:val="superscript"/>
        </w:rPr>
        <w:t>th</w:t>
      </w:r>
      <w:r>
        <w:rPr>
          <w:rFonts w:ascii="Arial" w:cs="Arial" w:eastAsia="Arial" w:hAnsi="Arial"/>
          <w:sz w:val="16"/>
          <w:szCs w:val="16"/>
          <w:color w:val="auto"/>
        </w:rPr>
        <w:t xml:space="preserve"> month(s) after the Commencement Date, either (i) as provided in Section 3.02, or (ii) </w:t>
      </w:r>
      <w:r>
        <w:rPr>
          <w:rFonts w:ascii="Arial" w:cs="Arial" w:eastAsia="Arial" w:hAnsi="Arial"/>
          <w:sz w:val="16"/>
          <w:szCs w:val="16"/>
          <w:u w:val="single" w:color="auto"/>
          <w:color w:val="auto"/>
        </w:rPr>
        <w:t>per the rent schedule below</w:t>
      </w:r>
      <w:r>
        <w:rPr>
          <w:rFonts w:ascii="Arial" w:cs="Arial" w:eastAsia="Arial" w:hAnsi="Arial"/>
          <w:sz w:val="16"/>
          <w:szCs w:val="16"/>
          <w:color w:val="auto"/>
        </w:rPr>
        <w:t xml:space="preserve">. (If (ii) is completed, then (i) and Section 3.02 are inapplicable.) </w:t>
      </w:r>
      <w:r>
        <w:rPr>
          <w:rFonts w:ascii="Arial" w:cs="Arial" w:eastAsia="Arial" w:hAnsi="Arial"/>
          <w:sz w:val="16"/>
          <w:szCs w:val="16"/>
          <w:u w:val="single" w:color="auto"/>
          <w:color w:val="auto"/>
        </w:rPr>
        <w:t>Base Rent shall commence December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-160020</wp:posOffset>
            </wp:positionV>
            <wp:extent cx="27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Months</w:t>
            </w:r>
          </w:p>
        </w:tc>
        <w:tc>
          <w:tcPr>
            <w:tcW w:w="3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Base Rent</w:t>
            </w:r>
          </w:p>
        </w:tc>
      </w:tr>
      <w:tr>
        <w:trPr>
          <w:trHeight w:val="453"/>
        </w:trPr>
        <w:tc>
          <w:tcPr>
            <w:tcW w:w="3260" w:type="dxa"/>
            <w:vAlign w:val="bottom"/>
            <w:gridSpan w:val="2"/>
          </w:tcPr>
          <w:p>
            <w:pPr>
              <w:spacing w:after="0"/>
              <w:rPr>
                <w:sz w:val="20"/>
                <w:szCs w:val="20"/>
                <w:color w:val="auto"/>
              </w:rPr>
            </w:pPr>
            <w:r>
              <w:rPr>
                <w:rFonts w:ascii="Arial" w:cs="Arial" w:eastAsia="Arial" w:hAnsi="Arial"/>
                <w:sz w:val="17"/>
                <w:szCs w:val="17"/>
                <w:color w:val="auto"/>
              </w:rPr>
              <w:t>Thirteen (13) through Twenty Four (24)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$7,824.96</w:t>
            </w:r>
          </w:p>
        </w:tc>
      </w:tr>
      <w:tr>
        <w:trPr>
          <w:trHeight w:val="435"/>
        </w:trPr>
        <w:tc>
          <w:tcPr>
            <w:tcW w:w="3260" w:type="dxa"/>
            <w:vAlign w:val="bottom"/>
            <w:gridSpan w:val="2"/>
          </w:tcPr>
          <w:p>
            <w:pPr>
              <w:spacing w:after="0"/>
              <w:rPr>
                <w:sz w:val="20"/>
                <w:szCs w:val="20"/>
                <w:color w:val="auto"/>
              </w:rPr>
            </w:pPr>
            <w:r>
              <w:rPr>
                <w:rFonts w:ascii="Arial" w:cs="Arial" w:eastAsia="Arial" w:hAnsi="Arial"/>
                <w:sz w:val="17"/>
                <w:szCs w:val="17"/>
                <w:color w:val="auto"/>
              </w:rPr>
              <w:t>Twenty Five (25) through Thirty Six (36)</w:t>
            </w: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$8,062.08</w:t>
            </w:r>
          </w:p>
        </w:tc>
      </w:tr>
      <w:tr>
        <w:trPr>
          <w:trHeight w:val="435"/>
        </w:trPr>
        <w:tc>
          <w:tcPr>
            <w:tcW w:w="3260" w:type="dxa"/>
            <w:vAlign w:val="bottom"/>
            <w:gridSpan w:val="2"/>
          </w:tcPr>
          <w:p>
            <w:pPr>
              <w:spacing w:after="0"/>
              <w:rPr>
                <w:sz w:val="20"/>
                <w:szCs w:val="20"/>
                <w:color w:val="auto"/>
              </w:rPr>
            </w:pPr>
            <w:r>
              <w:rPr>
                <w:rFonts w:ascii="Arial" w:cs="Arial" w:eastAsia="Arial" w:hAnsi="Arial"/>
                <w:sz w:val="17"/>
                <w:szCs w:val="17"/>
                <w:color w:val="auto"/>
              </w:rPr>
              <w:t>Thirty Seven (37) through Forty Eight (48)</w:t>
            </w: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$8,299.20</w:t>
            </w:r>
          </w:p>
        </w:tc>
      </w:tr>
      <w:tr>
        <w:trPr>
          <w:trHeight w:val="435"/>
        </w:trPr>
        <w:tc>
          <w:tcPr>
            <w:tcW w:w="3260" w:type="dxa"/>
            <w:vAlign w:val="bottom"/>
            <w:gridSpan w:val="2"/>
          </w:tcPr>
          <w:p>
            <w:pPr>
              <w:spacing w:after="0"/>
              <w:rPr>
                <w:sz w:val="20"/>
                <w:szCs w:val="20"/>
                <w:color w:val="auto"/>
              </w:rPr>
            </w:pPr>
            <w:r>
              <w:rPr>
                <w:rFonts w:ascii="Arial" w:cs="Arial" w:eastAsia="Arial" w:hAnsi="Arial"/>
                <w:sz w:val="17"/>
                <w:szCs w:val="17"/>
                <w:color w:val="auto"/>
              </w:rPr>
              <w:t>Forty Nine (49) through Sixty (60)</w:t>
            </w: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$8,536.32</w:t>
            </w:r>
          </w:p>
        </w:tc>
      </w:tr>
    </w:tbl>
    <w:p>
      <w:pPr>
        <w:spacing w:after="0" w:line="219" w:lineRule="exact"/>
        <w:rPr>
          <w:sz w:val="20"/>
          <w:szCs w:val="20"/>
          <w:color w:val="auto"/>
        </w:rPr>
      </w:pPr>
    </w:p>
    <w:p>
      <w:pPr>
        <w:jc w:val="both"/>
        <w:ind w:left="620" w:hanging="3"/>
        <w:spacing w:after="0" w:line="264" w:lineRule="auto"/>
        <w:tabs>
          <w:tab w:leader="none" w:pos="93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OTHER PERIODIC PAYMENTS: (i) Real Property Taxes (See Section 4.02); (ii) Utilities (See Section 4.03); (iii) Insurance Premiums (See Section 4.04); (iv) Tenant's Initial Pro Rata Share of Common Area Expenses </w:t>
      </w:r>
      <w:r>
        <w:rPr>
          <w:rFonts w:ascii="Arial" w:cs="Arial" w:eastAsia="Arial" w:hAnsi="Arial"/>
          <w:sz w:val="17"/>
          <w:szCs w:val="17"/>
          <w:u w:val="single" w:color="auto"/>
          <w:color w:val="auto"/>
        </w:rPr>
        <w:t>11.1</w:t>
      </w:r>
      <w:r>
        <w:rPr>
          <w:rFonts w:ascii="Arial" w:cs="Arial" w:eastAsia="Arial" w:hAnsi="Arial"/>
          <w:sz w:val="17"/>
          <w:szCs w:val="17"/>
          <w:color w:val="auto"/>
        </w:rPr>
        <w:t>% (See Section 4.05); (v) Impounds for Insurance Premiums and Property Taxes (See Section 4.08); (vi) Maintenance, Repairs and Alterations (see Article Six).</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b w:val="1"/>
          <w:bCs w:val="1"/>
          <w:color w:val="auto"/>
        </w:rPr>
        <w:t>Landlord's Share of Profit on Assignment or Sublease:</w:t>
      </w:r>
      <w:r>
        <w:rPr>
          <w:rFonts w:ascii="Arial" w:cs="Arial" w:eastAsia="Arial" w:hAnsi="Arial"/>
          <w:sz w:val="16"/>
          <w:szCs w:val="16"/>
          <w:color w:val="auto"/>
        </w:rPr>
        <w:t xml:space="preserve"> (See Section 9.05) </w:t>
      </w:r>
      <w:r>
        <w:rPr>
          <w:rFonts w:ascii="Arial" w:cs="Arial" w:eastAsia="Arial" w:hAnsi="Arial"/>
          <w:sz w:val="16"/>
          <w:szCs w:val="16"/>
          <w:u w:val="single" w:color="auto"/>
          <w:color w:val="auto"/>
        </w:rPr>
        <w:t>FIFTY</w:t>
      </w:r>
      <w:r>
        <w:rPr>
          <w:rFonts w:ascii="Arial" w:cs="Arial" w:eastAsia="Arial" w:hAnsi="Arial"/>
          <w:sz w:val="16"/>
          <w:szCs w:val="16"/>
          <w:color w:val="auto"/>
        </w:rPr>
        <w:t xml:space="preserve"> percent ( 50 %) of the Profit (the "Landlord's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4765040</wp:posOffset>
            </wp:positionH>
            <wp:positionV relativeFrom="paragraph">
              <wp:posOffset>0</wp:posOffset>
            </wp:positionV>
            <wp:extent cx="1625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31"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b w:val="1"/>
          <w:bCs w:val="1"/>
          <w:color w:val="auto"/>
        </w:rPr>
        <w:t>Riders:</w:t>
      </w:r>
      <w:r>
        <w:rPr>
          <w:rFonts w:ascii="Arial" w:cs="Arial" w:eastAsia="Arial" w:hAnsi="Arial"/>
          <w:sz w:val="17"/>
          <w:szCs w:val="17"/>
          <w:color w:val="auto"/>
        </w:rPr>
        <w:t xml:space="preserve"> The following Riders are attached to and made a part of this Lease: (If none, so state) </w:t>
      </w:r>
      <w:r>
        <w:rPr>
          <w:rFonts w:ascii="Arial" w:cs="Arial" w:eastAsia="Arial" w:hAnsi="Arial"/>
          <w:sz w:val="17"/>
          <w:szCs w:val="17"/>
          <w:u w:val="single" w:color="auto"/>
          <w:color w:val="auto"/>
        </w:rPr>
        <w:t>Exhibit A – Premises; Exhibit B - Renewal Option;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C - Cancellation Provision; Exhibit D - Tenant Improvements; Exhibit E - Early Occupancy</w:t>
      </w:r>
      <w:r>
        <w:rPr>
          <w:rFonts w:ascii="Arial" w:cs="Arial" w:eastAsia="Arial" w:hAnsi="Arial"/>
          <w:sz w:val="17"/>
          <w:szCs w:val="17"/>
          <w:color w:val="auto"/>
        </w:rPr>
        <w:t xml:space="preserve"> .</w:t>
      </w:r>
    </w:p>
    <w:p>
      <w:pPr>
        <w:sectPr>
          <w:pgSz w:w="11900" w:h="16840" w:orient="portrait"/>
          <w:cols w:equalWidth="0" w:num="1">
            <w:col w:w="11420"/>
          </w:cols>
          <w:pgMar w:left="240" w:top="767" w:right="239" w:bottom="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 xml:space="preserve">ARTICLE TWO: </w:t>
      </w:r>
      <w:r>
        <w:rPr>
          <w:rFonts w:ascii="Arial" w:cs="Arial" w:eastAsia="Arial" w:hAnsi="Arial"/>
          <w:sz w:val="17"/>
          <w:szCs w:val="17"/>
          <w:b w:val="1"/>
          <w:bCs w:val="1"/>
          <w:color w:val="auto"/>
        </w:rPr>
        <w:t>LEASE TERM</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b w:val="1"/>
          <w:bCs w:val="1"/>
          <w:color w:val="auto"/>
        </w:rPr>
        <w:t>Lease of Property For Lease Term.</w:t>
      </w:r>
      <w:r>
        <w:rPr>
          <w:rFonts w:ascii="Arial" w:cs="Arial" w:eastAsia="Arial" w:hAnsi="Arial"/>
          <w:sz w:val="17"/>
          <w:szCs w:val="17"/>
          <w:color w:val="auto"/>
        </w:rPr>
        <w:t xml:space="preserve"> Landlord leases the Property to Tenant and Tenant leases the Property from Landlord for the Lease Term. The Lease Term is for the period stated in Section 1.05 above and shall begin and end on the dates specified in Section 1.05 above, unless the beginning or end of the Lease Term is changed under any provision of this Lease. The "Commencement Date" shall be the date specified in Section 1.05 above for the beginning of the Lease Term, unless advanced or delayed under any provision of this Lease.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b w:val="1"/>
          <w:bCs w:val="1"/>
          <w:color w:val="auto"/>
        </w:rPr>
        <w:t>Intentionally Omitted</w:t>
      </w:r>
    </w:p>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b w:val="1"/>
          <w:bCs w:val="1"/>
          <w:color w:val="auto"/>
        </w:rPr>
        <w:t>Early Occupancy.</w:t>
      </w:r>
      <w:r>
        <w:rPr>
          <w:rFonts w:ascii="Arial" w:cs="Arial" w:eastAsia="Arial" w:hAnsi="Arial"/>
          <w:sz w:val="17"/>
          <w:szCs w:val="17"/>
          <w:color w:val="auto"/>
        </w:rPr>
        <w:t xml:space="preserve"> If Tenant occupies the Property prior to the Commencement Date, Tenant's occupancy of the Property shall be subject to all of the provisions of this Lease. Early occupancy of the Property shall not advance the expiration date of this Lease. Tenant shall pay Base Rent and all other charges specified in this Lease for the early occupancy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b w:val="1"/>
          <w:bCs w:val="1"/>
          <w:color w:val="auto"/>
        </w:rPr>
        <w:t>Holding Over.</w:t>
      </w:r>
      <w:r>
        <w:rPr>
          <w:rFonts w:ascii="Arial" w:cs="Arial" w:eastAsia="Arial" w:hAnsi="Arial"/>
          <w:sz w:val="17"/>
          <w:szCs w:val="17"/>
          <w:color w:val="auto"/>
        </w:rPr>
        <w:t xml:space="preserve"> Tenant shall vacate the Property upon the expiration or earlier termination of this Lease. Tenant shall reimburse Landlord for and indemnify Landlord against all damages which Landlord incurs from Tenant's delay in vacating the Property. If Tenant does not vacate the Property upon the expiration or earlier termination of the Lease and Landlord thereafter accepts rent from Tenant, Tenant's occupancy of the Property shall be a "month-to-month" tenancy, subject to all of the terms of this Lease applicable to a month-to-month tenancy, except that the Base Rent then in effect shall be increased by twenty-five percent (25%).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THREE: </w:t>
      </w:r>
      <w:r>
        <w:rPr>
          <w:rFonts w:ascii="Arial" w:cs="Arial" w:eastAsia="Arial" w:hAnsi="Arial"/>
          <w:sz w:val="17"/>
          <w:szCs w:val="17"/>
          <w:b w:val="1"/>
          <w:bCs w:val="1"/>
          <w:color w:val="auto"/>
        </w:rPr>
        <w:t>BASE RENT</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b w:val="1"/>
          <w:bCs w:val="1"/>
          <w:color w:val="auto"/>
        </w:rPr>
        <w:t>Time and Manner of Payment.</w:t>
      </w:r>
      <w:r>
        <w:rPr>
          <w:rFonts w:ascii="Arial" w:cs="Arial" w:eastAsia="Arial" w:hAnsi="Arial"/>
          <w:sz w:val="17"/>
          <w:szCs w:val="17"/>
          <w:color w:val="auto"/>
        </w:rPr>
        <w:t xml:space="preserve"> Upon execution of this Lease, Tenant shall pay Landlord the Base Rent in the amount stated in Paragraph 1.12(a) above for the first month of the Lease Term. On the first day of the second month of the Lease Term and each month thereafter, Tenant shall pay Landlord the Base Rent, in advance, without offset, deduction or prior demand. The Base Rent shall be payable at Landlord's address or at such other place as Landlord may designate in writing.</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b w:val="1"/>
          <w:bCs w:val="1"/>
          <w:color w:val="auto"/>
        </w:rPr>
        <w:t>Intentionally Omitted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b w:val="1"/>
          <w:bCs w:val="1"/>
          <w:color w:val="auto"/>
        </w:rPr>
        <w:t>Security Deposit; Increases.</w:t>
      </w:r>
    </w:p>
    <w:p>
      <w:pPr>
        <w:spacing w:after="0" w:line="244" w:lineRule="exact"/>
        <w:rPr>
          <w:sz w:val="20"/>
          <w:szCs w:val="20"/>
          <w:color w:val="auto"/>
        </w:rPr>
      </w:pPr>
    </w:p>
    <w:p>
      <w:pPr>
        <w:jc w:val="both"/>
        <w:ind w:left="620" w:hanging="3"/>
        <w:spacing w:after="0" w:line="277" w:lineRule="auto"/>
        <w:tabs>
          <w:tab w:leader="none" w:pos="852"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the execution of this Lease, Tenant shall deposit with Landlord a cash Security Deposit in the amount set forth in Section 1.10 above. Landlord may apply all or part of the Security Deposit to any unpaid rent or other charges due from Tenant or to cure any other defaults of Tenant. If Landlord uses any part of the Security Deposit, Tenant shall restore the Security Deposit to its full amount within ten (10) days after Landlord's written request. Tenant's failure to do so shall be a material default under this Lease. No interest shall be paid on the Security Deposit. Landlord shall not be required to keep the Security Deposit separate from its other accounts and no trust relationship is created with respect to the Security Deposit.</w:t>
      </w:r>
    </w:p>
    <w:p>
      <w:pPr>
        <w:spacing w:after="0" w:line="193" w:lineRule="exact"/>
        <w:rPr>
          <w:rFonts w:ascii="Arial" w:cs="Arial" w:eastAsia="Arial" w:hAnsi="Arial"/>
          <w:sz w:val="16"/>
          <w:szCs w:val="16"/>
          <w:color w:val="auto"/>
        </w:rPr>
      </w:pPr>
    </w:p>
    <w:p>
      <w:pPr>
        <w:ind w:left="620" w:hanging="3"/>
        <w:spacing w:after="0" w:line="276" w:lineRule="auto"/>
        <w:tabs>
          <w:tab w:leader="none" w:pos="861"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Time the Base Rent is increased, Tenant shall deposit additional funds with Landlord sufficient to increase the Security Deposit to an amount which bears the same relationship to the adjusted Base Rent as the initial Security Deposit bore to the initial Base Rent.</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b w:val="1"/>
          <w:bCs w:val="1"/>
          <w:color w:val="auto"/>
        </w:rPr>
        <w:t>Termination; Advance Payments</w:t>
      </w:r>
      <w:r>
        <w:rPr>
          <w:rFonts w:ascii="Arial" w:cs="Arial" w:eastAsia="Arial" w:hAnsi="Arial"/>
          <w:sz w:val="16"/>
          <w:szCs w:val="16"/>
          <w:color w:val="auto"/>
        </w:rPr>
        <w:t>. Upon termination of this Lease under Article Seven (Damage or Destruction), Article Eight (Condemnation) or any other termination not resulting from Tenant's default, and after Tenant has vacated the Property in the manner required by this Lease, Landlord shall refund or credit to Tenant (or Tenant's successor) the unused portion of the Security Deposit, any advance rent or other advance payments made by Tenant to Landlord, and any amounts paid for real property taxes and other reserves which apply to any time periods after termination of the Lease.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FOUR: </w:t>
      </w:r>
      <w:r>
        <w:rPr>
          <w:rFonts w:ascii="Arial" w:cs="Arial" w:eastAsia="Arial" w:hAnsi="Arial"/>
          <w:sz w:val="17"/>
          <w:szCs w:val="17"/>
          <w:b w:val="1"/>
          <w:bCs w:val="1"/>
          <w:color w:val="auto"/>
        </w:rPr>
        <w:t>OTHER CHARGES PAYABLE BY TENANT</w:t>
      </w:r>
    </w:p>
    <w:p>
      <w:pPr>
        <w:spacing w:after="0" w:line="24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b w:val="1"/>
          <w:bCs w:val="1"/>
          <w:color w:val="auto"/>
        </w:rPr>
        <w:t>Additional Rent</w:t>
      </w:r>
      <w:r>
        <w:rPr>
          <w:rFonts w:ascii="Arial" w:cs="Arial" w:eastAsia="Arial" w:hAnsi="Arial"/>
          <w:sz w:val="16"/>
          <w:szCs w:val="16"/>
          <w:color w:val="auto"/>
        </w:rPr>
        <w:t>. All charges payable by Tenant other than Base Rent are called "Additional Rent." Unless this Lease provides otherwise, Tenant shall pay all Additional Rent then due with the next monthly installment of Base Rent. The term "rent" shall mean Base Rent and Additional Rent.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b w:val="1"/>
          <w:bCs w:val="1"/>
          <w:color w:val="auto"/>
        </w:rPr>
        <w:t>Property Taxes.</w:t>
      </w:r>
    </w:p>
    <w:p>
      <w:pPr>
        <w:spacing w:after="0" w:line="240" w:lineRule="exact"/>
        <w:rPr>
          <w:sz w:val="20"/>
          <w:szCs w:val="20"/>
          <w:color w:val="auto"/>
        </w:rPr>
      </w:pPr>
    </w:p>
    <w:p>
      <w:pPr>
        <w:jc w:val="both"/>
        <w:ind w:left="620" w:hanging="3"/>
        <w:spacing w:after="0" w:line="276" w:lineRule="auto"/>
        <w:tabs>
          <w:tab w:leader="none" w:pos="86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Real Property Taxes</w:t>
      </w:r>
      <w:r>
        <w:rPr>
          <w:rFonts w:ascii="Arial" w:cs="Arial" w:eastAsia="Arial" w:hAnsi="Arial"/>
          <w:sz w:val="16"/>
          <w:szCs w:val="16"/>
          <w:color w:val="auto"/>
        </w:rPr>
        <w:t>. Tenant shall pay all real property taxes on the Property (including any fees, taxes or assessments against, or as a result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improvements installed on the Property by or for the benefit of Tenant) during the Lease Term. Subject to Paragraph 4.02 (c) and Section 4.08 below, such payment shall be made at least ten (10) days prior to the delinquency date of the taxes. Within such ten (10) –day period, Tenant shall furnish Landlord with satisfactory evidence that the real property taxes have been paid. Landlord shall reimburse Tenant for any real property taxes paid by Tenant covering any period of time prior to or after the Lease Term. If Tenant fails to pay the real property taxes when due, Landlord may pay the taxes and Tenant shall reimburse Landlord for the amount of such tax payment as Additional Rent.</w:t>
      </w:r>
    </w:p>
    <w:p>
      <w:pPr>
        <w:spacing w:after="0" w:line="190" w:lineRule="exact"/>
        <w:rPr>
          <w:rFonts w:ascii="Arial" w:cs="Arial" w:eastAsia="Arial" w:hAnsi="Arial"/>
          <w:sz w:val="16"/>
          <w:szCs w:val="16"/>
          <w:color w:val="auto"/>
        </w:rPr>
      </w:pPr>
    </w:p>
    <w:p>
      <w:pPr>
        <w:jc w:val="both"/>
        <w:ind w:left="620" w:hanging="3"/>
        <w:spacing w:after="0" w:line="275" w:lineRule="auto"/>
        <w:tabs>
          <w:tab w:leader="none" w:pos="87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Definition of "Real Property Tax." </w:t>
      </w:r>
      <w:r>
        <w:rPr>
          <w:rFonts w:ascii="Arial" w:cs="Arial" w:eastAsia="Arial" w:hAnsi="Arial"/>
          <w:sz w:val="16"/>
          <w:szCs w:val="16"/>
          <w:color w:val="auto"/>
        </w:rPr>
        <w:t>"Real property tax" means: (i) any fee, license fee, license tax, business license fee, commercial rental tax, levy,</w:t>
      </w:r>
      <w:r>
        <w:rPr>
          <w:rFonts w:ascii="Arial" w:cs="Arial" w:eastAsia="Arial" w:hAnsi="Arial"/>
          <w:sz w:val="16"/>
          <w:szCs w:val="16"/>
          <w:b w:val="1"/>
          <w:bCs w:val="1"/>
          <w:color w:val="auto"/>
        </w:rPr>
        <w:t xml:space="preserve"> </w:t>
      </w:r>
      <w:r>
        <w:rPr>
          <w:rFonts w:ascii="Arial" w:cs="Arial" w:eastAsia="Arial" w:hAnsi="Arial"/>
          <w:sz w:val="16"/>
          <w:szCs w:val="16"/>
          <w:color w:val="auto"/>
        </w:rPr>
        <w:t>charge, assessment, penalty or tax imposed by any taxing authority against the Property; (ii) any tax on the Landlord's right to receive, or the receipt of, rent or income from the Property or against Landlord's business of leasing the Property; (iii) any tax or charge for fire protection, streets, sidewalks, road maintenance, refuse or other services provided to the Property by any governmental agency; (iv) any tax imposed upon this transaction or based upon a re-assessment of the Property due to a change of ownership, as defined by applicable law, or other transfer of all or part of Landlord's interest in the Property; and (v) any charge or fee replacing any tax previously included within the definition of real property tax. "Real property tax" does not, however, include Landlord's federal or state income, franchise, inheritance or estate taxes.</w:t>
      </w:r>
    </w:p>
    <w:p>
      <w:pPr>
        <w:spacing w:after="0" w:line="189" w:lineRule="exact"/>
        <w:rPr>
          <w:rFonts w:ascii="Arial" w:cs="Arial" w:eastAsia="Arial" w:hAnsi="Arial"/>
          <w:sz w:val="16"/>
          <w:szCs w:val="16"/>
          <w:color w:val="auto"/>
        </w:rPr>
      </w:pPr>
    </w:p>
    <w:p>
      <w:pPr>
        <w:jc w:val="both"/>
        <w:ind w:left="620" w:hanging="3"/>
        <w:spacing w:after="0" w:line="266" w:lineRule="auto"/>
        <w:tabs>
          <w:tab w:leader="none" w:pos="86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Joint Assessment. </w:t>
      </w:r>
      <w:r>
        <w:rPr>
          <w:rFonts w:ascii="Arial" w:cs="Arial" w:eastAsia="Arial" w:hAnsi="Arial"/>
          <w:sz w:val="17"/>
          <w:szCs w:val="17"/>
          <w:color w:val="auto"/>
        </w:rPr>
        <w:t>If the Property is not separately assessed, Landlord shall reasonably determine Tenant's share of the real property tax payable by</w:t>
      </w:r>
      <w:r>
        <w:rPr>
          <w:rFonts w:ascii="Arial" w:cs="Arial" w:eastAsia="Arial" w:hAnsi="Arial"/>
          <w:sz w:val="17"/>
          <w:szCs w:val="17"/>
          <w:b w:val="1"/>
          <w:bCs w:val="1"/>
          <w:color w:val="auto"/>
        </w:rPr>
        <w:t xml:space="preserve"> </w:t>
      </w:r>
      <w:r>
        <w:rPr>
          <w:rFonts w:ascii="Arial" w:cs="Arial" w:eastAsia="Arial" w:hAnsi="Arial"/>
          <w:sz w:val="17"/>
          <w:szCs w:val="17"/>
          <w:color w:val="auto"/>
        </w:rPr>
        <w:t>Tenant under Paragraph 4.02(a) from the assessor's worksheets or other reasonably available information. Tenant shall pay such share to Landlord within fifteen (15) days after receipt of Landlord's written statement.</w:t>
      </w:r>
    </w:p>
    <w:p>
      <w:pPr>
        <w:spacing w:after="0" w:line="195" w:lineRule="exact"/>
        <w:rPr>
          <w:rFonts w:ascii="Arial" w:cs="Arial" w:eastAsia="Arial" w:hAnsi="Arial"/>
          <w:sz w:val="17"/>
          <w:szCs w:val="17"/>
          <w:color w:val="auto"/>
        </w:rPr>
      </w:pPr>
    </w:p>
    <w:p>
      <w:pPr>
        <w:ind w:left="900" w:hanging="283"/>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Personal Property Taxes.</w:t>
      </w:r>
    </w:p>
    <w:p>
      <w:pPr>
        <w:spacing w:after="0" w:line="243" w:lineRule="exact"/>
        <w:rPr>
          <w:rFonts w:ascii="Arial" w:cs="Arial" w:eastAsia="Arial" w:hAnsi="Arial"/>
          <w:sz w:val="17"/>
          <w:szCs w:val="17"/>
          <w:color w:val="auto"/>
        </w:rPr>
      </w:pPr>
    </w:p>
    <w:p>
      <w:pPr>
        <w:ind w:left="920" w:firstLine="4"/>
        <w:spacing w:after="0" w:line="276" w:lineRule="auto"/>
        <w:tabs>
          <w:tab w:leader="none" w:pos="1163" w:val="left"/>
        </w:tabs>
        <w:numPr>
          <w:ilvl w:val="1"/>
          <w:numId w:val="7"/>
        </w:numPr>
        <w:rPr>
          <w:rFonts w:ascii="Arial" w:cs="Arial" w:eastAsia="Arial" w:hAnsi="Arial"/>
          <w:sz w:val="17"/>
          <w:szCs w:val="17"/>
          <w:color w:val="auto"/>
        </w:rPr>
      </w:pPr>
      <w:r>
        <w:rPr>
          <w:rFonts w:ascii="Arial" w:cs="Arial" w:eastAsia="Arial" w:hAnsi="Arial"/>
          <w:sz w:val="17"/>
          <w:szCs w:val="17"/>
          <w:color w:val="auto"/>
        </w:rPr>
        <w:t>Tenant shall pay all taxes charged against trade fixtures, furnishings, equipment or any other personal property belonging to Tenant. Tenant shall try to have personal property taxes separately from the Property.</w:t>
      </w:r>
    </w:p>
    <w:p>
      <w:pPr>
        <w:spacing w:after="0" w:line="190" w:lineRule="exact"/>
        <w:rPr>
          <w:rFonts w:ascii="Arial" w:cs="Arial" w:eastAsia="Arial" w:hAnsi="Arial"/>
          <w:sz w:val="17"/>
          <w:szCs w:val="17"/>
          <w:color w:val="auto"/>
        </w:rPr>
      </w:pPr>
    </w:p>
    <w:p>
      <w:pPr>
        <w:ind w:left="920" w:firstLine="4"/>
        <w:spacing w:after="0" w:line="276" w:lineRule="auto"/>
        <w:tabs>
          <w:tab w:leader="none" w:pos="1214" w:val="left"/>
        </w:tabs>
        <w:numPr>
          <w:ilvl w:val="1"/>
          <w:numId w:val="7"/>
        </w:numPr>
        <w:rPr>
          <w:rFonts w:ascii="Arial" w:cs="Arial" w:eastAsia="Arial" w:hAnsi="Arial"/>
          <w:sz w:val="17"/>
          <w:szCs w:val="17"/>
          <w:color w:val="auto"/>
        </w:rPr>
      </w:pPr>
      <w:r>
        <w:rPr>
          <w:rFonts w:ascii="Arial" w:cs="Arial" w:eastAsia="Arial" w:hAnsi="Arial"/>
          <w:sz w:val="17"/>
          <w:szCs w:val="17"/>
          <w:color w:val="auto"/>
        </w:rPr>
        <w:t>If any of Tenant's personal property is taxed with the Property, Tenant shall pay Landlord the taxes for the personal property within fifteen (15) days after Tenant receives a written statement from Landlord for such personal property taxes.</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b w:val="1"/>
          <w:bCs w:val="1"/>
          <w:color w:val="auto"/>
        </w:rPr>
        <w:t>Utilities.</w:t>
      </w:r>
      <w:r>
        <w:rPr>
          <w:rFonts w:ascii="Arial" w:cs="Arial" w:eastAsia="Arial" w:hAnsi="Arial"/>
          <w:sz w:val="17"/>
          <w:szCs w:val="17"/>
          <w:color w:val="auto"/>
        </w:rPr>
        <w:t xml:space="preserve"> Tenant shall pay, directly to the appropriate supplier, the cost of all natural gas, heat, light, power, sewer service, telephone, water, refuse disposal and other utilities and services supplied to the Property. However, if any services or utilities are jointly metered with other property, Landlord shall make a reasonable determination of Tenant's proportionate share of the cost of such utilities and services and Tenant shall pay such share to Landlord within fifteen (15) days after receipt of Landlord's written statement.\</w:t>
      </w:r>
    </w:p>
    <w:p>
      <w:pPr>
        <w:sectPr>
          <w:pgSz w:w="11900" w:h="16838" w:orient="portrait"/>
          <w:cols w:equalWidth="0" w:num="1">
            <w:col w:w="11420"/>
          </w:cols>
          <w:pgMar w:left="240" w:top="494" w:right="239" w:bottom="253" w:gutter="0" w:footer="0" w:header="0"/>
        </w:sectPr>
      </w:pPr>
    </w:p>
    <w:bookmarkStart w:id="27" w:name="page28"/>
    <w:bookmarkEnd w:id="27"/>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98425</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b w:val="1"/>
          <w:bCs w:val="1"/>
          <w:color w:val="auto"/>
        </w:rPr>
        <w:t>Insurance Policies.</w:t>
      </w:r>
    </w:p>
    <w:p>
      <w:pPr>
        <w:spacing w:after="0" w:line="240" w:lineRule="exact"/>
        <w:rPr>
          <w:sz w:val="20"/>
          <w:szCs w:val="20"/>
          <w:color w:val="auto"/>
        </w:rPr>
      </w:pPr>
    </w:p>
    <w:p>
      <w:pPr>
        <w:jc w:val="both"/>
        <w:ind w:left="620" w:hanging="3"/>
        <w:spacing w:after="0" w:line="292" w:lineRule="auto"/>
        <w:tabs>
          <w:tab w:leader="none" w:pos="852"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Liability Insurance. </w:t>
      </w:r>
      <w:r>
        <w:rPr>
          <w:rFonts w:ascii="Arial" w:cs="Arial" w:eastAsia="Arial" w:hAnsi="Arial"/>
          <w:sz w:val="15"/>
          <w:szCs w:val="15"/>
          <w:color w:val="auto"/>
        </w:rPr>
        <w:t>During the Lease Term, Tenant shall maintain a policy of commercial general liability insurance (sometimes known as broad form</w:t>
      </w:r>
      <w:r>
        <w:rPr>
          <w:rFonts w:ascii="Arial" w:cs="Arial" w:eastAsia="Arial" w:hAnsi="Arial"/>
          <w:sz w:val="15"/>
          <w:szCs w:val="15"/>
          <w:b w:val="1"/>
          <w:bCs w:val="1"/>
          <w:color w:val="auto"/>
        </w:rPr>
        <w:t xml:space="preserve"> </w:t>
      </w:r>
      <w:r>
        <w:rPr>
          <w:rFonts w:ascii="Arial" w:cs="Arial" w:eastAsia="Arial" w:hAnsi="Arial"/>
          <w:sz w:val="15"/>
          <w:szCs w:val="15"/>
          <w:color w:val="auto"/>
        </w:rPr>
        <w:t>comprehensive general liability insurance) insuring Tenant against liability for bodily injury, property damage (including loss of use of property) and personal injury arising out of the operation, use or occupancy of the Property. Tenant shall name Landlord as an additional insured under such policy. The initial amount of such insurance shall be One Million Dollars ($1,000,000) per occurrence and shall be subject to periodic increase based upon inflation, increased liability awards, recommendation of Landlord's professional insurance advisers and other relevant factors. The liability insurance obtained by Tenant under this Paragraph 4.04(a) shall (i) be primary and non-contributing; (ii) contain cross-liability endorsements; and (iii) insure Landlord against Tenant's performance under Section 5.05, if the matters giving rise to the indemnity under Section 5.05 result from the negligence of Tenant. The amount and coverage of such insurance shall not limit Tenant's liability nor relieve Tenant of any other obligation under this Lease. Landlord may also obtain comprehensive public liability insurance in an amount and with coverage determined by Landlord insuring Landlord against liability arising out of ownership, operation, use or occupancy of the Property. The policy obtained by Landlord shall not be contributory and shall not provide primary insurance.</w:t>
      </w:r>
    </w:p>
    <w:p>
      <w:pPr>
        <w:spacing w:after="0" w:line="180" w:lineRule="exact"/>
        <w:rPr>
          <w:rFonts w:ascii="Arial" w:cs="Arial" w:eastAsia="Arial" w:hAnsi="Arial"/>
          <w:sz w:val="15"/>
          <w:szCs w:val="15"/>
          <w:color w:val="auto"/>
        </w:rPr>
      </w:pPr>
    </w:p>
    <w:p>
      <w:pPr>
        <w:jc w:val="both"/>
        <w:ind w:left="620" w:hanging="3"/>
        <w:spacing w:after="0" w:line="294" w:lineRule="auto"/>
        <w:tabs>
          <w:tab w:leader="none" w:pos="874"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Property and Rental Income Insurance. </w:t>
      </w:r>
      <w:r>
        <w:rPr>
          <w:rFonts w:ascii="Arial" w:cs="Arial" w:eastAsia="Arial" w:hAnsi="Arial"/>
          <w:sz w:val="15"/>
          <w:szCs w:val="15"/>
          <w:color w:val="auto"/>
        </w:rPr>
        <w:t>During the Lease Term, Landlord shall maintain policies of insurance covering loss of or damage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in the full amount of its replacement value. Such policy shall contain an Inflation Guard Endorsement and shall provide protection against all perils included within the classification of fire, extended coverage, vandalism, malicious mischief, special extended perils (all risk), sprinkler leakage and any other perils which Landlord deems reasonably necessary. Landlord shall have the right to obtain flood and earthquake insurance if required by any lender holding a security interest in the Property. Landlord shall not obtain insurance for Tenant's fixtures or equipment or building improvements installed by Tenant on the Property. During the Lease Term, Landlord shall also maintain a rental income insurance policy, with loss payable to Landlord, in an amount equal to one year's Base Rent, plus estimated real property taxes and insurance premiums. Tenant shall be liable for the payment of any deductible amount under Landlord's or Tenant's insurance policies maintained pursuant to this Section 4.04, in an amount not to exceed Ten Thousand Dollars ($10,000).</w:t>
      </w:r>
    </w:p>
    <w:p>
      <w:pPr>
        <w:spacing w:after="0" w:line="179" w:lineRule="exact"/>
        <w:rPr>
          <w:rFonts w:ascii="Arial" w:cs="Arial" w:eastAsia="Arial" w:hAnsi="Arial"/>
          <w:sz w:val="15"/>
          <w:szCs w:val="15"/>
          <w:color w:val="auto"/>
        </w:rPr>
      </w:pPr>
    </w:p>
    <w:p>
      <w:pPr>
        <w:jc w:val="both"/>
        <w:ind w:left="620" w:hanging="3"/>
        <w:spacing w:after="0" w:line="271" w:lineRule="auto"/>
        <w:tabs>
          <w:tab w:leader="none" w:pos="933"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Payment of Premiums. </w:t>
      </w:r>
      <w:r>
        <w:rPr>
          <w:rFonts w:ascii="Arial" w:cs="Arial" w:eastAsia="Arial" w:hAnsi="Arial"/>
          <w:sz w:val="16"/>
          <w:szCs w:val="16"/>
          <w:color w:val="auto"/>
        </w:rPr>
        <w:t>Subject to Section 4.08, Tenant shall pay all premiums for the insurance policies described in Paragraphs 4.04(a) and (b)</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obtained by Landlord or Tenant) within fifteen (15) days after Tenant’s receipt of a copy of the premium statement or other evidence of the amount due, except Landlord shall pay all premiums for non-primary comprehensive public liability insurance which Landlord elects to obtain as provided in Paragraph 4.04(a). For insurance policies maintained by Landlord which cover improvements on the entire Project, Tenant shall pay Tenant’s prorated share of the premiums, in accordance with the formula in Paragraph 4.05(e) for determining Tenant’s share of Common Area costs. If insurance policies maintained by landlord cover improvements on real property other than the Project, Landlord shall deliver to Tenant a statement of the premium applicable to the Property showing in reasonable detail how Tenant’s share of the premium was computed. If the Lease Term expires before the expiration of an insurance policy maintained by Landlord, Tenant shall be liable for Tenant’s prorated share of the insurance premiums. Before the Commencement Date, Tenant shall deliver to Landlord the expiration of any such policy, Tenant shall deliver to Landlord a renewal of such policy. As an alternative to providing a policy of insurance, Tenant shall have the right to provide Landlord a certificate of insurance, executed by an authorized officer of the insurance company, showing that the insurance which Tenant is required to maintain under this Section 4.04 is in full force and effect and containing such other information which Landlord reasonably requires.</w:t>
      </w:r>
    </w:p>
    <w:p>
      <w:pPr>
        <w:spacing w:after="0" w:line="196" w:lineRule="exact"/>
        <w:rPr>
          <w:rFonts w:ascii="Arial" w:cs="Arial" w:eastAsia="Arial" w:hAnsi="Arial"/>
          <w:sz w:val="16"/>
          <w:szCs w:val="16"/>
          <w:color w:val="auto"/>
        </w:rPr>
      </w:pPr>
    </w:p>
    <w:p>
      <w:pPr>
        <w:ind w:left="900" w:hanging="283"/>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General Insurance Provisions</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920" w:firstLine="4"/>
        <w:spacing w:after="0" w:line="276" w:lineRule="auto"/>
        <w:tabs>
          <w:tab w:leader="none" w:pos="1166" w:val="left"/>
        </w:tabs>
        <w:numPr>
          <w:ilvl w:val="1"/>
          <w:numId w:val="8"/>
        </w:numPr>
        <w:rPr>
          <w:rFonts w:ascii="Arial" w:cs="Arial" w:eastAsia="Arial" w:hAnsi="Arial"/>
          <w:sz w:val="17"/>
          <w:szCs w:val="17"/>
          <w:color w:val="auto"/>
        </w:rPr>
      </w:pPr>
      <w:r>
        <w:rPr>
          <w:rFonts w:ascii="Arial" w:cs="Arial" w:eastAsia="Arial" w:hAnsi="Arial"/>
          <w:sz w:val="17"/>
          <w:szCs w:val="17"/>
          <w:color w:val="auto"/>
        </w:rPr>
        <w:t>Any insurance which Tenant is required to maintain under this Lease shall include a provision which requires the insurance carrier to give Landlord not less than thirty (30) days' written notice prior to any cancellation or modification of such coverage.</w:t>
      </w:r>
    </w:p>
    <w:p>
      <w:pPr>
        <w:spacing w:after="0" w:line="190" w:lineRule="exact"/>
        <w:rPr>
          <w:rFonts w:ascii="Arial" w:cs="Arial" w:eastAsia="Arial" w:hAnsi="Arial"/>
          <w:sz w:val="17"/>
          <w:szCs w:val="17"/>
          <w:color w:val="auto"/>
        </w:rPr>
      </w:pPr>
    </w:p>
    <w:p>
      <w:pPr>
        <w:jc w:val="both"/>
        <w:ind w:left="920" w:firstLine="4"/>
        <w:spacing w:after="0" w:line="288" w:lineRule="auto"/>
        <w:tabs>
          <w:tab w:leader="none" w:pos="1240"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Tenant fails to deliver any policy, certificate or renewal to Landlord required under this Lease within the prescribed time period or if any such policy is canceled or modified during the Lease Term without Landlord's consent, Landlord may obtain such insurance, in which case Tenant shall reimburse Landlord for the cost of such insurance within fifteen (15) days after receipt of a statement that indicates the cost of such insurance.</w:t>
      </w:r>
    </w:p>
    <w:p>
      <w:pPr>
        <w:spacing w:after="0" w:line="182" w:lineRule="exact"/>
        <w:rPr>
          <w:rFonts w:ascii="Arial" w:cs="Arial" w:eastAsia="Arial" w:hAnsi="Arial"/>
          <w:sz w:val="16"/>
          <w:szCs w:val="16"/>
          <w:color w:val="auto"/>
        </w:rPr>
      </w:pPr>
    </w:p>
    <w:p>
      <w:pPr>
        <w:jc w:val="both"/>
        <w:ind w:left="920" w:firstLine="4"/>
        <w:spacing w:after="0" w:line="255" w:lineRule="auto"/>
        <w:tabs>
          <w:tab w:leader="none" w:pos="1258" w:val="left"/>
        </w:tabs>
        <w:numPr>
          <w:ilvl w:val="1"/>
          <w:numId w:val="8"/>
        </w:numPr>
        <w:rPr>
          <w:rFonts w:ascii="Arial" w:cs="Arial" w:eastAsia="Arial" w:hAnsi="Arial"/>
          <w:sz w:val="17"/>
          <w:szCs w:val="17"/>
          <w:color w:val="auto"/>
        </w:rPr>
      </w:pPr>
      <w:r>
        <w:rPr>
          <w:rFonts w:ascii="Arial" w:cs="Arial" w:eastAsia="Arial" w:hAnsi="Arial"/>
          <w:sz w:val="17"/>
          <w:szCs w:val="17"/>
          <w:color w:val="auto"/>
        </w:rPr>
        <w:t>Tenant shall maintain all insurance required under this Lease with companies holding a "General Policy Rating" of A-12 or better, as set forth in the most current issue of "Best Key Rating Guide." Landlord and Tenant acknowledge the insurance markets are rapidly changing and that insurance in the form and amounts described in this Section 4.04 may not be available in the future. Tenant acknowledges that the insurance described in this Section 4.04 is for the primary benefit of Landlord. If at any time during the Lease Term, Tenant is unable to maintain the insurance required under the Lease, Tenant shall nevertheless maintain insurance coverage which is customary and commercially reasonable in the insurance industry for Tenant's type of business, as that coverage may change from time to time. Landlord makes no representation as to the adequacy of such insurance to protect Landlord's or Tenant's interests. Therefore, Tenant shall obtain any such additional property or liability insurance which Tenant deems necessary to protect Landlord and Tenant.</w:t>
      </w:r>
    </w:p>
    <w:p>
      <w:pPr>
        <w:spacing w:after="0" w:line="234" w:lineRule="exact"/>
        <w:rPr>
          <w:sz w:val="20"/>
          <w:szCs w:val="20"/>
          <w:color w:val="auto"/>
        </w:rPr>
      </w:pPr>
    </w:p>
    <w:p>
      <w:pPr>
        <w:jc w:val="both"/>
        <w:ind w:left="980" w:right="40" w:firstLine="947"/>
        <w:spacing w:after="0" w:line="289" w:lineRule="auto"/>
        <w:tabs>
          <w:tab w:leader="none" w:pos="2388" w:val="left"/>
        </w:tabs>
        <w:numPr>
          <w:ilvl w:val="0"/>
          <w:numId w:val="9"/>
        </w:numPr>
        <w:rPr>
          <w:rFonts w:ascii="Arial" w:cs="Arial" w:eastAsia="Arial" w:hAnsi="Arial"/>
          <w:sz w:val="15"/>
          <w:szCs w:val="15"/>
          <w:color w:val="auto"/>
        </w:rPr>
      </w:pPr>
      <w:r>
        <w:rPr>
          <w:rFonts w:ascii="Arial" w:cs="Arial" w:eastAsia="Arial" w:hAnsi="Arial"/>
          <w:sz w:val="15"/>
          <w:szCs w:val="15"/>
          <w:color w:val="auto"/>
        </w:rPr>
        <w:t>Unless prohibited under any applicable insurance policies maintained, Landlord and Tenant each hereby waive any and all rights of recovery against the other, or against the officers, employees, agents or representatives of the other, for loss of or damage to its property or the property of others under its control, if such loss or damage is covered by any insurance policy in force (whether or not described in this Lease) at the time of such loss or damage. Upon obtaining the required policies of insurance, Landlord and Tenant shall give notice to the insurance carriers of this mutual waiver</w:t>
      </w:r>
    </w:p>
    <w:p>
      <w:pPr>
        <w:ind w:left="5660"/>
        <w:spacing w:after="0"/>
        <w:rPr>
          <w:sz w:val="20"/>
          <w:szCs w:val="20"/>
          <w:color w:val="auto"/>
        </w:rPr>
      </w:pPr>
      <w:r>
        <w:rPr>
          <w:rFonts w:ascii="Arial" w:cs="Arial" w:eastAsia="Arial" w:hAnsi="Arial"/>
          <w:sz w:val="17"/>
          <w:szCs w:val="17"/>
          <w:color w:val="auto"/>
        </w:rPr>
        <w:t>of subrogation.</w:t>
      </w:r>
    </w:p>
    <w:p>
      <w:pPr>
        <w:spacing w:after="0" w:line="229" w:lineRule="exact"/>
        <w:rPr>
          <w:sz w:val="20"/>
          <w:szCs w:val="20"/>
          <w:color w:val="auto"/>
        </w:rPr>
      </w:pPr>
    </w:p>
    <w:p>
      <w:pPr>
        <w:ind w:left="920" w:firstLine="4"/>
        <w:spacing w:after="0" w:line="276" w:lineRule="auto"/>
        <w:tabs>
          <w:tab w:leader="none" w:pos="11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way of certificate of insurance, issued from an accredited, licensed insurance producer, Landlord will evidence the required Property insurance described in this section as well as the aforementioned waiver of subrogation.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b w:val="1"/>
          <w:bCs w:val="1"/>
          <w:color w:val="auto"/>
        </w:rPr>
        <w:t>Common Areas; Use, Maintenance and Costs</w:t>
      </w:r>
      <w:r>
        <w:rPr>
          <w:rFonts w:ascii="Arial" w:cs="Arial" w:eastAsia="Arial" w:hAnsi="Arial"/>
          <w:sz w:val="17"/>
          <w:szCs w:val="17"/>
          <w:color w:val="auto"/>
        </w:rPr>
        <w:t>.</w:t>
      </w:r>
    </w:p>
    <w:p>
      <w:pPr>
        <w:spacing w:after="0" w:line="240" w:lineRule="exact"/>
        <w:rPr>
          <w:sz w:val="20"/>
          <w:szCs w:val="20"/>
          <w:color w:val="auto"/>
        </w:rPr>
      </w:pPr>
    </w:p>
    <w:p>
      <w:pPr>
        <w:jc w:val="both"/>
        <w:ind w:left="620" w:hanging="3"/>
        <w:spacing w:after="0" w:line="276" w:lineRule="auto"/>
        <w:tabs>
          <w:tab w:leader="none" w:pos="85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Common Areas. </w:t>
      </w:r>
      <w:r>
        <w:rPr>
          <w:rFonts w:ascii="Arial" w:cs="Arial" w:eastAsia="Arial" w:hAnsi="Arial"/>
          <w:sz w:val="16"/>
          <w:szCs w:val="16"/>
          <w:color w:val="auto"/>
        </w:rPr>
        <w:t>As used in this Lease, "Common Areas" shall mean all areas within the Project which are available for the common use of tenants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and which are not leased or held for the exclusive use of Tenant or other tenants, including, but not limited to, parking areas, driveways, sidewalks, loading areas, access roads, corridors, landscaping and planted areas. Landlord, from time to time, may change the size, location, nature and use of any of the Common Areas, convert Common Areas into leasable areas, construct additional parking facilities (including parking structures) in the Common Areas, and increase or decrease Common Area land and/or facilities. Tenant acknowledges that such activities may result in inconvenience to Tenant. Such activities and changes are permitted if they do not materially affect Tenant's use of the Property.</w:t>
      </w:r>
    </w:p>
    <w:p>
      <w:pPr>
        <w:spacing w:after="0" w:line="190" w:lineRule="exact"/>
        <w:rPr>
          <w:rFonts w:ascii="Arial" w:cs="Arial" w:eastAsia="Arial" w:hAnsi="Arial"/>
          <w:sz w:val="16"/>
          <w:szCs w:val="16"/>
          <w:color w:val="auto"/>
        </w:rPr>
      </w:pPr>
    </w:p>
    <w:p>
      <w:pPr>
        <w:jc w:val="both"/>
        <w:ind w:left="620" w:hanging="3"/>
        <w:spacing w:after="0" w:line="257" w:lineRule="auto"/>
        <w:tabs>
          <w:tab w:leader="none" w:pos="861"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Use of Common Areas. </w:t>
      </w:r>
      <w:r>
        <w:rPr>
          <w:rFonts w:ascii="Arial" w:cs="Arial" w:eastAsia="Arial" w:hAnsi="Arial"/>
          <w:sz w:val="17"/>
          <w:szCs w:val="17"/>
          <w:color w:val="auto"/>
        </w:rPr>
        <w:t>Tenant shall have the nonexclusive right (in common with other tenants and all others to whom Landlord has granted or may</w:t>
      </w:r>
      <w:r>
        <w:rPr>
          <w:rFonts w:ascii="Arial" w:cs="Arial" w:eastAsia="Arial" w:hAnsi="Arial"/>
          <w:sz w:val="17"/>
          <w:szCs w:val="17"/>
          <w:b w:val="1"/>
          <w:bCs w:val="1"/>
          <w:color w:val="auto"/>
        </w:rPr>
        <w:t xml:space="preserve"> </w:t>
      </w:r>
      <w:r>
        <w:rPr>
          <w:rFonts w:ascii="Arial" w:cs="Arial" w:eastAsia="Arial" w:hAnsi="Arial"/>
          <w:sz w:val="17"/>
          <w:szCs w:val="17"/>
          <w:color w:val="auto"/>
        </w:rPr>
        <w:t>grant such rights) to use the Common Areas for the purposes intended, subject to such reasonable rules and regulations as Landlord may establish from time to time. Tenant shall abide by such rules and regulations and shall use its best effort to cause others who use the Common Areas with Tenant's express or implied permission to abide by Landlord's rules and regulations. At any time, Landlord may close any Common Areas to perform any acts in the Common Areas as, in Landlord's judgment, are desirable to improve the Project. Tenant shall not interfere with the rights of Landlord, other tenants or any other person entitled to use the Common Areas.</w:t>
      </w:r>
    </w:p>
    <w:p>
      <w:pPr>
        <w:spacing w:after="0" w:line="203" w:lineRule="exact"/>
        <w:rPr>
          <w:rFonts w:ascii="Arial" w:cs="Arial" w:eastAsia="Arial" w:hAnsi="Arial"/>
          <w:sz w:val="17"/>
          <w:szCs w:val="17"/>
          <w:color w:val="auto"/>
        </w:rPr>
      </w:pPr>
    </w:p>
    <w:p>
      <w:pPr>
        <w:jc w:val="both"/>
        <w:ind w:left="620" w:hanging="3"/>
        <w:spacing w:after="0" w:line="274" w:lineRule="auto"/>
        <w:tabs>
          <w:tab w:leader="none" w:pos="85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Specific Provision re: Vehicle Parking. </w:t>
      </w:r>
      <w:r>
        <w:rPr>
          <w:rFonts w:ascii="Arial" w:cs="Arial" w:eastAsia="Arial" w:hAnsi="Arial"/>
          <w:sz w:val="16"/>
          <w:szCs w:val="16"/>
          <w:color w:val="auto"/>
        </w:rPr>
        <w:t>Tenant shall be entitled to use the number of vehicle parking spaces in the Project allocated to Tenant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1.11 of the Lease without paying any additional rent. Tenant shall have 6 reserved spots as identified on Exhibit A and shall be limited to vehicles no larger than standard size automobiles or pickup utility vehicles. Tenant shall not cause large trucks or other large vehicles to be parked within the Project except within their dock area or on the adjacent public streets. Temporary parking of large delivery vehicles in the Project may be permitted by the rules and regulations established by Landlord. Vehicles shall be parked only in striped parking spaces and not in driveways, loading areas or other locations not specifically designated for parking. Handicapped spaces shall only be used by those legally permitted to use them. Tenant shall not be allowed to park more vehicles in the parking area than the number set forth in Section 1.11 of this Lease without consent of Landlord. In addition to Landlord's other remedies under the Lease, Tenant shall pay a daily charge determined by Landlord for each such additional vehicle.</w:t>
      </w:r>
    </w:p>
    <w:p>
      <w:pPr>
        <w:spacing w:after="0" w:line="189" w:lineRule="exact"/>
        <w:rPr>
          <w:rFonts w:ascii="Arial" w:cs="Arial" w:eastAsia="Arial" w:hAnsi="Arial"/>
          <w:sz w:val="16"/>
          <w:szCs w:val="16"/>
          <w:color w:val="auto"/>
        </w:rPr>
      </w:pPr>
    </w:p>
    <w:p>
      <w:pPr>
        <w:jc w:val="both"/>
        <w:ind w:left="620" w:hanging="3"/>
        <w:spacing w:after="0" w:line="290" w:lineRule="auto"/>
        <w:tabs>
          <w:tab w:leader="none" w:pos="874"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 xml:space="preserve">Maintenance of Common Areas. </w:t>
      </w:r>
      <w:r>
        <w:rPr>
          <w:rFonts w:ascii="Arial" w:cs="Arial" w:eastAsia="Arial" w:hAnsi="Arial"/>
          <w:sz w:val="15"/>
          <w:szCs w:val="15"/>
          <w:color w:val="auto"/>
        </w:rPr>
        <w:t>Landlord shall maintain the Common Areas in good order, condition and repair and shall operate the Project, in</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sole discretion, as a first-class industrial/commercial real property development. Tenant shall pay Tenant's pro rata share (as determined below) of all costs incurred by Landlord for the operation and maintenance of the Common Areas. Common Area costs include, but are not limited to, costs and expenses for the following: gardening and landscaping; utilities, water and sewage charges; maintenance of signs (other than tenants' signs); premiums for liability, property damage, fire and other types of casualty insurance on the Common Areas and worker's compensation insurance; all property taxes and assessments levied on or attributable to the Common Areas and all Common Area improvements; all personal property taxes levied on or attributable to personal property used in connection with the Common Areas; straight-line depreciation on personal property owned by Landlord which is consumed in the operation or maintenance of the Common Areas; rental or lease payments paid by Landlord for rented or leased personal property used in the operation or maintenance of the Common Areas; fees for required licenses and permits; repairing, resurfacing, repaving, maintaining, painting, lighting, cleaning, refuse removal, security and similar items; reserves for roof replacement and exterior painting and other appropriate reserves; and a reasonable allowance to Landlord for Landlord's supervision of the Common Areas (not to exceed three percent (3% ) of the gross rents of the Project for the calendar year). Landlord may cause any or all of such services to be provided by third parties and the cost of such services shall be included in Common Area costs. Common Area costs shall not include depreciation of real property which forms part of the Common Areas.</w:t>
      </w:r>
    </w:p>
    <w:p>
      <w:pPr>
        <w:spacing w:after="0" w:line="184" w:lineRule="exact"/>
        <w:rPr>
          <w:rFonts w:ascii="Arial" w:cs="Arial" w:eastAsia="Arial" w:hAnsi="Arial"/>
          <w:sz w:val="15"/>
          <w:szCs w:val="15"/>
          <w:color w:val="auto"/>
        </w:rPr>
      </w:pPr>
    </w:p>
    <w:p>
      <w:pPr>
        <w:jc w:val="both"/>
        <w:ind w:left="620" w:hanging="3"/>
        <w:spacing w:after="0" w:line="289" w:lineRule="auto"/>
        <w:tabs>
          <w:tab w:leader="none" w:pos="865"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 xml:space="preserve">Tenant's Share and Payment. </w:t>
      </w:r>
      <w:r>
        <w:rPr>
          <w:rFonts w:ascii="Arial" w:cs="Arial" w:eastAsia="Arial" w:hAnsi="Arial"/>
          <w:sz w:val="15"/>
          <w:szCs w:val="15"/>
          <w:color w:val="auto"/>
        </w:rPr>
        <w:t>Tenant shall pay Tenant's annual pro rata share of all Common Area costs (prorated for any fractional month) upon</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notice from Landlord that such costs are due and payable, and in any event prior to delinquency. Tenant's pro rata share shall be calculated by dividing the square foot area of the Property(23,712 SF), as set forth in Section 1.04 of the Lease, by the aggregate square foot area of the Project (213,408 SF) which is leased or held for lease by tenants, as of the date on which the computation is made. Tenant's initial pro rata share is set out in Paragraph 1.12(b). Any changes in the Common Area costs and/or the aggregate area of the Project leased or held for lease during the Lease Term shall be effective on the first day of the month after such change occurs. Landlord may, at Landlord's election, estimate in advance and charge to Tenant as Common Area costs, all real property taxes for which Tenant is liable under Section 4.02 of the Lease, all insurance premiums for which Tenant is liable under Section 4.04 of the Lease, all maintenance and repair costs for which Tenant is liable under Section 6.04 of the Lease, and all other Common Area costs payable by Tenant hereunder. At Landlord's election, such statements of estimated Common Area costs shall be delivered monthly, quarterly or at any other periodic intervals to be designated by Landlord. Landlord may adjust such estimates at any time based upon Landlord's experience and reasonable anticipation of costs. Such adjustments shall be effective as of the next rent payment date after notice to Tenant. Within sixty (60) days after the end of each calendar year of the Lease Term, Landlord shall deliver to Tenant a statement prepared in accordance with generally accepted accounting principles setting forth, in reasonable detail, the Common Area costs paid or incurred by Landlord during the preceding calendar year and Tenant's pro rata share. Upon receipt of such statement, there shall be an adjustment between Landlord and Tenant, with payment to or credit given by Landlord (as the case may be) so that Landlord shall receive the entire amount of Tenant's share of such costs and expenses for such period.</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b w:val="1"/>
          <w:bCs w:val="1"/>
          <w:color w:val="auto"/>
        </w:rPr>
        <w:t>Late Charges</w:t>
      </w:r>
      <w:r>
        <w:rPr>
          <w:rFonts w:ascii="Arial" w:cs="Arial" w:eastAsia="Arial" w:hAnsi="Arial"/>
          <w:sz w:val="15"/>
          <w:szCs w:val="15"/>
          <w:color w:val="auto"/>
        </w:rPr>
        <w:t>. Tenant's failure to pay rent promptly may cause Landlord to incur unanticipated costs. The exact amount of such costs are impractical or extremely difficult to ascertain. Such costs may include, but are not limited to, processing and accounting charges and late charges which may be imposed on Landlord by any ground lease, mortgage or trust deed encumbering the Property. Therefore, if Landlord does not receive any rent payment within ten (10) days after it becomes due, Tenant shall pay Landlord a late charge equal to ten percent (10%) of the overdue amount. The parties agree that such late charge represents a fair and reasonable estimate of the costs Landlord will incur by reason of such late payment. Landlord agrees to notify Tenant if they have not received the rent after 7 days.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b w:val="1"/>
          <w:bCs w:val="1"/>
          <w:color w:val="auto"/>
        </w:rPr>
        <w:t>Interest on Past Due Obligations</w:t>
      </w:r>
      <w:r>
        <w:rPr>
          <w:rFonts w:ascii="Arial" w:cs="Arial" w:eastAsia="Arial" w:hAnsi="Arial"/>
          <w:sz w:val="17"/>
          <w:szCs w:val="17"/>
          <w:color w:val="auto"/>
        </w:rPr>
        <w:t>. Any amount owed by Tenant to Landlord which is not paid when due shall bear interest at the rate of fifteen percent (15%) per annum from the due date of such amount. However, interest shall not be payable on late charges to be paid by Tenant under this Lease. The payment of interest on such amounts shall not excuse or cure any default by Tenant under this Lease. If the interest rate specified in this Lease is higher than the rate permitted by law, the interest rate is hereby decreased to the maximum legal interest rate permitted by law.</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b w:val="1"/>
          <w:bCs w:val="1"/>
          <w:color w:val="auto"/>
        </w:rPr>
        <w:t>Impounds for insurance Premiums and Real Property Taxes.</w:t>
      </w:r>
      <w:r>
        <w:rPr>
          <w:rFonts w:ascii="Arial" w:cs="Arial" w:eastAsia="Arial" w:hAnsi="Arial"/>
          <w:sz w:val="16"/>
          <w:szCs w:val="16"/>
          <w:color w:val="auto"/>
        </w:rPr>
        <w:t xml:space="preserve"> If requested by any ground lessor or lender to whom Landlord has granted a security interest in the Property, or if Tenant is more than ten (10) days late in the payment of rent more than once in any consecutive twelve (12) -month period, Tenant shall pay Landlord a sum equal to one-twelfth (1/12) of the annual real property taxes and insurance premiums payable by Tenant under this Lease, together with each payment of Base Rent. Landlord shall hold such payments in a non-interest bearing impound account. If unknown, Landlord shall reasonably estimate the amount of real property taxes and insurance premiums when due. Tenant shall pay any deficiency of funds in the impound account to Landlord upon written request. If Tenant defaults under this Lease, Landlord may apply any funds in the impound account to any obligation then due under this Lease.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FIVE: </w:t>
      </w:r>
      <w:r>
        <w:rPr>
          <w:rFonts w:ascii="Arial" w:cs="Arial" w:eastAsia="Arial" w:hAnsi="Arial"/>
          <w:sz w:val="17"/>
          <w:szCs w:val="17"/>
          <w:b w:val="1"/>
          <w:bCs w:val="1"/>
          <w:color w:val="auto"/>
        </w:rPr>
        <w:t>USE OF PROPERTY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b w:val="1"/>
          <w:bCs w:val="1"/>
          <w:color w:val="auto"/>
        </w:rPr>
        <w:t>Permitted Uses.</w:t>
      </w:r>
      <w:r>
        <w:rPr>
          <w:rFonts w:ascii="Arial" w:cs="Arial" w:eastAsia="Arial" w:hAnsi="Arial"/>
          <w:sz w:val="17"/>
          <w:szCs w:val="17"/>
          <w:color w:val="auto"/>
        </w:rPr>
        <w:t xml:space="preserve"> Tenant may use the Property only for the Permitted Uses set forth in Section 1.06 above.</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b w:val="1"/>
          <w:bCs w:val="1"/>
          <w:color w:val="auto"/>
        </w:rPr>
        <w:t>Manner of Use.</w:t>
      </w:r>
      <w:r>
        <w:rPr>
          <w:rFonts w:ascii="Arial" w:cs="Arial" w:eastAsia="Arial" w:hAnsi="Arial"/>
          <w:sz w:val="16"/>
          <w:szCs w:val="16"/>
          <w:color w:val="auto"/>
        </w:rPr>
        <w:t xml:space="preserve"> Tenant shall not cause or permit the Property to be used in any way which constitutes a violation of any law, ordinance, or governmental regulation or order, which annoys or interferes with the rights of tenants of the Project, or which constitutes a nuisance or waste. Tenant shall obtain and pay for all permits, including a Certificate of Occupancy, required for Tenant's occupancy of the Property and shall promptly take all actions necessary to comply with all applicable statutes, ordinances, rules, regulations, orders and requirements regulating the use by Tenant of the Property, including the Occupational Safety and Health Act. Tenant shall immediately apply for a Certificate of Occupancy from Salt Lake City. If any conditions exist with the space that prevent the issuance of the permit, Landlord and Tenant agree to work together to make sure the space complies. If any pre-existing conditions exist that will cost more than $1,000, the Landlord will be responsible for making sure the space is compliant with the city of Salt Lake City and the permit can be issued.</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b w:val="1"/>
          <w:bCs w:val="1"/>
          <w:color w:val="auto"/>
        </w:rPr>
        <w:t>Hazardous Materials.</w:t>
      </w:r>
      <w:r>
        <w:rPr>
          <w:rFonts w:ascii="Arial" w:cs="Arial" w:eastAsia="Arial" w:hAnsi="Arial"/>
          <w:sz w:val="16"/>
          <w:szCs w:val="16"/>
          <w:color w:val="auto"/>
        </w:rPr>
        <w:t xml:space="preserve"> As used in this Lease, the term "Hazardous Material" means any flammable items, explosives, radioactive materials, hazardous or toxic substances, material or waste or related materials, including any substances defined as or included in the definition of "hazardous substances", "hazardous wastes", "hazardous materials" or "toxic substances" now or subsequently regulated under any applicable federal, state or local laws or regulations, including without limitation petroleum-based products, paints, solvents, lead, cyanide, DDT, printing inks, acids, pesticides, ammonia compounds and other chemical products, asbestos, PCBs and similar compounds, and including any different products and materials which are subsequently found to have adverse effects on the environment or the health and safety of persons. Tenant shall not cause or permit any Hazardous Material to be generated, produced, brought upon, used, stored, treated or disposed of in or about the Property by Tenant, its agents, employees, contractors, sublessees or invitees without the prior written consent of Landlord. Landlord shall be entitled to take into account such other factors or facts as Landlord may reasonably determine to be relevant in determining whether to grant or withhold consent to Tenant's proposed activity with respect to Hazardous Material. In no event, however, shall Landlord be required to consent to the installation or use of any storage tanks on the Property.</w:t>
      </w:r>
    </w:p>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b w:val="1"/>
          <w:bCs w:val="1"/>
          <w:color w:val="auto"/>
        </w:rPr>
        <w:t>Signs and Auctions.</w:t>
      </w:r>
      <w:r>
        <w:rPr>
          <w:rFonts w:ascii="Arial" w:cs="Arial" w:eastAsia="Arial" w:hAnsi="Arial"/>
          <w:sz w:val="17"/>
          <w:szCs w:val="17"/>
          <w:color w:val="auto"/>
        </w:rPr>
        <w:t xml:space="preserve"> Tenant shall not place any signs on the Property without Landlord's prior written consent. Tenant shall not conduct or permit any auctions or sheriff's sales at the Property.</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b w:val="1"/>
          <w:bCs w:val="1"/>
          <w:color w:val="auto"/>
        </w:rPr>
        <w:t>Indemnity.</w:t>
      </w:r>
      <w:r>
        <w:rPr>
          <w:rFonts w:ascii="Arial" w:cs="Arial" w:eastAsia="Arial" w:hAnsi="Arial"/>
          <w:sz w:val="16"/>
          <w:szCs w:val="16"/>
          <w:color w:val="auto"/>
        </w:rPr>
        <w:t xml:space="preserve"> Tenant shall indemnify Landlord against and hold Landlord harmless from any and all costs, claims or liability arising from: (a) Tenant's use of the Property; (b) the conduct of Tenant's business or anything else done or permitted by Tenant to be done in or about the Property, including any contamination of the Property or any other property resulting from the presence or use of Hazardous Material caused or permitted by Tenant; (c) any breach or default in the performance of Tenant's obligations under this Lease; (d) any misrepresentation or breach of warranty by Tenant under this Lease; or (e) other acts or omissions of Tenant. Tenant shall defend Landlord against any such cost, claim or liability at Tenant's expense with counsel reasonably acceptable to Landlord, or, at Landlord's election, Tenant shall reimburse Landlord for any legal fees or costs incurred by Landlord in connection with any such claim. As a material part of the consideration to Landlord, Tenant assumes all risk of damage to property or injury to persons in or about the Property arising from any cause, and Tenant hereby waives all claims in respect thereof against Landlord, except for any claim arising out of Landlord's gross negligence or willful misconduct. As used in this Section, the term "Tenant" shall include Tenant's employees, agents, contractors, and invitees, if applicable.</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b w:val="1"/>
          <w:bCs w:val="1"/>
          <w:color w:val="auto"/>
        </w:rPr>
        <w:t>Landlord's Access.</w:t>
      </w:r>
      <w:r>
        <w:rPr>
          <w:rFonts w:ascii="Arial" w:cs="Arial" w:eastAsia="Arial" w:hAnsi="Arial"/>
          <w:sz w:val="15"/>
          <w:szCs w:val="15"/>
          <w:color w:val="auto"/>
        </w:rPr>
        <w:t xml:space="preserve"> Upon at least 24 hours advanced notice, Landlord or its agents may enter the Property at all reasonable times to show the Property to potential buyers, investors or tenants or other parties; to do any other act or to inspect and conduct tests in order to monitor Tenant's compliance with all applicable environmental laws and all laws governing the presence and use of Hazardous Material; or for any other purpose Landlord deems necessary. Landlord shall give Tenant at least 24 hours prior notice of such entry, except in the case of an emergency. Landlord may place customary "For Sale" or "For Lease" signs on the Property.</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b w:val="1"/>
          <w:bCs w:val="1"/>
          <w:color w:val="auto"/>
        </w:rPr>
        <w:t>Quiet Possession.</w:t>
      </w:r>
      <w:r>
        <w:rPr>
          <w:rFonts w:ascii="Arial" w:cs="Arial" w:eastAsia="Arial" w:hAnsi="Arial"/>
          <w:sz w:val="17"/>
          <w:szCs w:val="17"/>
          <w:color w:val="auto"/>
        </w:rPr>
        <w:t xml:space="preserve"> If Tenant pays the rent and complies with all other terms of this Lease, Tenant may occupy and enjoy the Property for the full Lease Term, subject to the provisions of this Lease.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SIX: </w:t>
      </w:r>
      <w:r>
        <w:rPr>
          <w:rFonts w:ascii="Arial" w:cs="Arial" w:eastAsia="Arial" w:hAnsi="Arial"/>
          <w:sz w:val="17"/>
          <w:szCs w:val="17"/>
          <w:b w:val="1"/>
          <w:bCs w:val="1"/>
          <w:color w:val="auto"/>
        </w:rPr>
        <w:t>CONDITION OF PROPERTY: MAINTENANCE, REPAIRS AND ALTERATIONS</w:t>
      </w:r>
    </w:p>
    <w:p>
      <w:pPr>
        <w:spacing w:after="0" w:line="24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b w:val="1"/>
          <w:bCs w:val="1"/>
          <w:color w:val="auto"/>
        </w:rPr>
        <w:t>Existing Conditions.</w:t>
      </w:r>
      <w:r>
        <w:rPr>
          <w:rFonts w:ascii="Arial" w:cs="Arial" w:eastAsia="Arial" w:hAnsi="Arial"/>
          <w:sz w:val="15"/>
          <w:szCs w:val="15"/>
          <w:color w:val="auto"/>
        </w:rPr>
        <w:t xml:space="preserve"> Tenant will have ten (90) days after execution of the Lease, to inspect property to make sure plumbing, electrical, no roof leaks, heating, fire sprinklers, etc all work. Except as provided herein, Tenant acknowledges that neither Landlord nor any agent of Landlord has made any representation as to the condition of the Property or the suitability of the Property for Tenant's intended use. Tenant represents and warrants that Tenant has made its own inspection of and inquiry regarding the condition of the Property and is not relying on any representations of Landlord or any Broker with respect thereto. If Landlord or Landlord's Broker has provided a Property Information Sheet or other Disclosure Statement regarding the Property, a copy is attached as an exhibit to the Lease.</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b w:val="1"/>
          <w:bCs w:val="1"/>
          <w:color w:val="auto"/>
        </w:rPr>
        <w:t>Exemption of Landlord from Liability.</w:t>
      </w:r>
      <w:r>
        <w:rPr>
          <w:rFonts w:ascii="Arial" w:cs="Arial" w:eastAsia="Arial" w:hAnsi="Arial"/>
          <w:sz w:val="16"/>
          <w:szCs w:val="16"/>
          <w:color w:val="auto"/>
        </w:rPr>
        <w:t xml:space="preserve"> Landlord shall not be liable for any damage or injury to the person, business (or any loss of income therefrom), goods, wares, merchandise or other property of Tenant, Tenant's employees, invitees, customers or any other person in or about the Property, whether such damage or injury is caused by or results from; (a) fire, steam, electricity, water, gas or rain; (b) the breakage, leakage, obstruction or other defects of pipes, sprinklers, wires, appliances, plumbing, air conditioning or lighting fixtures or any other cause; (c) conditions arising in or about the Property or upon other portions of the Project, or from other sources or places; or (d) any act or omission of any other tenant of the Project. Landlord shall not be liable for any such damage or injury even though the cause of or the means of repairing such damage or injury are not accessible to Tenant. The provisions of this Section 6.02 shall not, however, exempt Landlord from liability for Landlord's gross negligence or willful misconduct.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251"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b w:val="1"/>
          <w:bCs w:val="1"/>
          <w:color w:val="auto"/>
        </w:rPr>
        <w:t>Landlord's Obligations.</w:t>
      </w:r>
    </w:p>
    <w:p>
      <w:pPr>
        <w:spacing w:after="0" w:line="244" w:lineRule="exact"/>
        <w:rPr>
          <w:sz w:val="20"/>
          <w:szCs w:val="20"/>
          <w:color w:val="auto"/>
        </w:rPr>
      </w:pPr>
    </w:p>
    <w:p>
      <w:pPr>
        <w:jc w:val="both"/>
        <w:ind w:left="620" w:hanging="3"/>
        <w:spacing w:after="0" w:line="256" w:lineRule="auto"/>
        <w:tabs>
          <w:tab w:leader="none" w:pos="8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provided in Article Seven (Damage or Destruction) and Article Eight (Condemnation), Landlord shall keep the following in good order, condition and repair: the foundations, exterior walls and roof of the Property (including painting the exterior surface of the exterior walls of the Property not more often than once every five (5) years, if necessary) and all components of electrical, mechanical, plumbing, heating and air conditioning systems and facilities located in the Property which are concealed or used in common by tenants of the Project. However, Landlord shall not be obligated to maintain or repair windows, doors, plate glass or the interior surfaces of the exterior walls. Landlord shall make repairs under this Section 6.03 within a reasonable time after receipt of a written notice from Tenant of the need for such repairs.</w:t>
      </w:r>
    </w:p>
    <w:p>
      <w:pPr>
        <w:spacing w:after="0" w:line="208" w:lineRule="exact"/>
        <w:rPr>
          <w:rFonts w:ascii="Arial" w:cs="Arial" w:eastAsia="Arial" w:hAnsi="Arial"/>
          <w:sz w:val="17"/>
          <w:szCs w:val="17"/>
          <w:color w:val="auto"/>
        </w:rPr>
      </w:pPr>
    </w:p>
    <w:p>
      <w:pPr>
        <w:jc w:val="both"/>
        <w:ind w:left="620" w:hanging="3"/>
        <w:spacing w:after="0" w:line="264" w:lineRule="auto"/>
        <w:tabs>
          <w:tab w:leader="none" w:pos="87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Tenant shall pay or reimburse Landlord for all costs Landlord incurs under Paragraph 6.03(a) above as Common Area costs as provided for in Section 4.05 of the Lease. Tenant waives the benefit of any statute in effect now or in the future which might give Tenant the right to make repairs at Landlord’s expense or to terminate this Lease due to Landlord’s failure to keep the Property in good order, condition and repair.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b w:val="1"/>
          <w:bCs w:val="1"/>
          <w:color w:val="auto"/>
        </w:rPr>
        <w:t>Tenant's Obligations.</w:t>
      </w:r>
    </w:p>
    <w:p>
      <w:pPr>
        <w:spacing w:after="0" w:line="244" w:lineRule="exact"/>
        <w:rPr>
          <w:sz w:val="20"/>
          <w:szCs w:val="20"/>
          <w:color w:val="auto"/>
        </w:rPr>
      </w:pPr>
    </w:p>
    <w:p>
      <w:pPr>
        <w:jc w:val="both"/>
        <w:ind w:left="620" w:hanging="3"/>
        <w:spacing w:after="0" w:line="271" w:lineRule="auto"/>
        <w:tabs>
          <w:tab w:leader="none" w:pos="8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provided in Section 6.03, Article Seven (Damage or Destruction) and Article Eight (Condemnation), Tenant shall keep all portions of the Property (including structural, nonstructural, interior, systems and equipment) in good order, condition and repair (including interior repainting and refinishing, as needed). If any portion of the Property or any system or equipment in the Property which Tenant is obligated to repair cannot be fully repaired or restored, Tenant shall promptly replace such portion of the Property or system or equipment in the Property, regardless of whether the benefit of such replacement extends beyond the Lease Term; but if the benefit or useful life of such replacement extends beyond the Lease Term (as such term may be extended by exercise of any options), the useful life of such replacement shall be prorated over the remaining portion of the Lease Term (as extended), and Tenant shall be liable only for that portion of the cost which is applicable to the Lease Term (as extended). Tenant shall maintain a preventive maintenance contract providing for the regular inspection and maintenance of the heating and air conditioning system by a licensed heating and air conditioning contractor. Landlord shall have the right, upon written notice to Tenant, to undertake the responsibility for preventive maintenance of the heating and air conditioning system at Tenant's expense. In addition, Tenant shall, at Tenant's expense, repair any damage to the roof, foundation or structural portions of walls caused by Tenant's act or omissions. It is the intention of Landlord and Tenant that, at all times during the Lease Term, Tenant shall maintain the Property in an attractive, first-class and fully operative condition.</w:t>
      </w:r>
    </w:p>
    <w:p>
      <w:pPr>
        <w:spacing w:after="0" w:line="196" w:lineRule="exact"/>
        <w:rPr>
          <w:rFonts w:ascii="Arial" w:cs="Arial" w:eastAsia="Arial" w:hAnsi="Arial"/>
          <w:sz w:val="16"/>
          <w:szCs w:val="16"/>
          <w:color w:val="auto"/>
        </w:rPr>
      </w:pPr>
    </w:p>
    <w:p>
      <w:pPr>
        <w:jc w:val="both"/>
        <w:ind w:left="620" w:hanging="3"/>
        <w:spacing w:after="0" w:line="281" w:lineRule="auto"/>
        <w:tabs>
          <w:tab w:leader="none" w:pos="8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Tenant shall fulfill all of Tenant's obligations under this Section 6.04 at Tenant's sole expense. If Tenant fails to maintain, repair or replace the Property as required by this Section 6.04, Landlord may, upon ten (10) days' prior notice to Tenant (except that no notice shall be required in the case of any emergency), enter the Property and perform such maintenance or repair (including replacement, as needed) on behalf of Tenant. In such case, Tenant shall reimburse Landlord for all costs incurred in performing such maintenance or repair immediately upon demand.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b w:val="1"/>
          <w:bCs w:val="1"/>
          <w:color w:val="auto"/>
        </w:rPr>
        <w:t>Alterations, Additions, and Improvements.</w:t>
      </w:r>
    </w:p>
    <w:p>
      <w:pPr>
        <w:spacing w:after="0" w:line="244" w:lineRule="exact"/>
        <w:rPr>
          <w:sz w:val="20"/>
          <w:szCs w:val="20"/>
          <w:color w:val="auto"/>
        </w:rPr>
      </w:pPr>
    </w:p>
    <w:p>
      <w:pPr>
        <w:jc w:val="both"/>
        <w:ind w:left="620" w:hanging="3"/>
        <w:spacing w:after="0" w:line="274" w:lineRule="auto"/>
        <w:tabs>
          <w:tab w:leader="none" w:pos="8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Tenant shall not make any alterations, additions, or improvements to the Property without Landlord's prior written consent, except for non-structural alterations which do not exceed Ten Thousand Dollars ($10,000) in cost cumulatively over the Lease Term and which are not visible from the outside of any building of which the Property is part. Landlord may require Tenant to provide demolition and/or lien and completion bonds in form and amount satisfactory to Landlord. Tenant shall promptly remove any alterations, additions, or improvements constructed in violation of this Paragraph 6.05(a) upon Landlord's written request. All alterations, additions, and improvements shall be done in a good and workmanlike manner, in conformity with all applicable laws and regulations, and by a contractor approved by Landlord. Upon completion of any such work, Tenant shall provide Landlord with "as built" plans, copies of all construction contracts, and proof of payment for all labor and materials.</w:t>
      </w:r>
    </w:p>
    <w:p>
      <w:pPr>
        <w:spacing w:after="0" w:line="194" w:lineRule="exact"/>
        <w:rPr>
          <w:rFonts w:ascii="Arial" w:cs="Arial" w:eastAsia="Arial" w:hAnsi="Arial"/>
          <w:sz w:val="16"/>
          <w:szCs w:val="16"/>
          <w:color w:val="auto"/>
        </w:rPr>
      </w:pPr>
    </w:p>
    <w:p>
      <w:pPr>
        <w:jc w:val="both"/>
        <w:ind w:left="620" w:hanging="3"/>
        <w:spacing w:after="0" w:line="264" w:lineRule="auto"/>
        <w:tabs>
          <w:tab w:leader="none" w:pos="91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Tenant shall pay when due all claims for labor and material furnished to the Property. Tenant shall give Landlord at least twenty (20) days' prior written notice of the commencement of any work on the Property, regardless of whether Landlord's consent to such work is required. Landlord may elect to record and post notices of non-responsibility on the Property.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b w:val="1"/>
          <w:bCs w:val="1"/>
          <w:color w:val="auto"/>
        </w:rPr>
        <w:t>Condition upon Termination.</w:t>
      </w:r>
      <w:r>
        <w:rPr>
          <w:rFonts w:ascii="Arial" w:cs="Arial" w:eastAsia="Arial" w:hAnsi="Arial"/>
          <w:sz w:val="16"/>
          <w:szCs w:val="16"/>
          <w:color w:val="auto"/>
        </w:rPr>
        <w:t xml:space="preserve"> Upon the termination of the Lease, Tenant shall surrender the Property to Landlord, broom clean and in the same condition as received except for ordinary wear and tear which Tenant was not otherwise obligated to remedy under any provision of this Lease. However, Tenant shall not be obligated to repair any damage which Landlord is required to repair under Article Seven (Damage or Destruction). In addition, Landlord may require Tenant to remove any alterations, additions or improvements (whether or not made with Landlord's consent) prior to the expiration of the Lease and to restore the Property to its prior condition, all at Tenant's expense. All alterations, additions and improvements which Landlord has not required Tenant to remove shall become Landlord's property and shall be surrendered to Landlord upon the expiration or earlier termination of the Lease, except that Tenant may remove any of Tenant's machinery or equipment which can be removed without material damage to the Property. Tenant shall repair, at Tenant's expense, any damage to the Property caused by the removal of any such machinery or equipment. In no event, however, shall Tenant remove any of the following materials or equipment (which shall be deemed Landlord's property) without Landlord's prior written consent: any power wiring or power panels; lighting or lighting fixtures; wall coverings; drapes, blinds or other window coverings; carpets or other floor coverings; heaters, air conditioners or any other heating or air conditioning equipment; fencing or security gates; or other similar building operating equipment and decorations.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SEVEN: </w:t>
      </w:r>
      <w:r>
        <w:rPr>
          <w:rFonts w:ascii="Arial" w:cs="Arial" w:eastAsia="Arial" w:hAnsi="Arial"/>
          <w:sz w:val="17"/>
          <w:szCs w:val="17"/>
          <w:b w:val="1"/>
          <w:bCs w:val="1"/>
          <w:color w:val="auto"/>
        </w:rPr>
        <w:t>DAMAGE OR DESTRUCTION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b w:val="1"/>
          <w:bCs w:val="1"/>
          <w:color w:val="auto"/>
        </w:rPr>
        <w:t>Partial Damage to Property.</w:t>
      </w:r>
    </w:p>
    <w:p>
      <w:pPr>
        <w:spacing w:after="0" w:line="244" w:lineRule="exact"/>
        <w:rPr>
          <w:sz w:val="20"/>
          <w:szCs w:val="20"/>
          <w:color w:val="auto"/>
        </w:rPr>
      </w:pPr>
    </w:p>
    <w:p>
      <w:pPr>
        <w:jc w:val="both"/>
        <w:ind w:left="620" w:hanging="3"/>
        <w:spacing w:after="0" w:line="277" w:lineRule="auto"/>
        <w:tabs>
          <w:tab w:leader="none" w:pos="8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Tenant shall notify Landlord in writing immediately upon the occurrence of any damage to the Property. If the Property is only partially damaged (i.e., less than twenty-five (25%) of the Property is untenantable as a result of such damage or less than twenty-five percent (25%) of Tenant's operations are materially impaired) and if the proceeds received by Landlord from the insurance policies described in Paragraph 4.04(b) are sufficient to pay for the necessary repairs, this Lease shall remain in effect and Landlord shall repair the damage as soon as reasonably possible, but not to exceed 3 months. Landlord may elect (but is not required) to repair any damage to Tenant's fixtures, equipment, or improvements.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276" w:gutter="0" w:footer="0" w:header="0"/>
        </w:sectPr>
      </w:pPr>
    </w:p>
    <w:bookmarkStart w:id="32" w:name="page33"/>
    <w:bookmarkEnd w:id="32"/>
    <w:p>
      <w:pPr>
        <w:jc w:val="both"/>
        <w:ind w:left="620" w:hanging="3"/>
        <w:spacing w:after="0" w:line="254" w:lineRule="auto"/>
        <w:tabs>
          <w:tab w:leader="none" w:pos="874"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insurance proceeds received by Landlord are not sufficient to pay the entire cost of repair, or if the cause of the damage is not covered by the insurance policies which Landlord maintains under Paragraph 4.04(b), Landlord may elect either to (i) repair the damage as soon as reasonably possible, but not to exceed 3 months, in which case this Lease shall remain in full force and effect, or (ii) terminate this Lease as of the date the damage occurred. Landlord shall notify Tenant within thirty (30) days after receipt of notice of the occurrence of the damage whether Landlord elects to repair the damage or terminate the Lease. If Landlord elects to repair the damage, Tenant shall pay Landlord the "deductible amount" (if any) under Landlord's insurance policies and, if the damage was due to an act or omission of Tenant, or Tenant's employees, agents, contractors or invitees, the difference between the actual cost of repair and any insurance proceeds received by Landlord. If Landlord elects to terminate the Lease, Tenant may elect to continue this Lease in full force and effect, in which case Tenant shall repair any damage to the Property and any building in which the Property is located. Tenant shall pay the cost of such repairs, except that upon satisfactory completion of such repairs, Landlord shall deliver to Tenant any such insurance proceeds received by Landlord for the damage repaired by Tenant. Tenant shall give Landlord written notice of such election within ten (10) days after receiving Landlord's termination notice.</w:t>
      </w:r>
    </w:p>
    <w:p>
      <w:pPr>
        <w:spacing w:after="0" w:line="208" w:lineRule="exact"/>
        <w:rPr>
          <w:rFonts w:ascii="Arial" w:cs="Arial" w:eastAsia="Arial" w:hAnsi="Arial"/>
          <w:sz w:val="17"/>
          <w:szCs w:val="17"/>
          <w:color w:val="auto"/>
        </w:rPr>
      </w:pPr>
    </w:p>
    <w:p>
      <w:pPr>
        <w:jc w:val="both"/>
        <w:ind w:left="620" w:hanging="3"/>
        <w:spacing w:after="0" w:line="260" w:lineRule="auto"/>
        <w:tabs>
          <w:tab w:leader="none" w:pos="8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damage to the property occurs during the last six (6) months of the Lease Term and such damage will require more than thirty (30) days to repair, either Landlord or Tenant may elect to terminate this Lease as of the date the damage occurred, regardless of the sufficiency of any insurance proceeds. The party electing to terminate this Lease shall give written notification to the other party of such election within thirty (30) days after Tenant's notice to Landlord of the occurrence of the damage.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b w:val="1"/>
          <w:bCs w:val="1"/>
          <w:color w:val="auto"/>
        </w:rPr>
        <w:t>Intentionally Omitted</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b w:val="1"/>
          <w:bCs w:val="1"/>
          <w:color w:val="auto"/>
        </w:rPr>
        <w:t>Temporary Reduction of Rent.</w:t>
      </w:r>
      <w:r>
        <w:rPr>
          <w:rFonts w:ascii="Arial" w:cs="Arial" w:eastAsia="Arial" w:hAnsi="Arial"/>
          <w:sz w:val="16"/>
          <w:szCs w:val="16"/>
          <w:color w:val="auto"/>
        </w:rPr>
        <w:t xml:space="preserve"> If the Property is destroyed or damaged and Landlord or Tenant repairs or restores the Property pursuant to the provisions of this Article Seven, any rent payable during the period of such damage, repair and/or restoration shall be reduced according to the degree, if any, to which Tenant's use of the Property is impaired. However, the reduction shall not exceed the sum of one year's payment of Base Rent, insurance premiums and real property taxes. Except for such possible reduction in Base Rent, insurance premiums and real property taxes, Tenant shall not be entitled to any compensation, reduction, or reimbursement from Landlord as a result of any damage, destruction, repair, or restoration of or to the Property.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b w:val="1"/>
          <w:bCs w:val="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EIGHT: </w:t>
      </w:r>
      <w:r>
        <w:rPr>
          <w:rFonts w:ascii="Arial" w:cs="Arial" w:eastAsia="Arial" w:hAnsi="Arial"/>
          <w:sz w:val="17"/>
          <w:szCs w:val="17"/>
          <w:b w:val="1"/>
          <w:bCs w:val="1"/>
          <w:color w:val="auto"/>
        </w:rPr>
        <w:t>CONDEMNATION</w:t>
      </w:r>
    </w:p>
    <w:p>
      <w:pPr>
        <w:spacing w:after="0" w:line="2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If all or any portion of the Property is taken under the power of eminent domain or sold under the threat of that power (all of which are called "Condemnation"), this Lease shall terminate as to the part taken or sold on the date the condemning authority takes title or possession, whichever occurs first. If more than twenty percent (20%) of the floor area of the building in which the Property is located, or which is located on the Property, is taken, either Landlord or Tenant may terminate this Lease as of the date the condemning authority takes title or possession, by delivering written notice to the other within ten (10) days after receipt of written notice of such taking (or in the absence of such notice, within ten (10) days after the condemning authority takes title or possession). If neither Landlord nor Tenant terminates this Lease, this Lease shall remain in effect as to the portion of the Property not taken, except that the Base Rent and Additional Rent shall be reduced in proportion to the reduction in the floor area of the Property. Any Condemnation award or payment shall be distributed in the following order: (a) first, to any ground lessor, mortgagee or beneficiary under a deed of trust encumbering the Property, the amount of its interest in the Property; (b) second, to Tenant, only the amount of any award specifically designated for loss of or damage to Tenant's trade fixtures or removable personal property; and (c) third, to Landlord, the remainder of such award, whether as compensation for reduction in the value of the leasehold, the taking of the fee, or otherwise. If this Lease is not terminated, Landlord shall repair any damage to the Property caused by the Condemnation, except that Landlord shall not be obligated to repair any damage for which Tenant has been reimbursed by the condemning authority. If the severance damages received by Landlord are not sufficient to pay for such repair, Landlord shall have the right to either terminate this Lease or make such repair at Landlord's expense.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NINE: </w:t>
      </w:r>
      <w:r>
        <w:rPr>
          <w:rFonts w:ascii="Arial" w:cs="Arial" w:eastAsia="Arial" w:hAnsi="Arial"/>
          <w:sz w:val="17"/>
          <w:szCs w:val="17"/>
          <w:b w:val="1"/>
          <w:bCs w:val="1"/>
          <w:color w:val="auto"/>
        </w:rPr>
        <w:t>ASSIGNMENT AND SUBLETTING</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b w:val="1"/>
          <w:bCs w:val="1"/>
          <w:color w:val="auto"/>
        </w:rPr>
        <w:t>Landlord's Consent Required.</w:t>
      </w:r>
      <w:r>
        <w:rPr>
          <w:rFonts w:ascii="Arial" w:cs="Arial" w:eastAsia="Arial" w:hAnsi="Arial"/>
          <w:sz w:val="17"/>
          <w:szCs w:val="17"/>
          <w:color w:val="auto"/>
        </w:rPr>
        <w:t xml:space="preserve"> No portion of the Property or of Tenant's interest in this Lease may be acquired by any other person or entity, whether by sale, assignment, mortgage, sublease, transfer, operation of law, or act of Tenant, without Landlord's prior written consent, which will not be unreasonably withheld except as provided in Section 9.02 below. Landlord has the right to grant or withhold its consent as provided in Section 9.05 below. Any attempted transfer without consent shall be void and shall constitute a non-curable breach of this Lease. If Tenant is a partnership, any cumulative transfer of more than twenty percent (20%) of the partnership interests shall require Landlord's consent. If Tenant is a corporation, any change in the ownership of a controlling interest of the voting stock of the corporation shall require Landlord's consent.</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b w:val="1"/>
          <w:bCs w:val="1"/>
          <w:color w:val="auto"/>
        </w:rPr>
        <w:t>Tenant Affiliate.</w:t>
      </w:r>
      <w:r>
        <w:rPr>
          <w:rFonts w:ascii="Arial" w:cs="Arial" w:eastAsia="Arial" w:hAnsi="Arial"/>
          <w:sz w:val="17"/>
          <w:szCs w:val="17"/>
          <w:color w:val="auto"/>
        </w:rPr>
        <w:t xml:space="preserve"> Tenant may assign this Lease or sublease the Property, without Landlord's consent, to any corporation which controls, is controlled by or is under common control with Tenant, or to any corporation resulting from the merger of or consolidation with Tenant ("Tenant's Affiliate"). In such case, any Tenant's Affiliate shall assume in writing all of Tenant's obligations under this Lease.</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Section 9.03. </w:t>
      </w:r>
      <w:r>
        <w:rPr>
          <w:rFonts w:ascii="Arial" w:cs="Arial" w:eastAsia="Arial" w:hAnsi="Arial"/>
          <w:sz w:val="15"/>
          <w:szCs w:val="15"/>
          <w:b w:val="1"/>
          <w:bCs w:val="1"/>
          <w:color w:val="auto"/>
        </w:rPr>
        <w:t>No Release of Tenant.</w:t>
      </w:r>
      <w:r>
        <w:rPr>
          <w:rFonts w:ascii="Arial" w:cs="Arial" w:eastAsia="Arial" w:hAnsi="Arial"/>
          <w:sz w:val="15"/>
          <w:szCs w:val="15"/>
          <w:color w:val="auto"/>
        </w:rPr>
        <w:t xml:space="preserve"> No transfer permitted by this Article Nine, whether with or without Landlord's consent, shall release Tenant or change Tenant's primary liability to pay the rent and to perform all other obligations of Tenant under this Lease. Landlord's acceptance of rent from any other person is not a waiver of any provision of this Article Nine. Consent to one transfer is not a consent to any subsequent transfer. If Tenant's transferee defaults under this Lease, Landlord may proceed directly against Tenant without pursuing remedies against the transferee. Landlord may consent to subsequent assignments or modifications of this Lease by Tenant's transferee, without notifying Tenant or obtaining its consent. Such action shall not relieve Tenant's liability under this Lease.</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b w:val="1"/>
          <w:bCs w:val="1"/>
          <w:color w:val="auto"/>
        </w:rPr>
        <w:t>Offer to Terminate.</w:t>
      </w:r>
      <w:r>
        <w:rPr>
          <w:rFonts w:ascii="Arial" w:cs="Arial" w:eastAsia="Arial" w:hAnsi="Arial"/>
          <w:sz w:val="16"/>
          <w:szCs w:val="16"/>
          <w:color w:val="auto"/>
        </w:rPr>
        <w:t xml:space="preserve"> If Tenant desires to assign the Lease or sublease the Property, Tenant shall have the right to offer, in writing, to terminate the Lease as of a date specified in the offer. If Landlord elects in writing to accept the offer to terminate within twenty (20) days after notice of the offer, the Lease shall terminate as of the date specified and all the terms and provisions of the Lease governing termination shall apply. If Landlord does not so elect, the Lease shall continue in effect until otherwise terminated and the provisions of Section 9.05 with respect to any proposed transfer shall continue to apply.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8" w:right="239" w:bottom="251"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b w:val="1"/>
          <w:bCs w:val="1"/>
          <w:color w:val="auto"/>
        </w:rPr>
        <w:t>Landlord's Consent.</w:t>
      </w:r>
    </w:p>
    <w:p>
      <w:pPr>
        <w:spacing w:after="0" w:line="244" w:lineRule="exact"/>
        <w:rPr>
          <w:sz w:val="20"/>
          <w:szCs w:val="20"/>
          <w:color w:val="auto"/>
        </w:rPr>
      </w:pPr>
    </w:p>
    <w:p>
      <w:pPr>
        <w:jc w:val="both"/>
        <w:ind w:left="620" w:hanging="3"/>
        <w:spacing w:after="0" w:line="289" w:lineRule="auto"/>
        <w:tabs>
          <w:tab w:leader="none" w:pos="909" w:val="left"/>
        </w:tabs>
        <w:numPr>
          <w:ilvl w:val="0"/>
          <w:numId w:val="17"/>
        </w:numPr>
        <w:rPr>
          <w:rFonts w:ascii="Arial" w:cs="Arial" w:eastAsia="Arial" w:hAnsi="Arial"/>
          <w:sz w:val="15"/>
          <w:szCs w:val="15"/>
          <w:color w:val="auto"/>
        </w:rPr>
      </w:pPr>
      <w:r>
        <w:rPr>
          <w:rFonts w:ascii="Arial" w:cs="Arial" w:eastAsia="Arial" w:hAnsi="Arial"/>
          <w:sz w:val="15"/>
          <w:szCs w:val="15"/>
          <w:color w:val="auto"/>
        </w:rPr>
        <w:t>Tenant's request for consent to any transfer described in Section 9.01 shall set forth in writing the details of the proposed transfer, including the name, business and financial condition of the prospective transferee, financial details of the proposed transfer (e.g., the term of and the rent and security deposit payable under any proposed assignment or sublease), and any other information Landlord deems relevant. Landlord shall have the right to withhold consent, if reasonable, or to grant consent, based on the following factors: (i) the business of the proposed assignee or subtenant and the proposed use of the Property;</w:t>
      </w:r>
    </w:p>
    <w:p>
      <w:pPr>
        <w:jc w:val="both"/>
        <w:ind w:left="620" w:hanging="3"/>
        <w:spacing w:after="0" w:line="255" w:lineRule="auto"/>
        <w:tabs>
          <w:tab w:leader="none" w:pos="8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net worth and financial reputation of the proposed assignee or subtenant; (iii) Tenant's compliance with all of its obligations under the Lease; and (iv) such other factors as Landlord may reasonably deem relevant. If Landlord objects to a proposed assignment solely because of the net worth and/or financial reputation of the proposed assignee, Tenant may nonetheless sublease (but not assign), all or a portion of the Property to the proposed transferee, but only on the other terms of the proposed transfer.</w:t>
      </w:r>
    </w:p>
    <w:p>
      <w:pPr>
        <w:spacing w:after="0" w:line="208" w:lineRule="exact"/>
        <w:rPr>
          <w:rFonts w:ascii="Arial" w:cs="Arial" w:eastAsia="Arial" w:hAnsi="Arial"/>
          <w:sz w:val="17"/>
          <w:szCs w:val="17"/>
          <w:color w:val="auto"/>
        </w:rPr>
      </w:pPr>
    </w:p>
    <w:p>
      <w:pPr>
        <w:ind w:left="900" w:hanging="28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Tenant assigns or subleases, the following shall apply:</w:t>
      </w:r>
    </w:p>
    <w:p>
      <w:pPr>
        <w:spacing w:after="0" w:line="239" w:lineRule="exact"/>
        <w:rPr>
          <w:rFonts w:ascii="Arial" w:cs="Arial" w:eastAsia="Arial" w:hAnsi="Arial"/>
          <w:sz w:val="17"/>
          <w:szCs w:val="17"/>
          <w:color w:val="auto"/>
        </w:rPr>
      </w:pPr>
    </w:p>
    <w:p>
      <w:pPr>
        <w:jc w:val="both"/>
        <w:ind w:left="920" w:firstLine="4"/>
        <w:spacing w:after="0" w:line="254" w:lineRule="auto"/>
        <w:tabs>
          <w:tab w:leader="none" w:pos="1172" w:val="left"/>
        </w:tabs>
        <w:numPr>
          <w:ilvl w:val="1"/>
          <w:numId w:val="19"/>
        </w:numPr>
        <w:rPr>
          <w:rFonts w:ascii="Arial" w:cs="Arial" w:eastAsia="Arial" w:hAnsi="Arial"/>
          <w:sz w:val="17"/>
          <w:szCs w:val="17"/>
          <w:color w:val="auto"/>
        </w:rPr>
      </w:pPr>
      <w:r>
        <w:rPr>
          <w:rFonts w:ascii="Arial" w:cs="Arial" w:eastAsia="Arial" w:hAnsi="Arial"/>
          <w:sz w:val="17"/>
          <w:szCs w:val="17"/>
          <w:color w:val="auto"/>
        </w:rPr>
        <w:t>Tenant shall pay to Landlord as Additional Rent under the Lease the Landlord's Share (stated in Section 1.14) of the Profit (defined below) on such transaction as and when received by Tenant, unless Landlord gives written notice to Tenant and the assignee or subtenant that Landlord's Share shall be paid by the assignee or subtenant to Landlord directly. The "Profit" means (A) all amounts paid to Tenant for such assignment or sublease, including "key" money, monthly rent in excess of the monthly rent payable under the Lease, and all fees and other consideration paid for the assignment or sublease, including fees under any collateral agreements, less (B) costs and expenses directly incurred by Tenant in connection with the execution and performance of such assignment or sublease for real estate broker's commissions and costs of renovation or construction of tenant improvements required under such assignment or sublease. Tenant is entitled to recover such costs and expenses before Tenant is obligated to pay the Landlord's Share to Landlord. The Profit in the case of a sublease of less than all the Property is the rent allocable to the subleased space as a percentage on a square footage basis.</w:t>
      </w:r>
    </w:p>
    <w:p>
      <w:pPr>
        <w:spacing w:after="0" w:line="212" w:lineRule="exact"/>
        <w:rPr>
          <w:rFonts w:ascii="Arial" w:cs="Arial" w:eastAsia="Arial" w:hAnsi="Arial"/>
          <w:sz w:val="17"/>
          <w:szCs w:val="17"/>
          <w:color w:val="auto"/>
        </w:rPr>
      </w:pPr>
    </w:p>
    <w:p>
      <w:pPr>
        <w:jc w:val="both"/>
        <w:ind w:left="920" w:firstLine="4"/>
        <w:spacing w:after="0" w:line="257" w:lineRule="auto"/>
        <w:tabs>
          <w:tab w:leader="none" w:pos="1236" w:val="left"/>
        </w:tabs>
        <w:numPr>
          <w:ilvl w:val="1"/>
          <w:numId w:val="19"/>
        </w:numPr>
        <w:rPr>
          <w:rFonts w:ascii="Arial" w:cs="Arial" w:eastAsia="Arial" w:hAnsi="Arial"/>
          <w:sz w:val="17"/>
          <w:szCs w:val="17"/>
          <w:color w:val="auto"/>
        </w:rPr>
      </w:pPr>
      <w:r>
        <w:rPr>
          <w:rFonts w:ascii="Arial" w:cs="Arial" w:eastAsia="Arial" w:hAnsi="Arial"/>
          <w:sz w:val="17"/>
          <w:szCs w:val="17"/>
          <w:color w:val="auto"/>
        </w:rPr>
        <w:t>Tenant shall provide Landlord a written statement certifying all amounts to be paid from any assignment or sublease of the Property within thirty (30) days after the transaction documentation is signed, and Landlord may inspect Tenant's book and records to verify the accuracy of such statement. On written request, Tenant shall promptly furnish to Landlord copies of all the transaction documentation, all of which shall be certified by Tenant to be complete, true and correct. Landlord's receipt of Landlord's Share shall not be a consent to any further assignment or subletting. The breach of Tenant's obligation under this Paragraph 9.05(b) shall be a material default of the Lease.</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b w:val="1"/>
          <w:bCs w:val="1"/>
          <w:color w:val="auto"/>
        </w:rPr>
        <w:t>No Merger.</w:t>
      </w:r>
      <w:r>
        <w:rPr>
          <w:rFonts w:ascii="Arial" w:cs="Arial" w:eastAsia="Arial" w:hAnsi="Arial"/>
          <w:sz w:val="17"/>
          <w:szCs w:val="17"/>
          <w:color w:val="auto"/>
        </w:rPr>
        <w:t xml:space="preserve"> No merger shall result from Tenant's sublease of the Property under this Article Nine, Tenant's surrender of this Lease or the termination of this Lease in any other manner. In any such event, Landlord may terminate any or all subtenancies or succeed to the interest of Tenant as sublandlord under any or all subtenancies.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TEN: </w:t>
      </w:r>
      <w:r>
        <w:rPr>
          <w:rFonts w:ascii="Arial" w:cs="Arial" w:eastAsia="Arial" w:hAnsi="Arial"/>
          <w:sz w:val="17"/>
          <w:szCs w:val="17"/>
          <w:b w:val="1"/>
          <w:bCs w:val="1"/>
          <w:color w:val="auto"/>
        </w:rPr>
        <w:t>DEFAULTS; REMEDIES</w:t>
      </w:r>
    </w:p>
    <w:p>
      <w:pPr>
        <w:spacing w:after="0" w:line="240" w:lineRule="exact"/>
        <w:rPr>
          <w:sz w:val="20"/>
          <w:szCs w:val="20"/>
          <w:color w:val="auto"/>
        </w:rPr>
      </w:pPr>
    </w:p>
    <w:p>
      <w:pPr>
        <w:jc w:val="both"/>
        <w:spacing w:after="0" w:line="351" w:lineRule="auto"/>
        <w:rPr>
          <w:sz w:val="20"/>
          <w:szCs w:val="20"/>
          <w:color w:val="auto"/>
        </w:rPr>
      </w:pPr>
      <w:r>
        <w:rPr>
          <w:rFonts w:ascii="Arial" w:cs="Arial" w:eastAsia="Arial" w:hAnsi="Arial"/>
          <w:sz w:val="15"/>
          <w:szCs w:val="15"/>
          <w:color w:val="auto"/>
        </w:rPr>
        <w:t xml:space="preserve">Section 10.01. </w:t>
      </w:r>
      <w:r>
        <w:rPr>
          <w:rFonts w:ascii="Arial" w:cs="Arial" w:eastAsia="Arial" w:hAnsi="Arial"/>
          <w:sz w:val="15"/>
          <w:szCs w:val="15"/>
          <w:b w:val="1"/>
          <w:bCs w:val="1"/>
          <w:color w:val="auto"/>
        </w:rPr>
        <w:t>Covenants and Conditions.</w:t>
      </w:r>
      <w:r>
        <w:rPr>
          <w:rFonts w:ascii="Arial" w:cs="Arial" w:eastAsia="Arial" w:hAnsi="Arial"/>
          <w:sz w:val="15"/>
          <w:szCs w:val="15"/>
          <w:color w:val="auto"/>
        </w:rPr>
        <w:t xml:space="preserve"> Tenant's performance of each of Tenant's obligations under this Lease is a condition as well as a covenant. Tenant's right to continue in possession of the Property is conditioned upon such performance. Time is of the essence in the performance of all covenants and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b w:val="1"/>
          <w:bCs w:val="1"/>
          <w:color w:val="auto"/>
        </w:rPr>
        <w:t>Defaults.</w:t>
      </w:r>
      <w:r>
        <w:rPr>
          <w:rFonts w:ascii="Arial" w:cs="Arial" w:eastAsia="Arial" w:hAnsi="Arial"/>
          <w:sz w:val="17"/>
          <w:szCs w:val="17"/>
          <w:color w:val="auto"/>
        </w:rPr>
        <w:t xml:space="preserve"> Tenant shall be in material default under this Lease:</w:t>
      </w:r>
    </w:p>
    <w:p>
      <w:pPr>
        <w:spacing w:after="0" w:line="244" w:lineRule="exact"/>
        <w:rPr>
          <w:sz w:val="20"/>
          <w:szCs w:val="20"/>
          <w:color w:val="auto"/>
        </w:rPr>
      </w:pPr>
    </w:p>
    <w:p>
      <w:pPr>
        <w:ind w:left="620" w:hanging="3"/>
        <w:spacing w:after="0" w:line="276" w:lineRule="auto"/>
        <w:tabs>
          <w:tab w:leader="none" w:pos="9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Tenant abandons the Property or if Tenant's vacation of the Property results in the cancellation of any insurance described in Section 4.04. If Tenant elects to vacate and sublease the space and is current with the rent and CAM, the lease shall not be in default.</w:t>
      </w:r>
    </w:p>
    <w:p>
      <w:pPr>
        <w:spacing w:after="0" w:line="190" w:lineRule="exact"/>
        <w:rPr>
          <w:rFonts w:ascii="Arial" w:cs="Arial" w:eastAsia="Arial" w:hAnsi="Arial"/>
          <w:sz w:val="17"/>
          <w:szCs w:val="17"/>
          <w:color w:val="auto"/>
        </w:rPr>
      </w:pPr>
    </w:p>
    <w:p>
      <w:pPr>
        <w:ind w:left="860" w:hanging="243"/>
        <w:spacing w:after="0"/>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Tenant fails to pay rent or any other charge when due;</w:t>
      </w:r>
    </w:p>
    <w:p>
      <w:pPr>
        <w:spacing w:after="0" w:line="239" w:lineRule="exact"/>
        <w:rPr>
          <w:rFonts w:ascii="Arial" w:cs="Arial" w:eastAsia="Arial" w:hAnsi="Arial"/>
          <w:sz w:val="17"/>
          <w:szCs w:val="17"/>
          <w:color w:val="auto"/>
        </w:rPr>
      </w:pPr>
    </w:p>
    <w:p>
      <w:pPr>
        <w:jc w:val="both"/>
        <w:ind w:left="620" w:hanging="3"/>
        <w:spacing w:after="0" w:line="257" w:lineRule="auto"/>
        <w:tabs>
          <w:tab w:leader="none" w:pos="9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Tenant fails to perform any of Tenant's non-monetary obligations under this Lease for a period of thirty (30) days after written notice from Landlord; provided that if more than thirty (30) days are required to complete such performance, Tenant shall not be in default if Tenant commences such performance within the thirty (30) -day period and thereafter diligently pursues its completion. However, Landlord shall not be required to give such notice if Tenant's failure to perform constitutes a non-curable breach of this Lease. The notice required by this Paragraph is intended to satisfy any and all notice requirements imposed by law on Landlord and is not in addition to any such requirement.</w:t>
      </w:r>
    </w:p>
    <w:p>
      <w:pPr>
        <w:spacing w:after="0" w:line="208" w:lineRule="exact"/>
        <w:rPr>
          <w:rFonts w:ascii="Arial" w:cs="Arial" w:eastAsia="Arial" w:hAnsi="Arial"/>
          <w:sz w:val="17"/>
          <w:szCs w:val="17"/>
          <w:color w:val="auto"/>
        </w:rPr>
      </w:pPr>
    </w:p>
    <w:p>
      <w:pPr>
        <w:jc w:val="both"/>
        <w:ind w:left="620" w:hanging="3"/>
        <w:spacing w:after="0" w:line="273" w:lineRule="auto"/>
        <w:tabs>
          <w:tab w:leader="none" w:pos="9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If Tenant makes a general assignment or general arrangement for the benefit of creditors; (ii) if a petition for adjudication of bankruptcy or for reorganization or rearrangement is filed by or against Tenant and is not dismissed within thirty (30) days; (iii) if a trustee or receiver is appointed to take possession of substantially all of Tenant's assets located at the Property or of Tenant's interest in this Lease and possession is not restored to Tenant within thirty (30) days; or (iv) if substantially all of Tenant's assets located at the Property or of Tenant's interest in this Lease is subjected to attachment, execution or other judicial seizure which is not discharged within thirty (30) days. If a court of competent jurisdiction determines that any of the acts described in this subparagraph (d) is not a default under this Lease, and a trustee is appointed to take possession (or if Tenant remains a debtor in possession) and such trustee or Tenant transfers Tenant's interest hereunder, then Landlord shall receive, as Additional Rent, the excess, if any, of the rent (or any other consideration) paid in connection with such assignment or sublease over the rent payable by Tenant under this Lease.</w:t>
      </w:r>
    </w:p>
    <w:p>
      <w:pPr>
        <w:spacing w:after="0" w:line="195" w:lineRule="exact"/>
        <w:rPr>
          <w:rFonts w:ascii="Arial" w:cs="Arial" w:eastAsia="Arial" w:hAnsi="Arial"/>
          <w:sz w:val="16"/>
          <w:szCs w:val="16"/>
          <w:color w:val="auto"/>
        </w:rPr>
      </w:pPr>
    </w:p>
    <w:p>
      <w:pPr>
        <w:ind w:left="620" w:hanging="3"/>
        <w:spacing w:after="0" w:line="276" w:lineRule="auto"/>
        <w:tabs>
          <w:tab w:leader="none" w:pos="8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any guarantor of the Lease revokes or otherwise terminates, or purports to revoke or otherwise terminate, any guaranty of all or any portion of Tenant's obligations under the Lease. Unless otherwise expressly provided, no guaranty of the Lease is revocable.</w:t>
      </w:r>
    </w:p>
    <w:p>
      <w:pPr>
        <w:spacing w:after="0" w:line="187"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b w:val="1"/>
          <w:bCs w:val="1"/>
          <w:color w:val="auto"/>
        </w:rPr>
        <w:t>Remedies</w:t>
      </w:r>
      <w:r>
        <w:rPr>
          <w:rFonts w:ascii="Arial" w:cs="Arial" w:eastAsia="Arial" w:hAnsi="Arial"/>
          <w:sz w:val="17"/>
          <w:szCs w:val="17"/>
          <w:color w:val="auto"/>
        </w:rPr>
        <w:t>. On the occurrence of any material default by Tenant, Landlord may, at any time thereafter, with or without notice or demand and without limiting Landlord in the exercise of any right or remedy which Landlord may have: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840" w:gutter="0" w:footer="0" w:header="0"/>
        </w:sectPr>
      </w:pPr>
    </w:p>
    <w:bookmarkStart w:id="34" w:name="page35"/>
    <w:bookmarkEnd w:id="34"/>
    <w:p>
      <w:pPr>
        <w:jc w:val="both"/>
        <w:ind w:left="620" w:hanging="3"/>
        <w:spacing w:after="0" w:line="289" w:lineRule="auto"/>
        <w:tabs>
          <w:tab w:leader="none" w:pos="87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Terminate Tenant's right to possession of the Property by any lawful means, in which case this Lease shall terminate and Tenant shall immediately surrender possession of the Property to Landlord. In such event, Landlord shall be entitled to recover from Tenant all damages incurred by Landlord by reason of Tenant's default, including (i) the worth at the time of the award of the unpaid Base Rent, Additional Rent and other charges which Landlord had earned at the time of the termination; (ii) the worth at the time of the award of the amount by which the unpaid Base Rent, additional Rent and other charges which Landlord would have earned after termination until the time of the award exceeds the amount of such rental loss that Tenant proves Landlord could have reasonably avoided; (iii) the worth at the time of the award of the amount by which the unpaid Base Rent, Additional Rent and other charges which Tenant would have paid for the balance of the Lease Term after the time of award exceeds the amount of such rental loss that Tenant proves Landlord could have reasonably avoided; and (iv) any other amount necessary to compensate Landlord for all the detriment proximately caused by Tenant's failure to perform its obligations under the Lease or which in the ordinary course of things would be likely to result therefrom, including, but not limited to, any costs or expenses Landlord incurs in maintaining or preserving the Property after such default, the cost of recovering possession of the Property, expenses of reletting, including necessary renovation or alteration of the Property, Landlord's reasonable attorneys' fees incurred in connection therewith, and any real estate commission paid or payable. As used in subparts (i) and (ii) above, the "worth at the time of the award" is computed by allowing interest on unpaid amounts at the rate of fifteen percent (15%) per annum, or such lesser amount as may then be the maximum lawful rate. As used in subpart (iii) above, the "worth at the time of the award" is computed by discounting such amount at the discount rate of the Federal Reserve Bank of San Francisco at the time of the award, plus one percent (1%). If Tenant has abandoned the Property, Landlord shall have the option of (i) retaking possession of the Property and recovering from Tenant the amount specified in this Paragraph 10.03(a), or (ii) proceeding under Paragraph 10.03(b);</w:t>
      </w:r>
    </w:p>
    <w:p>
      <w:pPr>
        <w:spacing w:after="0" w:line="185" w:lineRule="exact"/>
        <w:rPr>
          <w:rFonts w:ascii="Arial" w:cs="Arial" w:eastAsia="Arial" w:hAnsi="Arial"/>
          <w:sz w:val="15"/>
          <w:szCs w:val="15"/>
          <w:color w:val="auto"/>
        </w:rPr>
      </w:pPr>
    </w:p>
    <w:p>
      <w:pPr>
        <w:ind w:left="620" w:hanging="3"/>
        <w:spacing w:after="0" w:line="345" w:lineRule="auto"/>
        <w:tabs>
          <w:tab w:leader="none" w:pos="904"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Maintain Tenant's right to possession, in which case this Lease shall continue in effect whether or not Tenant has abandoned the Property. In such event, Landlord shall be entitled to enforce all of Landlord's rights and remedies under this Lease, including the right to recover the rent as it becomes due;</w:t>
      </w:r>
    </w:p>
    <w:p>
      <w:pPr>
        <w:spacing w:after="0" w:line="144" w:lineRule="exact"/>
        <w:rPr>
          <w:rFonts w:ascii="Arial" w:cs="Arial" w:eastAsia="Arial" w:hAnsi="Arial"/>
          <w:sz w:val="15"/>
          <w:szCs w:val="15"/>
          <w:color w:val="auto"/>
        </w:rPr>
      </w:pPr>
    </w:p>
    <w:p>
      <w:pPr>
        <w:ind w:left="900" w:hanging="283"/>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Pursue any other remedy now or hereafter available to Landlord under the laws or judicial decisions of the state in which the Property is located.</w:t>
      </w:r>
    </w:p>
    <w:p>
      <w:pPr>
        <w:spacing w:after="0" w:line="24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b w:val="1"/>
          <w:bCs w:val="1"/>
          <w:color w:val="auto"/>
        </w:rPr>
        <w:t>Repayment of "Free" Rent.</w:t>
      </w:r>
      <w:r>
        <w:rPr>
          <w:rFonts w:ascii="Arial" w:cs="Arial" w:eastAsia="Arial" w:hAnsi="Arial"/>
          <w:sz w:val="15"/>
          <w:szCs w:val="15"/>
          <w:color w:val="auto"/>
        </w:rPr>
        <w:t xml:space="preserve"> If this Lease provides for a postponement of any monthly rental payments, a period of "free" rent or other rent concession, such postponed rent or "free" rent is called the "Abated Rent." Tenant shall be credited with having paid all of the Abated Rent on the expiration of the Lease Term only if Tenant has fully, faithfully, and punctually performed all of Tenant's obligations hereunder, including the payment of all rent (other than the Abated Rent) and all other monetary obligations and the surrender of the Property in the physical condition required by this Lease. Tenant acknowledges that its right to receive credit for the Abated Rent is absolutely conditioned upon Tenant's full, faithful and punctual performance of it obligations under this Lease. If Tenant defaults and does not cure within any applicable grace period, the Abated Rent shall immediately become due and payable in full and this Lease shall be enforced as if there were no such rent abatement or other rent concession. In such case Abated Rent shall be calculated based on the full initial rent payable under this Lease.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b w:val="1"/>
          <w:bCs w:val="1"/>
          <w:color w:val="auto"/>
        </w:rPr>
        <w:t>Automatic Termination.</w:t>
      </w:r>
      <w:r>
        <w:rPr>
          <w:rFonts w:ascii="Arial" w:cs="Arial" w:eastAsia="Arial" w:hAnsi="Arial"/>
          <w:sz w:val="16"/>
          <w:szCs w:val="16"/>
          <w:color w:val="auto"/>
        </w:rPr>
        <w:t xml:space="preserve"> Notwithstanding any other term or provision hereof to the contrary, the Lease shall terminate on the occurrence of any act which affirms the Landlord's intention to terminate the Lease as provided in Section 10.03 hereof, including the filing of an unlawful detainer action against Tenant. On such termination, Landlord's damages for default shall include all costs and fees, including reasonable attorneys' fees that Landlord incurs in connection with the filing, commencement, pursuing and/or defending of any action in any bankruptcy court or other court with respect to the Lease; the obtaining of relief from any stay in bankruptcy restraining any action to evict Tenant; or the pursuing of any action with respect to Landlord's right to possession of the Property. All such damages suffered (apart from Base Rent and other rent payable hereunder) shall constitute pecuniary damages which must be reimbursed to Landlord prior to assumption of the Lease by Tenant or any successor to Tenant in any bankruptcy or other proceeding.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b w:val="1"/>
          <w:bCs w:val="1"/>
          <w:color w:val="auto"/>
        </w:rPr>
        <w:t>Cumulative Remedies.</w:t>
      </w:r>
      <w:r>
        <w:rPr>
          <w:rFonts w:ascii="Arial" w:cs="Arial" w:eastAsia="Arial" w:hAnsi="Arial"/>
          <w:sz w:val="17"/>
          <w:szCs w:val="17"/>
          <w:color w:val="auto"/>
        </w:rPr>
        <w:t xml:space="preserve"> Landlord's exercise of any right or remedy shall not prevent it from exercising any other right or remedy.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ELEVEN: </w:t>
      </w:r>
      <w:r>
        <w:rPr>
          <w:rFonts w:ascii="Arial" w:cs="Arial" w:eastAsia="Arial" w:hAnsi="Arial"/>
          <w:sz w:val="17"/>
          <w:szCs w:val="17"/>
          <w:b w:val="1"/>
          <w:bCs w:val="1"/>
          <w:color w:val="auto"/>
        </w:rPr>
        <w:t>PROTECTION OF LENDERS</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b w:val="1"/>
          <w:bCs w:val="1"/>
          <w:color w:val="auto"/>
        </w:rPr>
        <w:t>Subordination.</w:t>
      </w:r>
      <w:r>
        <w:rPr>
          <w:rFonts w:ascii="Arial" w:cs="Arial" w:eastAsia="Arial" w:hAnsi="Arial"/>
          <w:sz w:val="16"/>
          <w:szCs w:val="16"/>
          <w:color w:val="auto"/>
        </w:rPr>
        <w:t xml:space="preserve"> Landlord shall have the right to subordinate this Lease to any ground lease, deed of trust or mortgage encumbering the Property, any advances made on the security thereof and any renewals, modifications, consolidations, replacements or extensions thereof, whenever made or recorded. Tenant shall cooperate with Landlord and any lender which is acquiring a security interest in the Property or the Lease. Tenant shall execute such further documents and assurances as such lender may require, provided that Tenant's obligations under this Lease shall not be increased in any material way (the performance of ministerial acts shall not be deemed material), and Tenant shall not be deprived of its rights under this Lease. Tenant's right to quiet possession of the Property during the Lease Term shall not be disturbed if Tenant pays the rent and performs all of Tenant's obligations under this Lease and is not otherwise in default. If any ground lessor, beneficiary or mortgagee elects to have this Lease prior to the lien of its ground lease, deed of trust or mortgage and gives written notice thereof to Tenant, this Lease shall be deemed prior to such ground lease, deed of trust or mortgage whether this Lease is dated prior or subsequent to the date of said ground lease, deed of trust or mortgage or the date of recording thereof.</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b w:val="1"/>
          <w:bCs w:val="1"/>
          <w:color w:val="auto"/>
        </w:rPr>
        <w:t>Intentionally Omitted</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b w:val="1"/>
          <w:bCs w:val="1"/>
          <w:color w:val="auto"/>
        </w:rPr>
        <w:t>Signing of Documents.</w:t>
      </w:r>
      <w:r>
        <w:rPr>
          <w:rFonts w:ascii="Arial" w:cs="Arial" w:eastAsia="Arial" w:hAnsi="Arial"/>
          <w:sz w:val="16"/>
          <w:szCs w:val="16"/>
          <w:color w:val="auto"/>
        </w:rPr>
        <w:t xml:space="preserve"> Tenant shall sign and deliver any instrument or documents necessary or appropriate to evidence any such attornment or subordination or agreement to do so. If Tenant fails to do so within ten (10) days after written request, Tenant hereby makes, constitutes and irrevocably appoints Landlord, or any transferee or successor of Landlord, the attorney-in-fact of Tenant to execute and deliver any such instrument or document.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b w:val="1"/>
          <w:bCs w:val="1"/>
          <w:color w:val="auto"/>
        </w:rPr>
        <w:t>Estoppel Certificates.</w:t>
      </w:r>
    </w:p>
    <w:p>
      <w:pPr>
        <w:spacing w:after="0" w:line="244" w:lineRule="exact"/>
        <w:rPr>
          <w:sz w:val="20"/>
          <w:szCs w:val="20"/>
          <w:color w:val="auto"/>
        </w:rPr>
      </w:pPr>
    </w:p>
    <w:p>
      <w:pPr>
        <w:jc w:val="both"/>
        <w:ind w:left="620" w:hanging="3"/>
        <w:spacing w:after="0" w:line="295" w:lineRule="auto"/>
        <w:tabs>
          <w:tab w:leader="none" w:pos="903" w:val="left"/>
        </w:tabs>
        <w:numPr>
          <w:ilvl w:val="0"/>
          <w:numId w:val="22"/>
        </w:numPr>
        <w:rPr>
          <w:rFonts w:ascii="Arial" w:cs="Arial" w:eastAsia="Arial" w:hAnsi="Arial"/>
          <w:sz w:val="15"/>
          <w:szCs w:val="15"/>
          <w:color w:val="auto"/>
        </w:rPr>
      </w:pPr>
      <w:r>
        <w:rPr>
          <w:rFonts w:ascii="Arial" w:cs="Arial" w:eastAsia="Arial" w:hAnsi="Arial"/>
          <w:sz w:val="15"/>
          <w:szCs w:val="15"/>
          <w:color w:val="auto"/>
        </w:rPr>
        <w:t>Upon Landlord's written request, Tenant shall execute, acknowledge and deliver to Landlord a written statement certifying, if in fact of the case: (i) that none of the terms or provisions of this Lease have been changed (or if they have been changed, stating how they have been changed); (ii) that this Lease has not been canceled or terminated; (iii) the last date of payment of the Base Rent and other charges and the time period covered by such payment; (iv) that Landlord is not in default under this Lease (or, if Landlord is claimed to be in default, stating why); and (v) such other representations or information with respect to Tenant or the Lease as Landlord may reasonable request or which any prospective purchaser or encumbrancer of the Property may require. Tenant shall deliver such statement to Landlord within ten (10) days after Landlord's request. Landlord may give any such statement by Tenant to any prospective purchaser or encumbrancer of the Property. Such purchaser or encumbrancer may rely conclusively upon such statement as true and correct.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8" w:right="239" w:bottom="507" w:gutter="0" w:footer="0" w:header="0"/>
        </w:sectPr>
      </w:pPr>
    </w:p>
    <w:bookmarkStart w:id="35" w:name="page36"/>
    <w:bookmarkEnd w:id="35"/>
    <w:p>
      <w:pPr>
        <w:jc w:val="both"/>
        <w:ind w:left="620" w:hanging="3"/>
        <w:spacing w:after="0" w:line="257" w:lineRule="auto"/>
        <w:tabs>
          <w:tab w:leader="none" w:pos="921"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Tenant does not deliver such statement to Landlord within such ten (10) -day period, Landlord, and any prospective purchaser or encumbrancer, may conclusively presume and rely upon the following facts: (i) that the terms and provisions of this Lease have not been changed except as otherwise represented by Landlord; (ii) that this Lease has not been canceled or terminated except as otherwise represented by Landlord; (iii) that not more than one month's Base Rent or other charges have been paid in advance; and (iv) that Landlord is not in default under the Lease. In such event, Tenant shall be estopped from denying the truth of such facts.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b w:val="1"/>
          <w:bCs w:val="1"/>
          <w:color w:val="auto"/>
        </w:rPr>
        <w:t>Tenant's Financial Condition.</w:t>
      </w:r>
      <w:r>
        <w:rPr>
          <w:rFonts w:ascii="Arial" w:cs="Arial" w:eastAsia="Arial" w:hAnsi="Arial"/>
          <w:sz w:val="17"/>
          <w:szCs w:val="17"/>
          <w:color w:val="auto"/>
        </w:rPr>
        <w:t xml:space="preserve"> Within thirty (30) days after written request from landlord, Tenant shall deliver to Landlord such financial statements as Landlord reasonably requires to verify the net worth of Tenant or any assignee, subtenant, or guarantor of Tenant. In addition, Tenant shall deliver to any lender designated by Landlord any financial statements required by such lender to facilitate the financing or refinancing of the Property. Tenant represents and warrants to Landlord that each such financial statement is a true and accurate statement as of the date of such statement. All financial statements shall be confidential and shall be used only for the purposes set forth in this Lease.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TWELVE: </w:t>
      </w:r>
      <w:r>
        <w:rPr>
          <w:rFonts w:ascii="Arial" w:cs="Arial" w:eastAsia="Arial" w:hAnsi="Arial"/>
          <w:sz w:val="17"/>
          <w:szCs w:val="17"/>
          <w:b w:val="1"/>
          <w:bCs w:val="1"/>
          <w:color w:val="auto"/>
        </w:rPr>
        <w:t>LEGAL COSTS</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 xml:space="preserve">Section 12.01. </w:t>
      </w:r>
      <w:r>
        <w:rPr>
          <w:rFonts w:ascii="Arial" w:cs="Arial" w:eastAsia="Arial" w:hAnsi="Arial"/>
          <w:sz w:val="15"/>
          <w:szCs w:val="15"/>
          <w:b w:val="1"/>
          <w:bCs w:val="1"/>
          <w:color w:val="auto"/>
        </w:rPr>
        <w:t>Legal Proceedings.</w:t>
      </w:r>
      <w:r>
        <w:rPr>
          <w:rFonts w:ascii="Arial" w:cs="Arial" w:eastAsia="Arial" w:hAnsi="Arial"/>
          <w:sz w:val="15"/>
          <w:szCs w:val="15"/>
          <w:color w:val="auto"/>
        </w:rPr>
        <w:t xml:space="preserve"> If Tenant or Landlord shall be in breach or default under this Lease, such party (the "Defaulting Party") shall reimburse the other party (the "Nondefaulting Party") upon demand for any costs or expenses that the Nondefaulting Party incurs in connection with any breach or default of the Defaulting Party under this Lease, whether or not suit is commenced or judgment entered. Such costs shall include legal fees and costs incurred for the negotiation of a settlement, enforcement of rights or otherwise. Furthermore, if any action for breach of or to enforce the provisions of this Lease is commenced, the court in such action shall award to the party in whose favor a judgment is entered, a reasonable sum as attorneys' fees and costs. The losing party in such action shall pay such attorneys' fees and costs. Tenant and Landlord shall also indemnify each other against and hold each other harmless from all costs, expenses, demands and liability each other may incur if either party becomes or is made a party to any claim or action (a) instituted by Tenant and/or Landlord against any third party, or by any third party against Tenant and/or Landlord, or by or against any person holding any interest under or using the Property by license of or agreement with Tenant and/or Landlord; (b) for foreclosure of any lien for labor or material furnished to or for Tenant and/or Landlord or such other person; (c) otherwise arising out of or resulting from any act or transaction of Tenant and/or Landlord or such other person; or (d) necessary to protect Landlord's and/or Tenant’s interest under this Lease in a bankruptcy proceeding, or other proceeding under Title 11 of the United States Code, as amended. Tenant shall defend Landlord against any such claim or action at Tenant's expense with counsel reasonably acceptable to Landlord or, at Landlord's election, Tenant shall reimburse Landlord for any legal fees or costs Landlord incurs in any such claim or action. Landlord shall defend Tenant against any such claim or action at Landlord’s expense with counsel reasonably acceptable to Tenant or, at Tenant’s election, Landlord shall reimburse Tenant for any legal fees or costs Tenant incurs in any such claim or action.</w:t>
      </w:r>
    </w:p>
    <w:p>
      <w:pPr>
        <w:spacing w:after="0" w:line="18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b w:val="1"/>
          <w:bCs w:val="1"/>
          <w:color w:val="auto"/>
        </w:rPr>
        <w:t>Landlord's Consent.</w:t>
      </w:r>
      <w:r>
        <w:rPr>
          <w:rFonts w:ascii="Arial" w:cs="Arial" w:eastAsia="Arial" w:hAnsi="Arial"/>
          <w:sz w:val="16"/>
          <w:szCs w:val="16"/>
          <w:color w:val="auto"/>
        </w:rPr>
        <w:t xml:space="preserve"> Tenant shall pay Landlord's reasonable attorneys' fees incurred in connection with Tenant's request for Landlord's consent under Article Nine (Assignment and Subletting), or in connection with any other act which Tenant proposes to do and which requires Landlord's consent.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THIRTEEN: </w:t>
      </w:r>
      <w:r>
        <w:rPr>
          <w:rFonts w:ascii="Arial" w:cs="Arial" w:eastAsia="Arial" w:hAnsi="Arial"/>
          <w:sz w:val="17"/>
          <w:szCs w:val="17"/>
          <w:b w:val="1"/>
          <w:bCs w:val="1"/>
          <w:color w:val="auto"/>
        </w:rPr>
        <w:t>MISCELLANEOUS PROVISIONS</w:t>
      </w:r>
    </w:p>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b w:val="1"/>
          <w:bCs w:val="1"/>
          <w:color w:val="auto"/>
        </w:rPr>
        <w:t>Non-Discrimination.</w:t>
      </w:r>
      <w:r>
        <w:rPr>
          <w:rFonts w:ascii="Arial" w:cs="Arial" w:eastAsia="Arial" w:hAnsi="Arial"/>
          <w:sz w:val="17"/>
          <w:szCs w:val="17"/>
          <w:color w:val="auto"/>
        </w:rPr>
        <w:t xml:space="preserve"> Tenant promises, and it is a condition to the continuance of this Lease, that there will be no discrimination against, or segregation of, any person or group of persons on the basis of race, color, sex, creed, national origin or ancestry in the leasing, subleasing, transferring, occupancy, tenure or use of the Property or any portion thereof.</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b w:val="1"/>
          <w:bCs w:val="1"/>
          <w:color w:val="auto"/>
        </w:rPr>
        <w:t>Landlord's Liability; Certain Duties.</w:t>
      </w:r>
    </w:p>
    <w:p>
      <w:pPr>
        <w:spacing w:after="0" w:line="244" w:lineRule="exact"/>
        <w:rPr>
          <w:sz w:val="20"/>
          <w:szCs w:val="20"/>
          <w:color w:val="auto"/>
        </w:rPr>
      </w:pPr>
    </w:p>
    <w:p>
      <w:pPr>
        <w:jc w:val="both"/>
        <w:ind w:left="620" w:hanging="3"/>
        <w:spacing w:after="0" w:line="257" w:lineRule="auto"/>
        <w:tabs>
          <w:tab w:leader="none" w:pos="8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used in this Lease, the term "Landlord" means only the current owner or owners of the fee title to the Property or Project or the leasehold estate under a ground lease of the Property or Project at the time in question. Each Landlord is obligated to perform the obligations of Landlord under this Lease only during the time such Landlord owns such interest or title. Any Landlord who transfers its title or interest is relieved of all liability with respect to the obligations of Landlord under this Lease to be performed on or after the date of transfer. However, each Landlord shall deliver to its transferee all funds that Tenant previously paid if such funds have not yet been applied under the terms of this Lease.</w:t>
      </w:r>
    </w:p>
    <w:p>
      <w:pPr>
        <w:spacing w:after="0" w:line="208" w:lineRule="exact"/>
        <w:rPr>
          <w:rFonts w:ascii="Arial" w:cs="Arial" w:eastAsia="Arial" w:hAnsi="Arial"/>
          <w:sz w:val="17"/>
          <w:szCs w:val="17"/>
          <w:color w:val="auto"/>
        </w:rPr>
      </w:pPr>
    </w:p>
    <w:p>
      <w:pPr>
        <w:jc w:val="both"/>
        <w:ind w:left="620" w:hanging="3"/>
        <w:spacing w:after="0" w:line="277" w:lineRule="auto"/>
        <w:tabs>
          <w:tab w:leader="none" w:pos="8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Tenant shall give written notice of any failure by Landlord to perform any of its obligations under this Lease to Landlord and to any ground lessor, mortgagee or beneficiary under any deed of trust encumbering the Property whose name and address have been furnished to Tenant in writing. Landlord shall not be in default under this Lease unless Landlord (or such ground lessor, mortgagee or beneficiary) fails to cure such non-performance within thirty (30) days after receipt of Tenant's notice. However, if such non-performance reasonably requires more than thirty (30) days to cure, Landlord shall not be in default if such cure is commenced within such thirty (30) -day period and thereafter diligently pursued to completion.</w:t>
      </w:r>
    </w:p>
    <w:p>
      <w:pPr>
        <w:spacing w:after="0" w:line="193" w:lineRule="exact"/>
        <w:rPr>
          <w:rFonts w:ascii="Arial" w:cs="Arial" w:eastAsia="Arial" w:hAnsi="Arial"/>
          <w:sz w:val="16"/>
          <w:szCs w:val="16"/>
          <w:color w:val="auto"/>
        </w:rPr>
      </w:pPr>
    </w:p>
    <w:p>
      <w:pPr>
        <w:jc w:val="both"/>
        <w:ind w:left="620" w:hanging="3"/>
        <w:spacing w:after="0" w:line="288" w:lineRule="auto"/>
        <w:tabs>
          <w:tab w:leader="none" w:pos="8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Notwithstanding any term or provision herein to the contrary, the liability of Landlord for the performance of its duties and obligations under this Lease is limited to Landlord's interest in the Property and the Project, and neither the Landlord nor its partners, shareholders, officers or other principals shall have any personal liability under this Lease as long as the Landlord maintains at least a 25% equity ownership in the Project.</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b w:val="1"/>
          <w:bCs w:val="1"/>
          <w:color w:val="auto"/>
        </w:rPr>
        <w:t>Severability.</w:t>
      </w:r>
      <w:r>
        <w:rPr>
          <w:rFonts w:ascii="Arial" w:cs="Arial" w:eastAsia="Arial" w:hAnsi="Arial"/>
          <w:sz w:val="17"/>
          <w:szCs w:val="17"/>
          <w:color w:val="auto"/>
        </w:rPr>
        <w:t xml:space="preserve"> A determination by a court of competent jurisdiction that any provision of this Lease or any part thereof is illegal or unenforceable shall not cancel or invalidate the remainder of such provision of this Lease, which shall remain in full force and effect.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b w:val="1"/>
          <w:bCs w:val="1"/>
          <w:color w:val="auto"/>
        </w:rPr>
        <w:t>Interpretation.</w:t>
      </w:r>
      <w:r>
        <w:rPr>
          <w:rFonts w:ascii="Arial" w:cs="Arial" w:eastAsia="Arial" w:hAnsi="Arial"/>
          <w:sz w:val="16"/>
          <w:szCs w:val="16"/>
          <w:color w:val="auto"/>
        </w:rPr>
        <w:t xml:space="preserve"> The captions of the Articles or Sections of this Lease are to assist the Parties in reading this Lease and are not a part of the terms or provisions of this Lease. Whenever required by the context of this Lease, the singular shall include the plural and the plural shall include the singular. The masculine, feminine and neuter genders shall each include the other. In any provision relating to the conduct, acts or omissions of Tenant, the term "Tenant" shall include Tenant's agents, employees, contractors, invitees, successors or others using the Property with Tenant's expressed or implied permission.</w:t>
      </w:r>
    </w:p>
    <w:p>
      <w:pPr>
        <w:spacing w:after="0" w:line="18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b w:val="1"/>
          <w:bCs w:val="1"/>
          <w:color w:val="auto"/>
        </w:rPr>
        <w:t>Incorporation of Prior Agreements; Modifications.</w:t>
      </w:r>
      <w:r>
        <w:rPr>
          <w:rFonts w:ascii="Arial" w:cs="Arial" w:eastAsia="Arial" w:hAnsi="Arial"/>
          <w:sz w:val="16"/>
          <w:szCs w:val="16"/>
          <w:color w:val="auto"/>
        </w:rPr>
        <w:t xml:space="preserve"> This Lease is the only agreement between the parties pertaining to the lease of the Property and no other agreements are effective. All amendments to this Lease shall be in writing and signed by all parties. Any other attempted amendment shall be void.</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b w:val="1"/>
          <w:bCs w:val="1"/>
          <w:color w:val="auto"/>
        </w:rPr>
        <w:t>Notices.</w:t>
      </w:r>
      <w:r>
        <w:rPr>
          <w:rFonts w:ascii="Arial" w:cs="Arial" w:eastAsia="Arial" w:hAnsi="Arial"/>
          <w:sz w:val="16"/>
          <w:szCs w:val="16"/>
          <w:color w:val="auto"/>
        </w:rPr>
        <w:t xml:space="preserve"> All notices required or permitted under this Lease shall be in writing and shall be personally delivered or sent by certified mail, return receipt requested, postage prepaid. Notices to Tenant shall be delivered to the address specified in Section 1.03 above, except that upon Tenant's taking possession of the Property, the Property shall be Tenant's address for notice purposes. Notices to Landlord shall be delivered to the address specified in Section 1.02 above. All notices shall be effective upon delivery. Either party may change its notice address upon written notice to the other party.</w:t>
      </w:r>
    </w:p>
    <w:p>
      <w:pPr>
        <w:sectPr>
          <w:pgSz w:w="11900" w:h="16838" w:orient="portrait"/>
          <w:cols w:equalWidth="0" w:num="1">
            <w:col w:w="11420"/>
          </w:cols>
          <w:pgMar w:left="240" w:top="498" w:right="239" w:bottom="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83820</wp:posOffset>
            </wp:positionV>
            <wp:extent cx="725805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b w:val="1"/>
          <w:bCs w:val="1"/>
          <w:color w:val="auto"/>
        </w:rPr>
        <w:t>Waivers.</w:t>
      </w:r>
      <w:r>
        <w:rPr>
          <w:rFonts w:ascii="Arial" w:cs="Arial" w:eastAsia="Arial" w:hAnsi="Arial"/>
          <w:sz w:val="17"/>
          <w:szCs w:val="17"/>
          <w:color w:val="auto"/>
        </w:rPr>
        <w:t xml:space="preserve"> All waivers must be in writing and signed by the waiving party. Landlord's failure to enforce any provision of this Lease or its acceptance of rent shall not be a waiver and shall not prevent Landlord from enforcing that provision or any other provision of this Lease in the future. No statement on a payment check from Tenant or in a letter accompanying a payment check shall be binding on Landlord. Landlord may, with or without notice to Tenant, negotiate such check without being bound to the conditions of such statement.</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b w:val="1"/>
          <w:bCs w:val="1"/>
          <w:color w:val="auto"/>
        </w:rPr>
        <w:t>No Recordation.</w:t>
      </w:r>
      <w:r>
        <w:rPr>
          <w:rFonts w:ascii="Arial" w:cs="Arial" w:eastAsia="Arial" w:hAnsi="Arial"/>
          <w:sz w:val="17"/>
          <w:szCs w:val="17"/>
          <w:color w:val="auto"/>
        </w:rPr>
        <w:t xml:space="preserve"> Tenant shall not record this Lease without prior written consent from Landlord. However, either Landlord or Tenant may require that a "Short Form" memorandum of this Lease executed by both parties be recorded. The party requiring such recording shall pay all transfer taxes and recording fees.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Section 13.09. </w:t>
      </w:r>
      <w:r>
        <w:rPr>
          <w:rFonts w:ascii="Arial" w:cs="Arial" w:eastAsia="Arial" w:hAnsi="Arial"/>
          <w:sz w:val="17"/>
          <w:szCs w:val="17"/>
          <w:b w:val="1"/>
          <w:bCs w:val="1"/>
          <w:color w:val="auto"/>
        </w:rPr>
        <w:t>Binding Effect; Choice of Law.</w:t>
      </w:r>
      <w:r>
        <w:rPr>
          <w:rFonts w:ascii="Arial" w:cs="Arial" w:eastAsia="Arial" w:hAnsi="Arial"/>
          <w:sz w:val="17"/>
          <w:szCs w:val="17"/>
          <w:color w:val="auto"/>
        </w:rPr>
        <w:t xml:space="preserve"> This Lease binds any party who legally acquires any rights or interest in this Lease from Landlord or Tenant. However, Landlord shall have no obligation to Tenant's successor unless the rights or interests of Tenant's successor are acquired in accordance with the terms of this Lease. The laws of the state of Utah in which the Property is located shall govern this Lease.</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Section 13.10. </w:t>
      </w:r>
      <w:r>
        <w:rPr>
          <w:rFonts w:ascii="Arial" w:cs="Arial" w:eastAsia="Arial" w:hAnsi="Arial"/>
          <w:sz w:val="17"/>
          <w:szCs w:val="17"/>
          <w:b w:val="1"/>
          <w:bCs w:val="1"/>
          <w:color w:val="auto"/>
        </w:rPr>
        <w:t>Corporate Authority; Partnership Authority.</w:t>
      </w:r>
      <w:r>
        <w:rPr>
          <w:rFonts w:ascii="Arial" w:cs="Arial" w:eastAsia="Arial" w:hAnsi="Arial"/>
          <w:sz w:val="17"/>
          <w:szCs w:val="17"/>
          <w:color w:val="auto"/>
        </w:rPr>
        <w:t xml:space="preserve"> If Tenant is a corporation, each person signing this Lease on behalf of Tenant represents and warrants that he has full authority to do so and that this Lease binds the corporation. Within thirty (30) days after this Lease is signed, Tenant shall deliver to Landlord a certified copy of a resolution of Tenant's Board of Directors authorizing the execution of this Lease or other evidence of such authority reasonably acceptable to Landlord. If Tenant is a partnership, each person or entity signing this Lease for Tenant represents and warrants that he or it is a general partner of the partnership, that he or it has full authority to sign for the partnership and that this Lease binds the partnership and all general partners of the partnership. Tenant shall give written notice to Landlord of any general partner's withdrawal or addition. Within thirty (30) days after this Lease is signed, Tenant shall deliver to Landlord a copy of Tenant's recorded statement of partnership or certificate of limited partnership.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13.11. </w:t>
      </w:r>
      <w:r>
        <w:rPr>
          <w:rFonts w:ascii="Arial" w:cs="Arial" w:eastAsia="Arial" w:hAnsi="Arial"/>
          <w:sz w:val="17"/>
          <w:szCs w:val="17"/>
          <w:b w:val="1"/>
          <w:bCs w:val="1"/>
          <w:color w:val="auto"/>
        </w:rPr>
        <w:t>Joint and Several Liability.</w:t>
      </w:r>
      <w:r>
        <w:rPr>
          <w:rFonts w:ascii="Arial" w:cs="Arial" w:eastAsia="Arial" w:hAnsi="Arial"/>
          <w:sz w:val="17"/>
          <w:szCs w:val="17"/>
          <w:color w:val="auto"/>
        </w:rPr>
        <w:t xml:space="preserve"> All parties signing this Lease as Tenant shall be jointly and severally liable for all obligations of Tenant.</w:t>
      </w:r>
    </w:p>
    <w:p>
      <w:pPr>
        <w:spacing w:after="0" w:line="24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Section 13.12. </w:t>
      </w:r>
      <w:r>
        <w:rPr>
          <w:rFonts w:ascii="Arial" w:cs="Arial" w:eastAsia="Arial" w:hAnsi="Arial"/>
          <w:sz w:val="15"/>
          <w:szCs w:val="15"/>
          <w:b w:val="1"/>
          <w:bCs w:val="1"/>
          <w:color w:val="auto"/>
        </w:rPr>
        <w:t>Force Majeure.</w:t>
      </w:r>
      <w:r>
        <w:rPr>
          <w:rFonts w:ascii="Arial" w:cs="Arial" w:eastAsia="Arial" w:hAnsi="Arial"/>
          <w:sz w:val="15"/>
          <w:szCs w:val="15"/>
          <w:color w:val="auto"/>
        </w:rPr>
        <w:t xml:space="preserve"> If Landlord cannot perform any of its obligations due to events beyond Landlord's control, the time provided for performing such obligations shall be extended by a period of time equal to the duration of such events. Events beyond Landlord's control include, but are not limited to, acts of God, war, civil commotion, labor disputes, strikes, fire, flood, or other casualty, shortages of labor or material, government regulation or restriction and weather conditions.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Section 13.13. </w:t>
      </w:r>
      <w:r>
        <w:rPr>
          <w:rFonts w:ascii="Arial" w:cs="Arial" w:eastAsia="Arial" w:hAnsi="Arial"/>
          <w:sz w:val="17"/>
          <w:szCs w:val="17"/>
          <w:b w:val="1"/>
          <w:bCs w:val="1"/>
          <w:color w:val="auto"/>
        </w:rPr>
        <w:t>Execution of Lease.</w:t>
      </w:r>
      <w:r>
        <w:rPr>
          <w:rFonts w:ascii="Arial" w:cs="Arial" w:eastAsia="Arial" w:hAnsi="Arial"/>
          <w:sz w:val="17"/>
          <w:szCs w:val="17"/>
          <w:color w:val="auto"/>
        </w:rPr>
        <w:t xml:space="preserve"> This Lease may be executed in counterparts and, when all counterpart documents are executed, the counterparts shall constitute a single binding instrument. Landlord's delivery of this Lease to Tenant shall not be deemed to be an offer to lease and shall not be binding upon either party until executed and delivered by both parties.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13.14. </w:t>
      </w:r>
      <w:r>
        <w:rPr>
          <w:rFonts w:ascii="Arial" w:cs="Arial" w:eastAsia="Arial" w:hAnsi="Arial"/>
          <w:sz w:val="17"/>
          <w:szCs w:val="17"/>
          <w:b w:val="1"/>
          <w:bCs w:val="1"/>
          <w:color w:val="auto"/>
        </w:rPr>
        <w:t>Survival.</w:t>
      </w:r>
      <w:r>
        <w:rPr>
          <w:rFonts w:ascii="Arial" w:cs="Arial" w:eastAsia="Arial" w:hAnsi="Arial"/>
          <w:sz w:val="17"/>
          <w:szCs w:val="17"/>
          <w:color w:val="auto"/>
        </w:rPr>
        <w:t xml:space="preserve"> All representations and warranties of Landlord and Tenant shall survive the termination of this Lease.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FOURTEEN: </w:t>
      </w:r>
      <w:r>
        <w:rPr>
          <w:rFonts w:ascii="Arial" w:cs="Arial" w:eastAsia="Arial" w:hAnsi="Arial"/>
          <w:sz w:val="17"/>
          <w:szCs w:val="17"/>
          <w:b w:val="1"/>
          <w:bCs w:val="1"/>
          <w:color w:val="auto"/>
        </w:rPr>
        <w:t>BROKERS</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b w:val="1"/>
          <w:bCs w:val="1"/>
          <w:color w:val="auto"/>
        </w:rPr>
        <w:t>Broker's Fee.</w:t>
      </w:r>
      <w:r>
        <w:rPr>
          <w:rFonts w:ascii="Arial" w:cs="Arial" w:eastAsia="Arial" w:hAnsi="Arial"/>
          <w:sz w:val="16"/>
          <w:szCs w:val="16"/>
          <w:color w:val="auto"/>
        </w:rPr>
        <w:t xml:space="preserve"> When this Lease is signed by and delivered to both Landlord and Tenant, Landlord shall pay a real estate commission to Landlord's Broker named in Section 1.08 above, if any, as provided in the written agreement between Landlord and Landlord's Broker, or the sum stated in Section 1.09 above for services rendered to Landlord by Landlord's Broker in this transaction. Landlord shall pay Landlord's Broker a commission if Tenant exercises any option to extend the Lease Term or to buy the Property, or any similar option or right which Landlord may grant to Tenant, or if Landlord's Broker is the procuring cause of any other lease or sale entered into between Landlord and Tenant covering the Property. Such commission shall be the amount set forth in Landlord's Broker's commission schedule in effect as of the execution of this Lease. If a Tenant's Broker is named in Section 1.08 above, Landlord's Broker shall pay an appropriate portion of its commission Tenant's Broker if so provided in any agreement between Landlord's Broker and Tenant's Broker. Nothing contained in this Lease shall impose any obligation on Landlord to pay a commission or fee to any party other than Landlord's Broker.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b w:val="1"/>
          <w:bCs w:val="1"/>
          <w:color w:val="auto"/>
        </w:rPr>
        <w:t>Protection of Brokers.</w:t>
      </w:r>
      <w:r>
        <w:rPr>
          <w:rFonts w:ascii="Arial" w:cs="Arial" w:eastAsia="Arial" w:hAnsi="Arial"/>
          <w:sz w:val="17"/>
          <w:szCs w:val="17"/>
          <w:color w:val="auto"/>
        </w:rPr>
        <w:t xml:space="preserve"> If Landlord sells the Property, or assigns Landlord's interest in this Lease, the buyer or assignee shall, by accepting such conveyance of the property or assignment of the Lease, be conclusively deemed to have agreed to make all payments to Landlord's Broker thereafter required of Landlord under this Article Fourteen. Landlord's Broker shall have the right to bring a legal action to enforce or declare rights under this provision. The prevailing party in such action shall be entitled to reasonable attorneys' fees to be paid by the losing party. Such attorneys' fees shall be fixed by the court in such action. This Paragraph is included in this Lease for the benefit of Landlord's Broker.</w:t>
      </w:r>
    </w:p>
    <w:p>
      <w:pPr>
        <w:spacing w:after="0" w:line="20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b w:val="1"/>
          <w:bCs w:val="1"/>
          <w:color w:val="auto"/>
        </w:rPr>
        <w:t>Agency Disclosure; No Other Brokers.</w:t>
      </w:r>
      <w:r>
        <w:rPr>
          <w:rFonts w:ascii="Arial" w:cs="Arial" w:eastAsia="Arial" w:hAnsi="Arial"/>
          <w:sz w:val="16"/>
          <w:szCs w:val="16"/>
          <w:color w:val="auto"/>
        </w:rPr>
        <w:t xml:space="preserve"> Landlord and Tenant each warrant that they have dealt with no other real estate broker(s) in connection with this transaction except: CB Richard Ellis, Inc. who represents </w:t>
      </w:r>
      <w:r>
        <w:rPr>
          <w:rFonts w:ascii="Arial" w:cs="Arial" w:eastAsia="Arial" w:hAnsi="Arial"/>
          <w:sz w:val="16"/>
          <w:szCs w:val="16"/>
          <w:u w:val="single" w:color="auto"/>
          <w:color w:val="auto"/>
        </w:rPr>
        <w:t>Landlord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NAI Utah Commercial Real Estate</w:t>
      </w:r>
      <w:r>
        <w:rPr>
          <w:rFonts w:ascii="Arial" w:cs="Arial" w:eastAsia="Arial" w:hAnsi="Arial"/>
          <w:sz w:val="16"/>
          <w:szCs w:val="16"/>
          <w:color w:val="auto"/>
        </w:rPr>
        <w:t xml:space="preserve">, who represents </w:t>
      </w:r>
      <w:r>
        <w:rPr>
          <w:rFonts w:ascii="Arial" w:cs="Arial" w:eastAsia="Arial" w:hAnsi="Arial"/>
          <w:sz w:val="16"/>
          <w:szCs w:val="16"/>
          <w:u w:val="single" w:color="auto"/>
          <w:color w:val="auto"/>
        </w:rPr>
        <w:t>Tenant</w:t>
      </w:r>
      <w:r>
        <w:rPr>
          <w:rFonts w:ascii="Arial" w:cs="Arial" w:eastAsia="Arial" w:hAnsi="Arial"/>
          <w:sz w:val="16"/>
          <w:szCs w:val="16"/>
          <w:color w:val="auto"/>
        </w:rPr>
        <w:t xml:space="preserve"> .</w:t>
      </w:r>
    </w:p>
    <w:p>
      <w:pPr>
        <w:spacing w:after="0" w:line="163" w:lineRule="exact"/>
        <w:rPr>
          <w:sz w:val="20"/>
          <w:szCs w:val="20"/>
          <w:color w:val="auto"/>
        </w:rPr>
      </w:pPr>
    </w:p>
    <w:p>
      <w:pPr>
        <w:jc w:val="both"/>
        <w:spacing w:after="0" w:line="345" w:lineRule="auto"/>
        <w:rPr>
          <w:sz w:val="20"/>
          <w:szCs w:val="20"/>
          <w:color w:val="auto"/>
        </w:rPr>
      </w:pPr>
      <w:r>
        <w:rPr>
          <w:rFonts w:ascii="Arial" w:cs="Arial" w:eastAsia="Arial" w:hAnsi="Arial"/>
          <w:sz w:val="15"/>
          <w:szCs w:val="15"/>
          <w:color w:val="auto"/>
        </w:rPr>
        <w:t>In the event that CB Richard Ellis, Inc. represents both Landlord and Tenant, Landlord and Tenant hereby confirm that they were timely advised of the dual representation and that they consent to the same, and that they do not expect said broker to disclose to either of them the confidential information of the other party.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FIFTEEN: </w:t>
      </w:r>
      <w:r>
        <w:rPr>
          <w:rFonts w:ascii="Arial" w:cs="Arial" w:eastAsia="Arial" w:hAnsi="Arial"/>
          <w:sz w:val="17"/>
          <w:szCs w:val="17"/>
          <w:b w:val="1"/>
          <w:bCs w:val="1"/>
          <w:color w:val="auto"/>
        </w:rPr>
        <w:t>COMPLIANCE</w:t>
      </w:r>
    </w:p>
    <w:p>
      <w:pPr>
        <w:spacing w:after="0" w:line="2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parties hereto agree to comply with all applicable federal, state and local laws, regulations, codes, ordinances and administrative orders having jurisdiction over the parties, property or the subject matter of this Agreement, including, but not limited to, the 1964 Civil Rights Act and all amendments thereto, the Foreign Investment In Real Property Tax Act, the Comprehensive Environmental Response Compensation and Liability Act, and The Americans With Disabilities Act.</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PROVISIONS MAY BE SET FORTH IN A RIDER OR RIDERS ATTACHED HERETO OR IN THE BLANK SPACE BELOW. IF NO ADDITIONAL PROVISIONS ARE INSERTED, PLEASE DRAW A LINE THROUGH THE SPACE BELOW.</w:t>
      </w:r>
    </w:p>
    <w:p>
      <w:pPr>
        <w:sectPr>
          <w:pgSz w:w="11900" w:h="16838" w:orient="portrait"/>
          <w:cols w:equalWidth="0" w:num="1">
            <w:col w:w="11420"/>
          </w:cols>
          <w:pgMar w:left="240" w:top="494" w:right="2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98425</wp:posOffset>
            </wp:positionV>
            <wp:extent cx="72580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9" w:name="page40"/>
    <w:bookmarkEnd w:id="39"/>
    <w:p>
      <w:pPr>
        <w:jc w:val="both"/>
        <w:spacing w:after="0" w:line="276" w:lineRule="auto"/>
        <w:rPr>
          <w:sz w:val="20"/>
          <w:szCs w:val="20"/>
          <w:color w:val="auto"/>
        </w:rPr>
      </w:pPr>
      <w:r>
        <w:rPr>
          <w:rFonts w:ascii="Arial" w:cs="Arial" w:eastAsia="Arial" w:hAnsi="Arial"/>
          <w:sz w:val="17"/>
          <w:szCs w:val="17"/>
          <w:color w:val="auto"/>
        </w:rPr>
        <w:t>Landlord and Tenant have signed this Lease at the place and on the dates specified adjacent to their signatures below and have initialed all Riders which are attached to or incorporated by reference in this Lease.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120" w:type="dxa"/>
            <w:vAlign w:val="bottom"/>
          </w:tcPr>
          <w:p>
            <w:pPr>
              <w:ind w:left="1920"/>
              <w:spacing w:after="0"/>
              <w:rPr>
                <w:sz w:val="20"/>
                <w:szCs w:val="20"/>
                <w:color w:val="auto"/>
              </w:rPr>
            </w:pPr>
            <w:r>
              <w:rPr>
                <w:rFonts w:ascii="Arial" w:cs="Arial" w:eastAsia="Arial" w:hAnsi="Arial"/>
                <w:sz w:val="17"/>
                <w:szCs w:val="17"/>
                <w:color w:val="auto"/>
              </w:rPr>
              <w:t>“LANDLORD”</w:t>
            </w:r>
          </w:p>
        </w:tc>
        <w:tc>
          <w:tcPr>
            <w:tcW w:w="0" w:type="dxa"/>
            <w:vAlign w:val="bottom"/>
          </w:tcPr>
          <w:p>
            <w:pPr>
              <w:spacing w:after="0"/>
              <w:rPr>
                <w:sz w:val="1"/>
                <w:szCs w:val="1"/>
                <w:color w:val="auto"/>
              </w:rPr>
            </w:pPr>
          </w:p>
        </w:tc>
      </w:tr>
      <w:tr>
        <w:trPr>
          <w:trHeight w:val="399"/>
        </w:trPr>
        <w:tc>
          <w:tcPr>
            <w:tcW w:w="3800" w:type="dxa"/>
            <w:vAlign w:val="bottom"/>
          </w:tcPr>
          <w:p>
            <w:pPr>
              <w:spacing w:after="0"/>
              <w:rPr>
                <w:sz w:val="20"/>
                <w:szCs w:val="20"/>
                <w:color w:val="auto"/>
              </w:rPr>
            </w:pPr>
            <w:r>
              <w:rPr>
                <w:rFonts w:ascii="Arial" w:cs="Arial" w:eastAsia="Arial" w:hAnsi="Arial"/>
                <w:sz w:val="17"/>
                <w:szCs w:val="17"/>
                <w:color w:val="auto"/>
              </w:rPr>
              <w:t>Signed on 13 October 2008</w:t>
            </w:r>
          </w:p>
        </w:tc>
        <w:tc>
          <w:tcPr>
            <w:tcW w:w="4120" w:type="dxa"/>
            <w:vAlign w:val="bottom"/>
          </w:tcPr>
          <w:p>
            <w:pPr>
              <w:ind w:left="1920"/>
              <w:spacing w:after="0"/>
              <w:rPr>
                <w:sz w:val="20"/>
                <w:szCs w:val="20"/>
                <w:color w:val="auto"/>
              </w:rPr>
            </w:pPr>
            <w:r>
              <w:rPr>
                <w:rFonts w:ascii="Arial" w:cs="Arial" w:eastAsia="Arial" w:hAnsi="Arial"/>
                <w:sz w:val="17"/>
                <w:szCs w:val="17"/>
                <w:color w:val="auto"/>
              </w:rPr>
              <w:t>CB Center, LLC</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7"/>
                <w:szCs w:val="17"/>
                <w:color w:val="auto"/>
              </w:rPr>
              <w:t>At</w:t>
            </w:r>
          </w:p>
        </w:tc>
        <w:tc>
          <w:tcPr>
            <w:tcW w:w="4120" w:type="dxa"/>
            <w:vAlign w:val="bottom"/>
            <w:vMerge w:val="restart"/>
          </w:tcPr>
          <w:p>
            <w:pPr>
              <w:ind w:left="1920"/>
              <w:spacing w:after="0"/>
              <w:rPr>
                <w:sz w:val="20"/>
                <w:szCs w:val="20"/>
                <w:color w:val="auto"/>
              </w:rPr>
            </w:pPr>
            <w:r>
              <w:rPr>
                <w:rFonts w:ascii="Arial" w:cs="Arial" w:eastAsia="Arial" w:hAnsi="Arial"/>
                <w:sz w:val="17"/>
                <w:szCs w:val="17"/>
                <w:color w:val="auto"/>
              </w:rPr>
              <w:t>By: /s/ James Gaddis</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17"/>
                <w:szCs w:val="17"/>
                <w:color w:val="auto"/>
              </w:rPr>
            </w:pPr>
          </w:p>
        </w:tc>
        <w:tc>
          <w:tcPr>
            <w:tcW w:w="4120" w:type="dxa"/>
            <w:vAlign w:val="bottom"/>
          </w:tcPr>
          <w:p>
            <w:pPr>
              <w:ind w:left="1920"/>
              <w:spacing w:after="0"/>
              <w:rPr>
                <w:sz w:val="20"/>
                <w:szCs w:val="20"/>
                <w:color w:val="auto"/>
              </w:rPr>
            </w:pPr>
            <w:r>
              <w:rPr>
                <w:rFonts w:ascii="Arial" w:cs="Arial" w:eastAsia="Arial" w:hAnsi="Arial"/>
                <w:sz w:val="17"/>
                <w:szCs w:val="17"/>
                <w:color w:val="auto"/>
              </w:rPr>
              <w:t>Its: Managing Member</w:t>
            </w:r>
          </w:p>
        </w:tc>
        <w:tc>
          <w:tcPr>
            <w:tcW w:w="0" w:type="dxa"/>
            <w:vAlign w:val="bottom"/>
          </w:tcPr>
          <w:p>
            <w:pPr>
              <w:spacing w:after="0"/>
              <w:rPr>
                <w:sz w:val="1"/>
                <w:szCs w:val="1"/>
                <w:color w:val="auto"/>
              </w:rPr>
            </w:pPr>
          </w:p>
        </w:tc>
      </w:tr>
      <w:tr>
        <w:trPr>
          <w:trHeight w:val="205"/>
        </w:trPr>
        <w:tc>
          <w:tcPr>
            <w:tcW w:w="3800" w:type="dxa"/>
            <w:vAlign w:val="bottom"/>
          </w:tcPr>
          <w:p>
            <w:pPr>
              <w:spacing w:after="0"/>
              <w:rPr>
                <w:sz w:val="17"/>
                <w:szCs w:val="17"/>
                <w:color w:val="auto"/>
              </w:rPr>
            </w:pPr>
          </w:p>
        </w:tc>
        <w:tc>
          <w:tcPr>
            <w:tcW w:w="4120" w:type="dxa"/>
            <w:vAlign w:val="bottom"/>
          </w:tcPr>
          <w:p>
            <w:pPr>
              <w:ind w:left="1920"/>
              <w:spacing w:after="0"/>
              <w:rPr>
                <w:sz w:val="20"/>
                <w:szCs w:val="20"/>
                <w:color w:val="auto"/>
              </w:rPr>
            </w:pPr>
            <w:r>
              <w:rPr>
                <w:rFonts w:ascii="Arial" w:cs="Arial" w:eastAsia="Arial" w:hAnsi="Arial"/>
                <w:sz w:val="17"/>
                <w:szCs w:val="17"/>
                <w:color w:val="auto"/>
              </w:rPr>
              <w:t>By: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4120" w:type="dxa"/>
            <w:vAlign w:val="bottom"/>
          </w:tcPr>
          <w:p>
            <w:pPr>
              <w:ind w:left="1920"/>
              <w:spacing w:after="0"/>
              <w:rPr>
                <w:sz w:val="20"/>
                <w:szCs w:val="20"/>
                <w:color w:val="auto"/>
              </w:rPr>
            </w:pPr>
            <w:r>
              <w:rPr>
                <w:rFonts w:ascii="Arial" w:cs="Arial" w:eastAsia="Arial" w:hAnsi="Arial"/>
                <w:sz w:val="17"/>
                <w:szCs w:val="17"/>
                <w:color w:val="auto"/>
              </w:rPr>
              <w:t>Its:</w:t>
            </w:r>
          </w:p>
        </w:tc>
        <w:tc>
          <w:tcPr>
            <w:tcW w:w="0" w:type="dxa"/>
            <w:vAlign w:val="bottom"/>
          </w:tcPr>
          <w:p>
            <w:pPr>
              <w:spacing w:after="0"/>
              <w:rPr>
                <w:sz w:val="1"/>
                <w:szCs w:val="1"/>
                <w:color w:val="auto"/>
              </w:rPr>
            </w:pPr>
          </w:p>
        </w:tc>
      </w:tr>
      <w:tr>
        <w:trPr>
          <w:trHeight w:val="666"/>
        </w:trPr>
        <w:tc>
          <w:tcPr>
            <w:tcW w:w="3800" w:type="dxa"/>
            <w:vAlign w:val="bottom"/>
          </w:tcPr>
          <w:p>
            <w:pPr>
              <w:spacing w:after="0"/>
              <w:rPr>
                <w:sz w:val="24"/>
                <w:szCs w:val="24"/>
                <w:color w:val="auto"/>
              </w:rPr>
            </w:pPr>
          </w:p>
        </w:tc>
        <w:tc>
          <w:tcPr>
            <w:tcW w:w="4120" w:type="dxa"/>
            <w:vAlign w:val="bottom"/>
          </w:tcPr>
          <w:p>
            <w:pPr>
              <w:ind w:left="1920"/>
              <w:spacing w:after="0"/>
              <w:rPr>
                <w:sz w:val="20"/>
                <w:szCs w:val="20"/>
                <w:color w:val="auto"/>
              </w:rPr>
            </w:pPr>
            <w:r>
              <w:rPr>
                <w:rFonts w:ascii="Arial" w:cs="Arial" w:eastAsia="Arial" w:hAnsi="Arial"/>
                <w:sz w:val="17"/>
                <w:szCs w:val="17"/>
                <w:color w:val="auto"/>
              </w:rPr>
              <w:t>“TENANT”</w:t>
            </w:r>
          </w:p>
        </w:tc>
        <w:tc>
          <w:tcPr>
            <w:tcW w:w="0" w:type="dxa"/>
            <w:vAlign w:val="bottom"/>
          </w:tcPr>
          <w:p>
            <w:pPr>
              <w:spacing w:after="0"/>
              <w:rPr>
                <w:sz w:val="1"/>
                <w:szCs w:val="1"/>
                <w:color w:val="auto"/>
              </w:rPr>
            </w:pPr>
          </w:p>
        </w:tc>
      </w:tr>
      <w:tr>
        <w:trPr>
          <w:trHeight w:val="399"/>
        </w:trPr>
        <w:tc>
          <w:tcPr>
            <w:tcW w:w="3800" w:type="dxa"/>
            <w:vAlign w:val="bottom"/>
          </w:tcPr>
          <w:p>
            <w:pPr>
              <w:spacing w:after="0"/>
              <w:rPr>
                <w:sz w:val="20"/>
                <w:szCs w:val="20"/>
                <w:color w:val="auto"/>
              </w:rPr>
            </w:pPr>
            <w:r>
              <w:rPr>
                <w:rFonts w:ascii="Arial" w:cs="Arial" w:eastAsia="Arial" w:hAnsi="Arial"/>
                <w:sz w:val="17"/>
                <w:szCs w:val="17"/>
                <w:color w:val="auto"/>
              </w:rPr>
              <w:t>Signed on 10 October 2008</w:t>
            </w:r>
          </w:p>
        </w:tc>
        <w:tc>
          <w:tcPr>
            <w:tcW w:w="4120" w:type="dxa"/>
            <w:vAlign w:val="bottom"/>
          </w:tcPr>
          <w:p>
            <w:pPr>
              <w:ind w:left="1920"/>
              <w:spacing w:after="0"/>
              <w:rPr>
                <w:sz w:val="20"/>
                <w:szCs w:val="20"/>
                <w:color w:val="auto"/>
              </w:rPr>
            </w:pPr>
            <w:r>
              <w:rPr>
                <w:rFonts w:ascii="Arial" w:cs="Arial" w:eastAsia="Arial" w:hAnsi="Arial"/>
                <w:sz w:val="17"/>
                <w:szCs w:val="17"/>
                <w:color w:val="auto"/>
                <w:w w:val="90"/>
              </w:rPr>
              <w:t>ClearOne Communications, Inc.</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7"/>
                <w:szCs w:val="17"/>
                <w:color w:val="auto"/>
              </w:rPr>
              <w:t>At</w:t>
            </w:r>
          </w:p>
        </w:tc>
        <w:tc>
          <w:tcPr>
            <w:tcW w:w="4120" w:type="dxa"/>
            <w:vAlign w:val="bottom"/>
            <w:vMerge w:val="restart"/>
          </w:tcPr>
          <w:p>
            <w:pPr>
              <w:ind w:left="1920"/>
              <w:spacing w:after="0"/>
              <w:rPr>
                <w:sz w:val="20"/>
                <w:szCs w:val="20"/>
                <w:color w:val="auto"/>
              </w:rPr>
            </w:pPr>
            <w:r>
              <w:rPr>
                <w:rFonts w:ascii="Arial" w:cs="Arial" w:eastAsia="Arial" w:hAnsi="Arial"/>
                <w:sz w:val="17"/>
                <w:szCs w:val="17"/>
                <w:color w:val="auto"/>
              </w:rPr>
              <w:t>By: /s/ Greg LeClaire</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17"/>
                <w:szCs w:val="17"/>
                <w:color w:val="auto"/>
              </w:rPr>
            </w:pPr>
          </w:p>
        </w:tc>
        <w:tc>
          <w:tcPr>
            <w:tcW w:w="4120" w:type="dxa"/>
            <w:vAlign w:val="bottom"/>
          </w:tcPr>
          <w:p>
            <w:pPr>
              <w:ind w:left="1920"/>
              <w:spacing w:after="0"/>
              <w:rPr>
                <w:sz w:val="20"/>
                <w:szCs w:val="20"/>
                <w:color w:val="auto"/>
              </w:rPr>
            </w:pPr>
            <w:r>
              <w:rPr>
                <w:rFonts w:ascii="Arial" w:cs="Arial" w:eastAsia="Arial" w:hAnsi="Arial"/>
                <w:sz w:val="17"/>
                <w:szCs w:val="17"/>
                <w:color w:val="auto"/>
              </w:rPr>
              <w:t>Its: Chief Financial Officer</w:t>
            </w:r>
          </w:p>
        </w:tc>
        <w:tc>
          <w:tcPr>
            <w:tcW w:w="0" w:type="dxa"/>
            <w:vAlign w:val="bottom"/>
          </w:tcPr>
          <w:p>
            <w:pPr>
              <w:spacing w:after="0"/>
              <w:rPr>
                <w:sz w:val="1"/>
                <w:szCs w:val="1"/>
                <w:color w:val="auto"/>
              </w:rPr>
            </w:pPr>
          </w:p>
        </w:tc>
      </w:tr>
      <w:tr>
        <w:trPr>
          <w:trHeight w:val="205"/>
        </w:trPr>
        <w:tc>
          <w:tcPr>
            <w:tcW w:w="3800" w:type="dxa"/>
            <w:vAlign w:val="bottom"/>
          </w:tcPr>
          <w:p>
            <w:pPr>
              <w:spacing w:after="0"/>
              <w:rPr>
                <w:sz w:val="17"/>
                <w:szCs w:val="17"/>
                <w:color w:val="auto"/>
              </w:rPr>
            </w:pPr>
          </w:p>
        </w:tc>
        <w:tc>
          <w:tcPr>
            <w:tcW w:w="4120" w:type="dxa"/>
            <w:vAlign w:val="bottom"/>
          </w:tcPr>
          <w:p>
            <w:pPr>
              <w:ind w:left="1920"/>
              <w:spacing w:after="0"/>
              <w:rPr>
                <w:sz w:val="20"/>
                <w:szCs w:val="20"/>
                <w:color w:val="auto"/>
              </w:rPr>
            </w:pPr>
            <w:r>
              <w:rPr>
                <w:rFonts w:ascii="Arial" w:cs="Arial" w:eastAsia="Arial" w:hAnsi="Arial"/>
                <w:sz w:val="17"/>
                <w:szCs w:val="17"/>
                <w:color w:val="auto"/>
              </w:rPr>
              <w:t>By: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4120" w:type="dxa"/>
            <w:vAlign w:val="bottom"/>
          </w:tcPr>
          <w:p>
            <w:pPr>
              <w:ind w:left="1920"/>
              <w:spacing w:after="0"/>
              <w:rPr>
                <w:sz w:val="20"/>
                <w:szCs w:val="20"/>
                <w:color w:val="auto"/>
              </w:rPr>
            </w:pPr>
            <w:r>
              <w:rPr>
                <w:rFonts w:ascii="Arial" w:cs="Arial" w:eastAsia="Arial" w:hAnsi="Arial"/>
                <w:sz w:val="17"/>
                <w:szCs w:val="17"/>
                <w:color w:val="auto"/>
              </w:rPr>
              <w:t>Its:</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ANY REAL ESTATE TRANSACTION, IT IS RECOMMENDED THAT YOU CONSULT WITH A PROFESSIONAL, SUCH AS A CIVIL ENGINEER, INDUSTRIAL HYGIENIST OR OTHER PERSON WITH EXPERIENCE IN EVALUATING THE CONDITION OF THE PROPERTY, INCLUDING THE POSSIBLE PRESENCE OF ASBESTOS, HAZARDOUS MATERIALS AND UNDERGROUND STORAGE TANKS.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u w:val="single" w:color="auto"/>
          <w:color w:val="auto"/>
        </w:rPr>
        <w:t>EXHIBIT A –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455295</wp:posOffset>
            </wp:positionV>
            <wp:extent cx="7313930" cy="5651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3930" cy="5651500"/>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83820</wp:posOffset>
            </wp:positionV>
            <wp:extent cx="72580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7"/>
          <w:szCs w:val="17"/>
          <w:b w:val="1"/>
          <w:bCs w:val="1"/>
          <w:u w:val="single" w:color="auto"/>
          <w:color w:val="auto"/>
        </w:rPr>
        <w:t>EXHIBIT B – RENEWAL OPTION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Tenant shall be granted one (1) three (3) year option at a rate of $0.37 PSF, Per Month, NNN for Year 6 with a $0.01 per square foot, per year increase in the 7</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and 8</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years, provided that Tenant gives Landlord written notice of the exercise of such option on or before April 30, 2013, and that at the time of such notice is given and on commencement of the extension term, this Lease is in full force and effect and Tenant is not in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17"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7"/>
          <w:szCs w:val="17"/>
          <w:b w:val="1"/>
          <w:bCs w:val="1"/>
          <w:u w:val="single" w:color="auto"/>
          <w:color w:val="auto"/>
        </w:rPr>
        <w:t>EXHIBIT C – CANCELLATION PROVISION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Tenant shall be granted a one time cancellation clause of December 31, 2011. Tenant shall be allowed to cancel the lease by Providing Landlord’s three (3) month’s prior written notice and by paying a cancellation fee equal to three (3) month’s rent at the time of the cancellation.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1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u w:val="single" w:color="auto"/>
          <w:color w:val="auto"/>
        </w:rPr>
        <w:t>EXHIBIT D – TENANT IMPROVEMENTS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Landlord shall warrant that all functions of the space, including lights, power and HVAC systems, are in proper working condition for the first three months of the lease.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Landlord shall repaint and carpet the office area and clean the space thoroughly prior to lease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17" w:right="239" w:bottom="1440" w:gutter="0" w:footer="0" w:header="0"/>
        </w:sectPr>
      </w:pPr>
    </w:p>
    <w:bookmarkStart w:id="44" w:name="page45"/>
    <w:bookmarkEnd w:id="44"/>
    <w:p>
      <w:pPr>
        <w:jc w:val="center"/>
        <w:ind w:right="-159"/>
        <w:spacing w:after="0"/>
        <w:rPr>
          <w:sz w:val="20"/>
          <w:szCs w:val="20"/>
          <w:color w:val="auto"/>
        </w:rPr>
      </w:pPr>
      <w:r>
        <w:rPr>
          <w:rFonts w:ascii="Arial" w:cs="Arial" w:eastAsia="Arial" w:hAnsi="Arial"/>
          <w:sz w:val="17"/>
          <w:szCs w:val="17"/>
          <w:b w:val="1"/>
          <w:bCs w:val="1"/>
          <w:u w:val="single" w:color="auto"/>
          <w:color w:val="auto"/>
        </w:rPr>
        <w:t>EXHIBIT E – EARLY OCCUPANCY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Tenant shall be granted access to the space upon full execution of a lease and Landlord’s receipt of a certificate of insurance. During the period between Tenant’s occupancy and Lease Commencement on December 1, 2008 (the “Early Occupancy Period”), Tenant shall be subject to all provisions of this Lease excepting that Tenant shall not be required to pay Base Rent for the Early Occupancy Period. Tenant shall be responsible for all other charges including Tenant’s Pro Rata Share of Common Area Expenses pursuant to the terms of the Lease.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355600</wp:posOffset>
            </wp:positionV>
            <wp:extent cx="7270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115" cy="8255"/>
                    </a:xfrm>
                    <a:prstGeom prst="rect">
                      <a:avLst/>
                    </a:prstGeom>
                    <a:noFill/>
                  </pic:spPr>
                </pic:pic>
              </a:graphicData>
            </a:graphic>
          </wp:anchor>
        </w:drawing>
      </w:r>
    </w:p>
    <w:p>
      <w:pPr>
        <w:sectPr>
          <w:pgSz w:w="11900" w:h="16838" w:orient="portrait"/>
          <w:cols w:equalWidth="0" w:num="1">
            <w:col w:w="11260"/>
          </w:cols>
          <w:pgMar w:left="240" w:top="1417" w:right="399" w:bottom="1440" w:gutter="0" w:footer="0" w:header="0"/>
        </w:sectPr>
      </w:pPr>
    </w:p>
    <w:bookmarkStart w:id="45" w:name="page46"/>
    <w:bookmarkEnd w:id="45"/>
    <w:p>
      <w:pPr>
        <w:ind w:left="10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430530</wp:posOffset>
            </wp:positionV>
            <wp:extent cx="7270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115" cy="8255"/>
                    </a:xfrm>
                    <a:prstGeom prst="rect">
                      <a:avLst/>
                    </a:prstGeom>
                    <a:noFill/>
                  </pic:spPr>
                </pic:pic>
              </a:graphicData>
            </a:graphic>
          </wp:anchor>
        </w:drawing>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I, Zeynep Hakimoglu, certify that:</w:t>
      </w:r>
    </w:p>
    <w:p>
      <w:pPr>
        <w:spacing w:after="0" w:line="240" w:lineRule="exact"/>
        <w:rPr>
          <w:sz w:val="20"/>
          <w:szCs w:val="20"/>
          <w:color w:val="auto"/>
        </w:rPr>
      </w:pPr>
    </w:p>
    <w:p>
      <w:pPr>
        <w:ind w:left="460" w:hanging="210"/>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ClearOne Communications, Inc.;</w:t>
      </w:r>
    </w:p>
    <w:p>
      <w:pPr>
        <w:spacing w:after="0" w:line="239" w:lineRule="exact"/>
        <w:rPr>
          <w:rFonts w:ascii="Arial" w:cs="Arial" w:eastAsia="Arial" w:hAnsi="Arial"/>
          <w:sz w:val="17"/>
          <w:szCs w:val="17"/>
          <w:color w:val="auto"/>
        </w:rPr>
      </w:pPr>
    </w:p>
    <w:p>
      <w:pPr>
        <w:ind w:left="460" w:hanging="210"/>
        <w:spacing w:after="0" w:line="309"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60" w:hanging="210"/>
        <w:spacing w:after="0" w:line="276"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460" w:hanging="210"/>
        <w:spacing w:after="0" w:line="264"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620" w:hanging="221"/>
        <w:spacing w:after="0" w:line="264" w:lineRule="auto"/>
        <w:tabs>
          <w:tab w:leader="none" w:pos="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620" w:hanging="230"/>
        <w:spacing w:after="0" w:line="264" w:lineRule="auto"/>
        <w:tabs>
          <w:tab w:leader="none" w:pos="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620" w:hanging="221"/>
        <w:spacing w:after="0" w:line="276" w:lineRule="auto"/>
        <w:tabs>
          <w:tab w:leader="none" w:pos="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ind w:left="620" w:hanging="230"/>
        <w:spacing w:after="0" w:line="276" w:lineRule="auto"/>
        <w:tabs>
          <w:tab w:leader="none" w:pos="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0" w:lineRule="exact"/>
        <w:rPr>
          <w:rFonts w:ascii="Arial" w:cs="Arial" w:eastAsia="Arial" w:hAnsi="Arial"/>
          <w:sz w:val="17"/>
          <w:szCs w:val="17"/>
          <w:color w:val="auto"/>
        </w:rPr>
      </w:pPr>
    </w:p>
    <w:p>
      <w:pPr>
        <w:ind w:left="460" w:hanging="210"/>
        <w:spacing w:after="0" w:line="276"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620" w:hanging="221"/>
        <w:spacing w:after="0" w:line="276" w:lineRule="auto"/>
        <w:tabs>
          <w:tab w:leader="none" w:pos="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620" w:hanging="230"/>
        <w:spacing w:after="0" w:line="276" w:lineRule="auto"/>
        <w:tabs>
          <w:tab w:leader="none" w:pos="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4520" w:val="left"/>
          <w:tab w:leader="none" w:pos="5100" w:val="left"/>
        </w:tabs>
        <w:rPr>
          <w:sz w:val="20"/>
          <w:szCs w:val="20"/>
          <w:color w:val="auto"/>
        </w:rPr>
      </w:pPr>
      <w:r>
        <w:rPr>
          <w:rFonts w:ascii="Arial" w:cs="Arial" w:eastAsia="Arial" w:hAnsi="Arial"/>
          <w:sz w:val="17"/>
          <w:szCs w:val="17"/>
          <w:color w:val="auto"/>
        </w:rPr>
        <w:t>Date: November 11, 2008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wp:posOffset>
            </wp:positionV>
            <wp:extent cx="400875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08755" cy="16510"/>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Zeynep Hakimoglu</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Chairman, President and Chief Executive Officer</w:t>
      </w:r>
    </w:p>
    <w:p>
      <w:pPr>
        <w:sectPr>
          <w:pgSz w:w="11900" w:h="16838" w:orient="portrait"/>
          <w:cols w:equalWidth="0" w:num="1">
            <w:col w:w="11420"/>
          </w:cols>
          <w:pgMar w:left="240" w:top="776" w:right="239" w:bottom="1440" w:gutter="0" w:footer="0" w:header="0"/>
        </w:sectPr>
      </w:pPr>
    </w:p>
    <w:bookmarkStart w:id="46" w:name="page47"/>
    <w:bookmarkEnd w:id="46"/>
    <w:p>
      <w:pPr>
        <w:ind w:left="10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430530</wp:posOffset>
            </wp:positionV>
            <wp:extent cx="7270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115" cy="8255"/>
                    </a:xfrm>
                    <a:prstGeom prst="rect">
                      <a:avLst/>
                    </a:prstGeom>
                    <a:noFill/>
                  </pic:spPr>
                </pic:pic>
              </a:graphicData>
            </a:graphic>
          </wp:anchor>
        </w:drawing>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I, Greg A. LeClaire, certify that:</w:t>
      </w:r>
    </w:p>
    <w:p>
      <w:pPr>
        <w:spacing w:after="0" w:line="240" w:lineRule="exact"/>
        <w:rPr>
          <w:sz w:val="20"/>
          <w:szCs w:val="20"/>
          <w:color w:val="auto"/>
        </w:rPr>
      </w:pPr>
    </w:p>
    <w:p>
      <w:pPr>
        <w:ind w:left="460" w:hanging="210"/>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ClearOne Communications, Inc.;</w:t>
      </w:r>
    </w:p>
    <w:p>
      <w:pPr>
        <w:spacing w:after="0" w:line="239" w:lineRule="exact"/>
        <w:rPr>
          <w:rFonts w:ascii="Arial" w:cs="Arial" w:eastAsia="Arial" w:hAnsi="Arial"/>
          <w:sz w:val="17"/>
          <w:szCs w:val="17"/>
          <w:color w:val="auto"/>
        </w:rPr>
      </w:pPr>
    </w:p>
    <w:p>
      <w:pPr>
        <w:ind w:left="460" w:hanging="210"/>
        <w:spacing w:after="0" w:line="309"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60" w:hanging="210"/>
        <w:spacing w:after="0" w:line="27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460" w:hanging="210"/>
        <w:spacing w:after="0" w:line="264"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620" w:hanging="221"/>
        <w:spacing w:after="0" w:line="264" w:lineRule="auto"/>
        <w:tabs>
          <w:tab w:leader="none" w:pos="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620" w:hanging="230"/>
        <w:spacing w:after="0" w:line="264" w:lineRule="auto"/>
        <w:tabs>
          <w:tab w:leader="none" w:pos="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620" w:hanging="221"/>
        <w:spacing w:after="0" w:line="276" w:lineRule="auto"/>
        <w:tabs>
          <w:tab w:leader="none" w:pos="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ind w:left="620" w:hanging="230"/>
        <w:spacing w:after="0" w:line="276" w:lineRule="auto"/>
        <w:tabs>
          <w:tab w:leader="none" w:pos="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0" w:lineRule="exact"/>
        <w:rPr>
          <w:rFonts w:ascii="Arial" w:cs="Arial" w:eastAsia="Arial" w:hAnsi="Arial"/>
          <w:sz w:val="17"/>
          <w:szCs w:val="17"/>
          <w:color w:val="auto"/>
        </w:rPr>
      </w:pPr>
    </w:p>
    <w:p>
      <w:pPr>
        <w:ind w:left="460" w:hanging="210"/>
        <w:spacing w:after="0" w:line="27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620" w:hanging="221"/>
        <w:spacing w:after="0" w:line="276" w:lineRule="auto"/>
        <w:tabs>
          <w:tab w:leader="none" w:pos="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620" w:hanging="230"/>
        <w:spacing w:after="0" w:line="276" w:lineRule="auto"/>
        <w:tabs>
          <w:tab w:leader="none" w:pos="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4520" w:val="left"/>
          <w:tab w:leader="none" w:pos="5100" w:val="left"/>
        </w:tabs>
        <w:rPr>
          <w:sz w:val="20"/>
          <w:szCs w:val="20"/>
          <w:color w:val="auto"/>
        </w:rPr>
      </w:pPr>
      <w:r>
        <w:rPr>
          <w:rFonts w:ascii="Arial" w:cs="Arial" w:eastAsia="Arial" w:hAnsi="Arial"/>
          <w:sz w:val="17"/>
          <w:szCs w:val="17"/>
          <w:color w:val="auto"/>
        </w:rPr>
        <w:t>Date: November 11, 2008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wp:posOffset>
            </wp:positionV>
            <wp:extent cx="400875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08755" cy="16510"/>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Greg A LeClaire</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Chief Financial Officer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(Principal Financial and Accounting Officer)</w:t>
      </w:r>
    </w:p>
    <w:p>
      <w:pPr>
        <w:sectPr>
          <w:pgSz w:w="11900" w:h="16838" w:orient="portrait"/>
          <w:cols w:equalWidth="0" w:num="1">
            <w:col w:w="11420"/>
          </w:cols>
          <w:pgMar w:left="240" w:top="77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300355</wp:posOffset>
            </wp:positionV>
            <wp:extent cx="7270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115" cy="8255"/>
                    </a:xfrm>
                    <a:prstGeom prst="rect">
                      <a:avLst/>
                    </a:prstGeom>
                    <a:noFill/>
                  </pic:spPr>
                </pic:pic>
              </a:graphicData>
            </a:graphic>
          </wp:anchor>
        </w:drawing>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 Zeynep Hakimoglu, certify, pursuant to 18 U.S.C. Section 1350, as adopted pursuant to Section 906 of the Sarbanes-Oxley Act of 2002, that the Quarterly Report of ClearOne Communications, Inc. on Form 10-Q for the three months ended September 30, 2008,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520" w:val="left"/>
          <w:tab w:leader="none" w:pos="5100" w:val="left"/>
        </w:tabs>
        <w:rPr>
          <w:sz w:val="20"/>
          <w:szCs w:val="20"/>
          <w:color w:val="auto"/>
        </w:rPr>
      </w:pPr>
      <w:r>
        <w:rPr>
          <w:rFonts w:ascii="Arial" w:cs="Arial" w:eastAsia="Arial" w:hAnsi="Arial"/>
          <w:sz w:val="17"/>
          <w:szCs w:val="17"/>
          <w:color w:val="auto"/>
        </w:rPr>
        <w:t>Date: November 11, 2008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wp:posOffset>
            </wp:positionV>
            <wp:extent cx="400875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08755" cy="16510"/>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Zeynep Hakimoglu</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Chairman, President and Chief Executive Officer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351" w:lineRule="auto"/>
        <w:rPr>
          <w:sz w:val="20"/>
          <w:szCs w:val="20"/>
          <w:color w:val="auto"/>
        </w:rPr>
      </w:pPr>
      <w:r>
        <w:rPr>
          <w:rFonts w:ascii="Arial" w:cs="Arial" w:eastAsia="Arial" w:hAnsi="Arial"/>
          <w:sz w:val="15"/>
          <w:szCs w:val="15"/>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57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430530</wp:posOffset>
            </wp:positionV>
            <wp:extent cx="7270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115" cy="8255"/>
                    </a:xfrm>
                    <a:prstGeom prst="rect">
                      <a:avLst/>
                    </a:prstGeom>
                    <a:noFill/>
                  </pic:spPr>
                </pic:pic>
              </a:graphicData>
            </a:graphic>
          </wp:anchor>
        </w:drawing>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 Greg A. LeClaire, certify, pursuant to 18 U.S.C. Section 1350, as adopted pursuant to Section 906 of the Sarbanes-Oxley Act of 2002, that the Quarterly Report of ClearOne Communications, Inc. on Form 10-Q for the three months ended September 30, 2008,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520" w:val="left"/>
          <w:tab w:leader="none" w:pos="5100" w:val="left"/>
        </w:tabs>
        <w:rPr>
          <w:sz w:val="20"/>
          <w:szCs w:val="20"/>
          <w:color w:val="auto"/>
        </w:rPr>
      </w:pPr>
      <w:r>
        <w:rPr>
          <w:rFonts w:ascii="Arial" w:cs="Arial" w:eastAsia="Arial" w:hAnsi="Arial"/>
          <w:sz w:val="17"/>
          <w:szCs w:val="17"/>
          <w:color w:val="auto"/>
        </w:rPr>
        <w:t>Date: November 11, 2008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wp:posOffset>
            </wp:positionV>
            <wp:extent cx="400875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08755" cy="16510"/>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Greg A. LeClaire</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Chief Financial Officer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351" w:lineRule="auto"/>
        <w:rPr>
          <w:sz w:val="20"/>
          <w:szCs w:val="20"/>
          <w:color w:val="auto"/>
        </w:rPr>
      </w:pPr>
      <w:r>
        <w:rPr>
          <w:rFonts w:ascii="Arial" w:cs="Arial" w:eastAsia="Arial" w:hAnsi="Arial"/>
          <w:sz w:val="15"/>
          <w:szCs w:val="15"/>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7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1"/>
      <w:numFmt w:val="upperLetter"/>
      <w:start w:val="53"/>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2"/>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lvl w:ilvl="1">
      <w:lvlJc w:val="left"/>
      <w:lvlText w:val="(%2)"/>
      <w:numFmt w:val="lowerRoman"/>
      <w:start w:val="1"/>
    </w:lvl>
  </w:abstractNum>
  <w:abstractNum w:abstractNumId="7">
    <w:nsid w:val="25E45D32"/>
    <w:multiLevelType w:val="hybridMultilevel"/>
    <w:lvl w:ilvl="0">
      <w:lvlJc w:val="left"/>
      <w:lvlText w:val="(%1)"/>
      <w:numFmt w:val="lowerLetter"/>
      <w:start w:val="1"/>
    </w:lvl>
    <w:lvl w:ilvl="1">
      <w:lvlJc w:val="left"/>
      <w:lvlText w:val="(%2)"/>
      <w:numFmt w:val="lowerRoman"/>
      <w:start w:val="1"/>
    </w:lvl>
  </w:abstractNum>
  <w:abstractNum w:abstractNumId="8">
    <w:nsid w:val="519B500D"/>
    <w:multiLevelType w:val="hybridMultilevel"/>
    <w:lvl w:ilvl="0">
      <w:lvlJc w:val="left"/>
      <w:lvlText w:val="(%1)"/>
      <w:numFmt w:val="lowerRoman"/>
      <w:start w:val="4"/>
    </w:lvl>
  </w:abstractNum>
  <w:abstractNum w:abstractNumId="9">
    <w:nsid w:val="431BD7B7"/>
    <w:multiLevelType w:val="hybridMultilevel"/>
    <w:lvl w:ilvl="0">
      <w:lvlJc w:val="left"/>
      <w:lvlText w:val="(%1)"/>
      <w:numFmt w:val="lowerRoman"/>
      <w:start w:val="5"/>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2"/>
    </w:lvl>
  </w:abstractNum>
  <w:abstractNum w:abstractNumId="16">
    <w:nsid w:val="333AB105"/>
    <w:multiLevelType w:val="hybridMultilevel"/>
    <w:lvl w:ilvl="0">
      <w:lvlJc w:val="left"/>
      <w:lvlText w:val="(%1)"/>
      <w:numFmt w:val="lowerLetter"/>
      <w:start w:val="1"/>
    </w:lvl>
    <w:lvl w:ilvl="1">
      <w:lvlJc w:val="left"/>
      <w:lvlText w:val="%2"/>
      <w:numFmt w:val="lowerRoman"/>
      <w:start w:val="1"/>
    </w:lvl>
  </w:abstractNum>
  <w:abstractNum w:abstractNumId="17">
    <w:nsid w:val="721DA317"/>
    <w:multiLevelType w:val="hybridMultilevel"/>
    <w:lvl w:ilvl="0">
      <w:lvlJc w:val="left"/>
      <w:lvlText w:val="(%1)"/>
      <w:numFmt w:val="lowerLetter"/>
      <w:start w:val="35"/>
    </w:lvl>
    <w:lvl w:ilvl="1">
      <w:lvlJc w:val="left"/>
      <w:lvlText w:val="%2"/>
      <w:numFmt w:val="lowerRoman"/>
      <w:start w:val="1"/>
    </w:lvl>
  </w:abstractNum>
  <w:abstractNum w:abstractNumId="18">
    <w:nsid w:val="2443A858"/>
    <w:multiLevelType w:val="hybridMultilevel"/>
    <w:lvl w:ilvl="0">
      <w:lvlJc w:val="left"/>
      <w:lvlText w:val="(%1)"/>
      <w:numFmt w:val="lowerLetter"/>
      <w:start w:val="2"/>
    </w:lvl>
    <w:lvl w:ilvl="1">
      <w:lvlJc w:val="left"/>
      <w:lvlText w:val="(%2)"/>
      <w:numFmt w:val="lowerRoman"/>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2019-12-13T18:11:22Z</dcterms:created>
  <dcterms:modified xsi:type="dcterms:W3CDTF">2019-12-13T18:11:22Z</dcterms:modified>
</cp:coreProperties>
</file>