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jc w:val="right"/>
        <w:ind w:left="4020" w:right="3980" w:hanging="4012"/>
        <w:spacing w:after="0" w:line="643" w:lineRule="auto"/>
        <w:tabs>
          <w:tab w:leader="none" w:pos="634"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March 31, 2007</w:t>
      </w:r>
    </w:p>
    <w:p>
      <w:pPr>
        <w:ind w:left="5580"/>
        <w:spacing w:after="0"/>
        <w:rPr>
          <w:rFonts w:ascii="Arial" w:cs="Arial" w:eastAsia="Arial" w:hAnsi="Arial"/>
          <w:sz w:val="16"/>
          <w:szCs w:val="16"/>
          <w:color w:val="auto"/>
        </w:rPr>
      </w:pPr>
      <w:r>
        <w:rPr>
          <w:rFonts w:ascii="Arial" w:cs="Arial" w:eastAsia="Arial" w:hAnsi="Arial"/>
          <w:sz w:val="18"/>
          <w:szCs w:val="18"/>
          <w:b w:val="1"/>
          <w:bCs w:val="1"/>
          <w:color w:val="auto"/>
        </w:rPr>
        <w:t>OR</w:t>
      </w:r>
    </w:p>
    <w:p>
      <w:pPr>
        <w:spacing w:after="0" w:line="320"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For the transition period from _______________ to _______________</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2880" w:type="dxa"/>
        <w:tblCellMar>
          <w:top w:w="0" w:type="dxa"/>
          <w:left w:w="0" w:type="dxa"/>
          <w:bottom w:w="0" w:type="dxa"/>
          <w:right w:w="0" w:type="dxa"/>
        </w:tblCellMar>
      </w:tblPr>
      <w:tr>
        <w:trPr>
          <w:trHeight w:val="241"/>
        </w:trPr>
        <w:tc>
          <w:tcPr>
            <w:tcW w:w="36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4"/>
              </w:rPr>
              <w:t>Utah</w:t>
            </w:r>
          </w:p>
        </w:tc>
        <w:tc>
          <w:tcPr>
            <w:tcW w:w="208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3"/>
          </w:tcPr>
          <w:p>
            <w:pPr>
              <w:jc w:val="center"/>
              <w:ind w:right="1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62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incorporation or organization)</w:t>
            </w:r>
          </w:p>
        </w:tc>
        <w:tc>
          <w:tcPr>
            <w:tcW w:w="2080" w:type="dxa"/>
            <w:vAlign w:val="bottom"/>
            <w:gridSpan w:val="3"/>
          </w:tcPr>
          <w:p>
            <w:pPr>
              <w:jc w:val="center"/>
              <w:ind w:right="90"/>
              <w:spacing w:after="0"/>
              <w:rPr>
                <w:sz w:val="20"/>
                <w:szCs w:val="20"/>
                <w:color w:val="auto"/>
              </w:rPr>
            </w:pPr>
            <w:r>
              <w:rPr>
                <w:rFonts w:ascii="Arial" w:cs="Arial" w:eastAsia="Arial" w:hAnsi="Arial"/>
                <w:sz w:val="18"/>
                <w:szCs w:val="18"/>
                <w:color w:val="auto"/>
                <w:w w:val="94"/>
              </w:rPr>
              <w:t>identification number)</w:t>
            </w:r>
          </w:p>
        </w:tc>
      </w:tr>
      <w:tr>
        <w:trPr>
          <w:trHeight w:val="468"/>
        </w:trPr>
        <w:tc>
          <w:tcPr>
            <w:tcW w:w="362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9"/>
              </w:rPr>
              <w:t>5225 Wiley Post Way, Suite 500</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362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2"/>
              </w:rPr>
              <w:t>Salt Lake City, Utah</w:t>
            </w:r>
          </w:p>
        </w:tc>
        <w:tc>
          <w:tcPr>
            <w:tcW w:w="20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84116</w:t>
            </w:r>
          </w:p>
        </w:tc>
      </w:tr>
      <w:tr>
        <w:trPr>
          <w:trHeight w:val="224"/>
        </w:trPr>
        <w:tc>
          <w:tcPr>
            <w:tcW w:w="362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92"/>
              </w:rPr>
              <w:t>(Address of principal executive offices)</w:t>
            </w: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83" w:lineRule="exact"/>
        <w:rPr>
          <w:sz w:val="24"/>
          <w:szCs w:val="24"/>
          <w:color w:val="auto"/>
        </w:rPr>
      </w:pPr>
    </w:p>
    <w:p>
      <w:pPr>
        <w:jc w:val="both"/>
        <w:ind w:right="80"/>
        <w:spacing w:after="0" w:line="256"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9960"/>
        <w:spacing w:after="0" w:line="207" w:lineRule="exact"/>
        <w:tabs>
          <w:tab w:leader="none" w:pos="1092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31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x</w:t>
      </w:r>
    </w:p>
    <w:p>
      <w:pPr>
        <w:spacing w:after="0" w:line="278"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10,886,859 shares of the Company’s Common Stock, par value $0.001, outstanding on May 11, 2007.</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2007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Page Number</w:t>
            </w:r>
          </w:p>
        </w:tc>
        <w:tc>
          <w:tcPr>
            <w:tcW w:w="560" w:type="dxa"/>
            <w:vAlign w:val="bottom"/>
          </w:tcPr>
          <w:p>
            <w:pPr>
              <w:spacing w:after="0"/>
              <w:rPr>
                <w:sz w:val="20"/>
                <w:szCs w:val="20"/>
                <w:color w:val="auto"/>
              </w:rPr>
            </w:pPr>
          </w:p>
        </w:tc>
      </w:tr>
      <w:tr>
        <w:trPr>
          <w:trHeight w:val="480"/>
        </w:trPr>
        <w:tc>
          <w:tcPr>
            <w:tcW w:w="580" w:type="dxa"/>
            <w:vAlign w:val="bottom"/>
          </w:tcPr>
          <w:p>
            <w:pPr>
              <w:spacing w:after="0"/>
              <w:rPr>
                <w:sz w:val="24"/>
                <w:szCs w:val="24"/>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Disclosure Regarding Forward-Looking Statements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80" w:type="dxa"/>
            <w:vAlign w:val="bottom"/>
          </w:tcPr>
          <w:p>
            <w:pPr>
              <w:jc w:val="center"/>
              <w:ind w:left="210"/>
              <w:spacing w:after="0"/>
              <w:rPr>
                <w:sz w:val="20"/>
                <w:szCs w:val="20"/>
                <w:color w:val="auto"/>
              </w:rPr>
            </w:pPr>
            <w:r>
              <w:rPr>
                <w:rFonts w:ascii="Arial" w:cs="Arial" w:eastAsia="Arial" w:hAnsi="Arial"/>
                <w:sz w:val="18"/>
                <w:szCs w:val="18"/>
                <w:color w:val="auto"/>
                <w:w w:val="98"/>
              </w:rPr>
              <w:t>PART I - FINANCIAL INFORMATION</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Condensed Consolidated Financial Statements</w:t>
            </w:r>
          </w:p>
        </w:tc>
        <w:tc>
          <w:tcPr>
            <w:tcW w:w="1260" w:type="dxa"/>
            <w:vAlign w:val="bottom"/>
            <w:shd w:val="clear" w:color="auto" w:fill="CCEEFF"/>
          </w:tcPr>
          <w:p>
            <w:pPr>
              <w:spacing w:after="0"/>
              <w:rPr>
                <w:sz w:val="24"/>
                <w:szCs w:val="24"/>
                <w:color w:val="auto"/>
              </w:rPr>
            </w:pP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Condensed Consolidated Balance Sheets as of March 31, 2007 and June 30, 2006</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560" w:type="dxa"/>
            <w:vAlign w:val="bottom"/>
          </w:tcPr>
          <w:p>
            <w:pPr>
              <w:spacing w:after="0"/>
              <w:rPr>
                <w:sz w:val="24"/>
                <w:szCs w:val="24"/>
                <w:color w:val="auto"/>
              </w:rPr>
            </w:pPr>
          </w:p>
        </w:tc>
      </w:tr>
      <w:tr>
        <w:trPr>
          <w:trHeight w:val="472"/>
        </w:trPr>
        <w:tc>
          <w:tcPr>
            <w:tcW w:w="580" w:type="dxa"/>
            <w:vAlign w:val="bottom"/>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Condensed Consolidated Statements of Income for the three months ended March 31, 2007 and 2006 and the</w:t>
            </w:r>
          </w:p>
        </w:tc>
        <w:tc>
          <w:tcPr>
            <w:tcW w:w="1260" w:type="dxa"/>
            <w:vAlign w:val="bottom"/>
            <w:shd w:val="clear" w:color="auto" w:fill="CCEEFF"/>
          </w:tcPr>
          <w:p>
            <w:pPr>
              <w:spacing w:after="0"/>
              <w:rPr>
                <w:sz w:val="24"/>
                <w:szCs w:val="24"/>
                <w:color w:val="auto"/>
              </w:rPr>
            </w:pPr>
          </w:p>
        </w:tc>
        <w:tc>
          <w:tcPr>
            <w:tcW w:w="56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nine months ended March 31, 2007 and 2006</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560" w:type="dxa"/>
            <w:vAlign w:val="bottom"/>
          </w:tcPr>
          <w:p>
            <w:pPr>
              <w:spacing w:after="0"/>
              <w:rPr>
                <w:sz w:val="20"/>
                <w:szCs w:val="20"/>
                <w:color w:val="auto"/>
              </w:rPr>
            </w:pPr>
          </w:p>
        </w:tc>
      </w:tr>
      <w:tr>
        <w:trPr>
          <w:trHeight w:val="486"/>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w w:val="93"/>
              </w:rPr>
              <w:t>Condensed Consolidated Statements of Cash Flows for the nine months ended March 31, 2007 and 2006</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Condensed Consolidated Financial Statements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560" w:type="dxa"/>
            <w:vAlign w:val="bottom"/>
          </w:tcPr>
          <w:p>
            <w:pPr>
              <w:spacing w:after="0"/>
              <w:rPr>
                <w:sz w:val="24"/>
                <w:szCs w:val="24"/>
                <w:color w:val="auto"/>
              </w:rPr>
            </w:pPr>
          </w:p>
        </w:tc>
      </w:tr>
      <w:tr>
        <w:trPr>
          <w:trHeight w:val="486"/>
        </w:trPr>
        <w:tc>
          <w:tcPr>
            <w:tcW w:w="1520" w:type="dxa"/>
            <w:vAlign w:val="bottom"/>
            <w:gridSpan w:val="2"/>
          </w:tcPr>
          <w:p>
            <w:pPr>
              <w:ind w:left="580"/>
              <w:spacing w:after="0"/>
              <w:rPr>
                <w:sz w:val="20"/>
                <w:szCs w:val="20"/>
                <w:color w:val="auto"/>
              </w:rPr>
            </w:pPr>
            <w:r>
              <w:rPr>
                <w:rFonts w:ascii="Arial" w:cs="Arial" w:eastAsia="Arial" w:hAnsi="Arial"/>
                <w:sz w:val="18"/>
                <w:szCs w:val="18"/>
                <w:color w:val="auto"/>
              </w:rPr>
              <w:t>Item 2</w:t>
            </w:r>
          </w:p>
        </w:tc>
        <w:tc>
          <w:tcPr>
            <w:tcW w:w="808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560" w:type="dxa"/>
            <w:vAlign w:val="bottom"/>
          </w:tcPr>
          <w:p>
            <w:pPr>
              <w:spacing w:after="0"/>
              <w:rPr>
                <w:sz w:val="24"/>
                <w:szCs w:val="24"/>
                <w:color w:val="auto"/>
              </w:rPr>
            </w:pPr>
          </w:p>
        </w:tc>
      </w:tr>
      <w:tr>
        <w:trPr>
          <w:trHeight w:val="486"/>
        </w:trPr>
        <w:tc>
          <w:tcPr>
            <w:tcW w:w="1520" w:type="dxa"/>
            <w:vAlign w:val="bottom"/>
            <w:gridSpan w:val="2"/>
          </w:tcPr>
          <w:p>
            <w:pPr>
              <w:ind w:left="580"/>
              <w:spacing w:after="0"/>
              <w:rPr>
                <w:sz w:val="20"/>
                <w:szCs w:val="20"/>
                <w:color w:val="auto"/>
              </w:rPr>
            </w:pPr>
            <w:r>
              <w:rPr>
                <w:rFonts w:ascii="Arial" w:cs="Arial" w:eastAsia="Arial" w:hAnsi="Arial"/>
                <w:sz w:val="18"/>
                <w:szCs w:val="18"/>
                <w:color w:val="auto"/>
              </w:rPr>
              <w:t>Item 4</w:t>
            </w:r>
          </w:p>
        </w:tc>
        <w:tc>
          <w:tcPr>
            <w:tcW w:w="808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8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6"/>
              </w:rPr>
              <w:t>PART II - OTHER INFORMATION</w:t>
            </w:r>
          </w:p>
        </w:tc>
        <w:tc>
          <w:tcPr>
            <w:tcW w:w="1260" w:type="dxa"/>
            <w:vAlign w:val="bottom"/>
            <w:shd w:val="clear" w:color="auto" w:fill="CCEEFF"/>
          </w:tcPr>
          <w:p>
            <w:pPr>
              <w:spacing w:after="0"/>
              <w:rPr>
                <w:sz w:val="24"/>
                <w:szCs w:val="24"/>
                <w:color w:val="auto"/>
              </w:rPr>
            </w:pPr>
          </w:p>
        </w:tc>
        <w:tc>
          <w:tcPr>
            <w:tcW w:w="560" w:type="dxa"/>
            <w:vAlign w:val="bottom"/>
          </w:tcPr>
          <w:p>
            <w:pPr>
              <w:spacing w:after="0"/>
              <w:rPr>
                <w:sz w:val="24"/>
                <w:szCs w:val="24"/>
                <w:color w:val="auto"/>
              </w:rPr>
            </w:pPr>
          </w:p>
        </w:tc>
      </w:tr>
      <w:tr>
        <w:trPr>
          <w:trHeight w:val="486"/>
        </w:trPr>
        <w:tc>
          <w:tcPr>
            <w:tcW w:w="1520" w:type="dxa"/>
            <w:vAlign w:val="bottom"/>
            <w:gridSpan w:val="2"/>
          </w:tcPr>
          <w:p>
            <w:pPr>
              <w:ind w:left="580"/>
              <w:spacing w:after="0"/>
              <w:rPr>
                <w:sz w:val="20"/>
                <w:szCs w:val="20"/>
                <w:color w:val="auto"/>
              </w:rPr>
            </w:pPr>
            <w:r>
              <w:rPr>
                <w:rFonts w:ascii="Arial" w:cs="Arial" w:eastAsia="Arial" w:hAnsi="Arial"/>
                <w:sz w:val="18"/>
                <w:szCs w:val="18"/>
                <w:color w:val="auto"/>
              </w:rPr>
              <w:t>Item 1</w:t>
            </w:r>
          </w:p>
        </w:tc>
        <w:tc>
          <w:tcPr>
            <w:tcW w:w="808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w:t>
            </w:r>
          </w:p>
        </w:tc>
        <w:tc>
          <w:tcPr>
            <w:tcW w:w="560" w:type="dxa"/>
            <w:vAlign w:val="bottom"/>
          </w:tcPr>
          <w:p>
            <w:pPr>
              <w:spacing w:after="0"/>
              <w:rPr>
                <w:sz w:val="24"/>
                <w:szCs w:val="24"/>
                <w:color w:val="auto"/>
              </w:rPr>
            </w:pPr>
          </w:p>
        </w:tc>
      </w:tr>
      <w:tr>
        <w:trPr>
          <w:trHeight w:val="486"/>
        </w:trPr>
        <w:tc>
          <w:tcPr>
            <w:tcW w:w="1520" w:type="dxa"/>
            <w:vAlign w:val="bottom"/>
            <w:gridSpan w:val="2"/>
          </w:tcPr>
          <w:p>
            <w:pPr>
              <w:ind w:left="580"/>
              <w:spacing w:after="0"/>
              <w:rPr>
                <w:sz w:val="20"/>
                <w:szCs w:val="20"/>
                <w:color w:val="auto"/>
              </w:rPr>
            </w:pPr>
            <w:r>
              <w:rPr>
                <w:rFonts w:ascii="Arial" w:cs="Arial" w:eastAsia="Arial" w:hAnsi="Arial"/>
                <w:sz w:val="18"/>
                <w:szCs w:val="18"/>
                <w:color w:val="auto"/>
              </w:rPr>
              <w:t>Item 2</w:t>
            </w:r>
          </w:p>
        </w:tc>
        <w:tc>
          <w:tcPr>
            <w:tcW w:w="808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Defaults Upon Senior Securities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560" w:type="dxa"/>
            <w:vAlign w:val="bottom"/>
          </w:tcPr>
          <w:p>
            <w:pPr>
              <w:spacing w:after="0"/>
              <w:rPr>
                <w:sz w:val="24"/>
                <w:szCs w:val="24"/>
                <w:color w:val="auto"/>
              </w:rPr>
            </w:pPr>
          </w:p>
        </w:tc>
      </w:tr>
      <w:tr>
        <w:trPr>
          <w:trHeight w:val="486"/>
        </w:trPr>
        <w:tc>
          <w:tcPr>
            <w:tcW w:w="1520" w:type="dxa"/>
            <w:vAlign w:val="bottom"/>
            <w:gridSpan w:val="2"/>
          </w:tcPr>
          <w:p>
            <w:pPr>
              <w:ind w:left="580"/>
              <w:spacing w:after="0"/>
              <w:rPr>
                <w:sz w:val="20"/>
                <w:szCs w:val="20"/>
                <w:color w:val="auto"/>
              </w:rPr>
            </w:pPr>
            <w:r>
              <w:rPr>
                <w:rFonts w:ascii="Arial" w:cs="Arial" w:eastAsia="Arial" w:hAnsi="Arial"/>
                <w:sz w:val="18"/>
                <w:szCs w:val="18"/>
                <w:color w:val="auto"/>
              </w:rPr>
              <w:t>Item 4</w:t>
            </w:r>
          </w:p>
        </w:tc>
        <w:tc>
          <w:tcPr>
            <w:tcW w:w="8080" w:type="dxa"/>
            <w:vAlign w:val="bottom"/>
          </w:tcPr>
          <w:p>
            <w:pPr>
              <w:ind w:left="180"/>
              <w:spacing w:after="0"/>
              <w:rPr>
                <w:sz w:val="20"/>
                <w:szCs w:val="20"/>
                <w:color w:val="auto"/>
              </w:rPr>
            </w:pPr>
            <w:r>
              <w:rPr>
                <w:rFonts w:ascii="Arial" w:cs="Arial" w:eastAsia="Arial" w:hAnsi="Arial"/>
                <w:sz w:val="18"/>
                <w:szCs w:val="18"/>
                <w:color w:val="auto"/>
              </w:rPr>
              <w:t>Submission of Matters to a Vote of Security Holders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Information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560" w:type="dxa"/>
            <w:vAlign w:val="bottom"/>
          </w:tcPr>
          <w:p>
            <w:pPr>
              <w:spacing w:after="0"/>
              <w:rPr>
                <w:sz w:val="24"/>
                <w:szCs w:val="24"/>
                <w:color w:val="auto"/>
              </w:rPr>
            </w:pPr>
          </w:p>
        </w:tc>
      </w:tr>
      <w:tr>
        <w:trPr>
          <w:trHeight w:val="486"/>
        </w:trPr>
        <w:tc>
          <w:tcPr>
            <w:tcW w:w="1520" w:type="dxa"/>
            <w:vAlign w:val="bottom"/>
            <w:gridSpan w:val="2"/>
          </w:tcPr>
          <w:p>
            <w:pPr>
              <w:ind w:left="580"/>
              <w:spacing w:after="0"/>
              <w:rPr>
                <w:sz w:val="20"/>
                <w:szCs w:val="20"/>
                <w:color w:val="auto"/>
              </w:rPr>
            </w:pPr>
            <w:r>
              <w:rPr>
                <w:rFonts w:ascii="Arial" w:cs="Arial" w:eastAsia="Arial" w:hAnsi="Arial"/>
                <w:sz w:val="18"/>
                <w:szCs w:val="18"/>
                <w:color w:val="auto"/>
              </w:rPr>
              <w:t>Item 6</w:t>
            </w:r>
          </w:p>
        </w:tc>
        <w:tc>
          <w:tcPr>
            <w:tcW w:w="8080" w:type="dxa"/>
            <w:vAlign w:val="bottom"/>
          </w:tcPr>
          <w:p>
            <w:pPr>
              <w:ind w:left="180"/>
              <w:spacing w:after="0"/>
              <w:rPr>
                <w:sz w:val="20"/>
                <w:szCs w:val="20"/>
                <w:color w:val="auto"/>
              </w:rPr>
            </w:pPr>
            <w:r>
              <w:rPr>
                <w:rFonts w:ascii="Arial" w:cs="Arial" w:eastAsia="Arial" w:hAnsi="Arial"/>
                <w:sz w:val="18"/>
                <w:szCs w:val="18"/>
                <w:color w:val="auto"/>
              </w:rPr>
              <w:t>Exhibits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56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8080" w:type="dxa"/>
            <w:vAlign w:val="bottom"/>
            <w:shd w:val="clear" w:color="auto" w:fill="CCEEFF"/>
          </w:tcPr>
          <w:p>
            <w:pPr>
              <w:spacing w:after="0"/>
              <w:rPr>
                <w:sz w:val="24"/>
                <w:szCs w:val="2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560" w:type="dxa"/>
            <w:vAlign w:val="bottom"/>
          </w:tcPr>
          <w:p>
            <w:pPr>
              <w:spacing w:after="0"/>
              <w:rPr>
                <w:sz w:val="24"/>
                <w:szCs w:val="24"/>
                <w:color w:val="auto"/>
              </w:rPr>
            </w:pPr>
          </w:p>
        </w:tc>
      </w:tr>
      <w:tr>
        <w:trPr>
          <w:trHeight w:val="729"/>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80" w:type="dxa"/>
            <w:vAlign w:val="bottom"/>
          </w:tcPr>
          <w:p>
            <w:pPr>
              <w:jc w:val="center"/>
              <w:ind w:left="210"/>
              <w:spacing w:after="0"/>
              <w:rPr>
                <w:sz w:val="20"/>
                <w:szCs w:val="20"/>
                <w:color w:val="auto"/>
              </w:rPr>
            </w:pPr>
            <w:r>
              <w:rPr>
                <w:rFonts w:ascii="Arial" w:cs="Arial" w:eastAsia="Arial" w:hAnsi="Arial"/>
                <w:sz w:val="18"/>
                <w:szCs w:val="18"/>
                <w:color w:val="auto"/>
                <w:w w:val="99"/>
              </w:rPr>
              <w:t>2</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June 30,</w:t>
            </w: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r>
      <w:tr>
        <w:trPr>
          <w:trHeight w:val="480"/>
        </w:trPr>
        <w:tc>
          <w:tcPr>
            <w:tcW w:w="2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20,550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of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36,353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40,376</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 long-term</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70"/>
        </w:trPr>
        <w:tc>
          <w:tcPr>
            <w:tcW w:w="65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39,140</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42,038</w:t>
            </w:r>
          </w:p>
        </w:tc>
        <w:tc>
          <w:tcPr>
            <w:tcW w:w="8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Accrued taxes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10,931</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8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10,881,262 and 12,184,727 shares issued and outstanding, respectively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(19,380)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(22,364)</w:t>
            </w:r>
          </w:p>
        </w:tc>
      </w:tr>
      <w:tr>
        <w:trPr>
          <w:trHeight w:val="244"/>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39,140</w:t>
            </w:r>
          </w:p>
        </w:tc>
        <w:tc>
          <w:tcPr>
            <w:tcW w:w="10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42,038</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bl>
    <w:p>
      <w:pPr>
        <w:ind w:left="31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280"/>
          </w:cols>
          <w:pgMar w:left="240" w:top="364" w:right="1379" w:bottom="1440" w:gutter="0" w:footer="0" w:header="0"/>
        </w:sectPr>
      </w:pP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64" w:right="137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6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28,873</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26,158</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160" w:type="dxa"/>
            <w:vAlign w:val="bottom"/>
          </w:tcPr>
          <w:p>
            <w:pPr>
              <w:spacing w:after="0"/>
              <w:rPr>
                <w:sz w:val="23"/>
                <w:szCs w:val="23"/>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15,507</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13,421</w:t>
            </w:r>
          </w:p>
        </w:tc>
        <w:tc>
          <w:tcPr>
            <w:tcW w:w="80" w:type="dxa"/>
            <w:vAlign w:val="bottom"/>
            <w:tcBorders>
              <w:top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1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4,288</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(1,205)</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vMerge w:val="restart"/>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160" w:type="dxa"/>
            <w:vAlign w:val="bottom"/>
          </w:tcPr>
          <w:p>
            <w:pPr>
              <w:spacing w:after="0"/>
              <w:rPr>
                <w:sz w:val="23"/>
                <w:szCs w:val="23"/>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80" w:type="dxa"/>
            <w:vAlign w:val="bottom"/>
            <w:tcBorders>
              <w:top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vMerge w:val="restart"/>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11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from income taxes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762</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114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w w:val="93"/>
              </w:rPr>
              <w:t>Gain (loss) on disposal of discontinued operations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80" w:type="dxa"/>
            <w:vAlign w:val="bottom"/>
            <w:tcBorders>
              <w:top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2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2,608</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4120" w:type="dxa"/>
            <w:vAlign w:val="bottom"/>
            <w:gridSpan w:val="2"/>
            <w:shd w:val="clear" w:color="auto" w:fill="CCEEFF"/>
          </w:tcPr>
          <w:p>
            <w:pPr>
              <w:spacing w:after="0"/>
              <w:rPr>
                <w:sz w:val="19"/>
                <w:szCs w:val="19"/>
                <w:color w:val="auto"/>
              </w:rPr>
            </w:pPr>
          </w:p>
        </w:tc>
        <w:tc>
          <w:tcPr>
            <w:tcW w:w="1120" w:type="dxa"/>
            <w:vAlign w:val="bottom"/>
            <w:gridSpan w:val="2"/>
            <w:shd w:val="clear" w:color="auto" w:fill="CCEEFF"/>
          </w:tcPr>
          <w:p>
            <w:pPr>
              <w:spacing w:after="0"/>
              <w:rPr>
                <w:sz w:val="19"/>
                <w:szCs w:val="19"/>
                <w:color w:val="auto"/>
              </w:rPr>
            </w:pPr>
          </w:p>
        </w:tc>
        <w:tc>
          <w:tcPr>
            <w:tcW w:w="180" w:type="dxa"/>
            <w:vAlign w:val="bottom"/>
            <w:gridSpan w:val="2"/>
            <w:shd w:val="clear" w:color="auto" w:fill="CCEEFF"/>
          </w:tcPr>
          <w:p>
            <w:pPr>
              <w:spacing w:after="0"/>
              <w:rPr>
                <w:sz w:val="19"/>
                <w:szCs w:val="19"/>
                <w:color w:val="auto"/>
              </w:rPr>
            </w:pPr>
          </w:p>
        </w:tc>
        <w:tc>
          <w:tcPr>
            <w:tcW w:w="1080" w:type="dxa"/>
            <w:vAlign w:val="bottom"/>
            <w:gridSpan w:val="2"/>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880" w:type="dxa"/>
            <w:vAlign w:val="bottom"/>
            <w:gridSpan w:val="12"/>
          </w:tcPr>
          <w:p>
            <w:pPr>
              <w:ind w:left="1960"/>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earnings per common share from continuing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6"/>
              </w:rPr>
              <w:t>Diluted earnings per common share from continuing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5"/>
              </w:rPr>
              <w:t>Basic earnings per common share from discontinued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Diluted earnings per common share from discontinued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10,994,607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12,184,727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11,705,853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11,882,375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11,101,791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12,187,446</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11,770,145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12,214,401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w:t>
            </w:r>
          </w:p>
        </w:tc>
      </w:tr>
      <w:tr>
        <w:trPr>
          <w:trHeight w:val="237"/>
        </w:trPr>
        <w:tc>
          <w:tcPr>
            <w:tcW w:w="49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March 31,</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49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3"/>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w w:val="94"/>
              </w:rPr>
              <w:t>Adjustments to reconcile net income from continuing operations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cash provided by (used in) operations: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43"/>
        </w:trPr>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496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43"/>
        </w:trPr>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(Gain) loss on disposal of assets and fixed assets write-offs</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96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Note receivable - Ken-A-Vision</w:t>
            </w:r>
          </w:p>
        </w:tc>
        <w:tc>
          <w:tcPr>
            <w:tcW w:w="1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4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(737)</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(1,647)</w:t>
            </w:r>
          </w:p>
        </w:tc>
      </w:tr>
      <w:tr>
        <w:trPr>
          <w:trHeight w:val="243"/>
        </w:trPr>
        <w:tc>
          <w:tcPr>
            <w:tcW w:w="4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3,696</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product revenue</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7"/>
        </w:trPr>
        <w:tc>
          <w:tcPr>
            <w:tcW w:w="496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Net cash provided by continuing operating activities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w:t>
            </w:r>
          </w:p>
        </w:tc>
        <w:tc>
          <w:tcPr>
            <w:tcW w:w="14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43"/>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discontinued operating activities</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37"/>
        </w:trPr>
        <w:tc>
          <w:tcPr>
            <w:tcW w:w="496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5,867</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37"/>
        </w:trPr>
        <w:tc>
          <w:tcPr>
            <w:tcW w:w="49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(22,650)</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w:t>
            </w: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Sale of marketable securities</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22,550</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195"/>
        </w:trPr>
        <w:tc>
          <w:tcPr>
            <w:tcW w:w="49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rPr>
              <w:t>Net cash provided by (used in) continuing investing</w:t>
            </w: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shd w:val="clear" w:color="auto" w:fill="CCEEFF"/>
          </w:tcPr>
          <w:p>
            <w:pPr>
              <w:spacing w:after="0"/>
              <w:rPr>
                <w:sz w:val="16"/>
                <w:szCs w:val="16"/>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w:t>
            </w: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r>
      <w:tr>
        <w:trPr>
          <w:trHeight w:val="237"/>
        </w:trPr>
        <w:tc>
          <w:tcPr>
            <w:tcW w:w="4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37"/>
        </w:trPr>
        <w:tc>
          <w:tcPr>
            <w:tcW w:w="49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Proceeds from common stock</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and retirement of stock</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(5,881)</w:t>
            </w:r>
          </w:p>
        </w:tc>
        <w:tc>
          <w:tcPr>
            <w:tcW w:w="16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96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(5,845)</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5"/>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1,240</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37"/>
        </w:trPr>
        <w:tc>
          <w:tcPr>
            <w:tcW w:w="4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the end of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4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w:t>
            </w: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tcBorders>
              <w:right w:val="single" w:sz="8" w:color="CCEEFF"/>
            </w:tcBorders>
            <w:shd w:val="clear" w:color="auto" w:fill="CCEEFF"/>
          </w:tcPr>
          <w:p>
            <w:pPr>
              <w:spacing w:after="0"/>
              <w:rPr>
                <w:sz w:val="19"/>
                <w:szCs w:val="19"/>
                <w:color w:val="auto"/>
              </w:rPr>
            </w:pPr>
          </w:p>
        </w:tc>
      </w:tr>
    </w:tbl>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w:t>
            </w:r>
          </w:p>
        </w:tc>
        <w:tc>
          <w:tcPr>
            <w:tcW w:w="60" w:type="dxa"/>
            <w:vAlign w:val="bottom"/>
          </w:tcPr>
          <w:p>
            <w:pPr>
              <w:spacing w:after="0"/>
              <w:rPr>
                <w:sz w:val="20"/>
                <w:szCs w:val="20"/>
                <w:color w:val="auto"/>
              </w:rPr>
            </w:pPr>
          </w:p>
        </w:tc>
      </w:tr>
      <w:tr>
        <w:trPr>
          <w:trHeight w:val="237"/>
        </w:trPr>
        <w:tc>
          <w:tcPr>
            <w:tcW w:w="49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March 31,</w:t>
            </w:r>
          </w:p>
        </w:tc>
        <w:tc>
          <w:tcPr>
            <w:tcW w:w="90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49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23"/>
                <w:szCs w:val="23"/>
                <w:color w:val="auto"/>
              </w:rPr>
            </w:pP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12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(3,176)</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(346)</w:t>
            </w:r>
          </w:p>
        </w:tc>
      </w:tr>
      <w:tr>
        <w:trPr>
          <w:trHeight w:val="243"/>
        </w:trPr>
        <w:tc>
          <w:tcPr>
            <w:tcW w:w="4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2,264</w:t>
            </w:r>
          </w:p>
        </w:tc>
      </w:tr>
      <w:tr>
        <w:trPr>
          <w:trHeight w:val="243"/>
        </w:trPr>
        <w:tc>
          <w:tcPr>
            <w:tcW w:w="4960" w:type="dxa"/>
            <w:vAlign w:val="bottom"/>
          </w:tcPr>
          <w:p>
            <w:pPr>
              <w:ind w:left="160"/>
              <w:spacing w:after="0"/>
              <w:rPr>
                <w:sz w:val="20"/>
                <w:szCs w:val="20"/>
                <w:color w:val="auto"/>
              </w:rPr>
            </w:pPr>
            <w:r>
              <w:rPr>
                <w:rFonts w:ascii="Arial" w:cs="Arial" w:eastAsia="Arial" w:hAnsi="Arial"/>
                <w:sz w:val="18"/>
                <w:szCs w:val="18"/>
                <w:color w:val="auto"/>
              </w:rPr>
              <w:t>Lease incentive for Edgewater leasehold improvements</w:t>
            </w: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bl>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condensed consolidated financial statements, consisting of the condensed consolidated balance sheets as of March 31, 2007 and June 30, 2006, the condensed consolidated statements of income for the three and nine months ended March 31, 2007 and 2006, and the condensed consolidated statements of cash flows for the nine months ended March 31, 2007 and 2006, have been prepared in accordance with accounting principles generally accepted in the United States for interim financial information and with the instructions to Form 10-Q.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2006.</w:t>
      </w:r>
    </w:p>
    <w:p>
      <w:pPr>
        <w:spacing w:after="0" w:line="24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 as of March 31, 2007 and June 30, 2006 (in thousands):</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March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0"/>
                <w:szCs w:val="20"/>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June 30,</w:t>
            </w:r>
          </w:p>
        </w:tc>
      </w:tr>
      <w:tr>
        <w:trPr>
          <w:trHeight w:val="264"/>
        </w:trPr>
        <w:tc>
          <w:tcPr>
            <w:tcW w:w="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2006</w:t>
            </w: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400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3,284</w:t>
            </w: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Total inventory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6,614</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-205105</wp:posOffset>
            </wp:positionV>
            <wp:extent cx="3429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Share-Based Payment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March 31, 2007, the Company had one active share-based compensation plan, the 1998 Stock Option Plan (the “1998 Plan”). Provisions of the 1998 Plan include the granting of up to 2,500,000 incentive and non-qualified stock options. Options may be granted to directors, officers, and key employees and may be granted upon such terms as the Board of Directors, in their sole discretion, determine.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March 31, 2007, 22,500 and 150,250 of these options that cliff vest after 9.8 and 6.0 years, respectively, remain outstanding.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ind w:right="60"/>
        <w:spacing w:after="0" w:line="288" w:lineRule="auto"/>
        <w:rPr>
          <w:sz w:val="20"/>
          <w:szCs w:val="20"/>
          <w:color w:val="auto"/>
        </w:rPr>
      </w:pPr>
      <w:r>
        <w:rPr>
          <w:rFonts w:ascii="Arial" w:cs="Arial" w:eastAsia="Arial" w:hAnsi="Arial"/>
          <w:sz w:val="16"/>
          <w:szCs w:val="16"/>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w:t>
      </w:r>
    </w:p>
    <w:p>
      <w:pPr>
        <w:ind w:right="160"/>
        <w:spacing w:after="0" w:line="253" w:lineRule="auto"/>
        <w:rPr>
          <w:sz w:val="20"/>
          <w:szCs w:val="20"/>
          <w:color w:val="auto"/>
        </w:rPr>
      </w:pPr>
      <w:r>
        <w:rPr>
          <w:rFonts w:ascii="Arial" w:cs="Arial" w:eastAsia="Arial" w:hAnsi="Arial"/>
          <w:sz w:val="18"/>
          <w:szCs w:val="18"/>
          <w:color w:val="auto"/>
        </w:rPr>
        <w:t>corporate transaction, the Company’s Board of Directors have the authority to elect that all unvested options shall vest and become exercisable immediately prior to the event or closing of the transaction. All options outstanding as of March 31, 2007 had contractual lives of ten years. Under the 1998 Plan, 2,500,000 shares were authorized for grant. The 1998 Plan expires June 10, 2008, or when all the shares available under the plan have been issued if this occurs earlier. As of March 31, 2007, there were 1,303,248 options outstanding under the 1998 Plan, which includes the cliff vesting and 3 or 4-year vesting options discussed above.</w:t>
      </w:r>
    </w:p>
    <w:p>
      <w:pPr>
        <w:spacing w:after="0" w:line="2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also has an Employee Stock Purchase Plan (“ESPP”). Employees can purchase common stock through payroll deductions of up to 10 percent of their base pay. Amounts deducted and accumulated by the employees are used to purchase shares of common stock on or about the first day of each month. The Company contributes to the account of the employee one share of common stock for every nine shares purchased by the employee under the ESPP. The program was suspended during the period the Company failed to remain current in its filing of periodic reports with the SEC and reinstated in fiscal year 2007 after the Company became current.</w:t>
      </w:r>
    </w:p>
    <w:p>
      <w:pPr>
        <w:spacing w:after="0" w:line="2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Discontinued Operations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first fiscal quarter of 2007, the Company completed the sales of its document and educational camera product line to Ken-A-Vision Manufacturing. Additionally, during fiscal 2005, the Company completed the sale of its conferencing services business component to Premiere Conferencing (“Premiere”) and its Canadian audiovisual integration services, OM Video, to 6351352 Canada Inc, a Canada corporation (the “OM Purchaser”). During fiscal 2006, the Company received the $1,000 Indemnity Escrow payment from Premiere and certain payments on the note receivable from the new owners of OM Video. Accordingly, the results of operations and the financial position have been reclassified in the accompanying condensed consolidated financial statements as discontinued operations. Finally, during fiscal 2001, the Company sold certain assets to Burk Technology, Inc. (“Burk”) whose sales proceeds are included with discontinued operations. Summary operating results of the discontinued operations are as follows (in thousands of dollars):</w:t>
      </w:r>
    </w:p>
    <w:p>
      <w:pPr>
        <w:spacing w:after="0" w:line="271"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0"/>
                <w:szCs w:val="20"/>
                <w:color w:val="auto"/>
              </w:rPr>
            </w:pPr>
          </w:p>
        </w:tc>
      </w:tr>
      <w:tr>
        <w:trPr>
          <w:trHeight w:val="264"/>
        </w:trPr>
        <w:tc>
          <w:tcPr>
            <w:tcW w:w="4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0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March 31,</w:t>
            </w:r>
          </w:p>
        </w:tc>
      </w:tr>
      <w:tr>
        <w:trPr>
          <w:trHeight w:val="264"/>
        </w:trPr>
        <w:tc>
          <w:tcPr>
            <w:tcW w:w="4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r>
      <w:tr>
        <w:trPr>
          <w:trHeight w:val="480"/>
        </w:trPr>
        <w:tc>
          <w:tcPr>
            <w:tcW w:w="41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r>
      <w:tr>
        <w:trPr>
          <w:trHeight w:val="237"/>
        </w:trPr>
        <w:tc>
          <w:tcPr>
            <w:tcW w:w="41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discontinued operations: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Conferencing Services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1,030</w:t>
            </w: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OM Video</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r>
      <w:tr>
        <w:trPr>
          <w:trHeight w:val="24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Burk</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w:t>
            </w:r>
          </w:p>
        </w:tc>
      </w:tr>
      <w:tr>
        <w:trPr>
          <w:trHeight w:val="195"/>
        </w:trPr>
        <w:tc>
          <w:tcPr>
            <w:tcW w:w="4140" w:type="dxa"/>
            <w:vAlign w:val="bottom"/>
            <w:tcBorders>
              <w:top w:val="single" w:sz="8" w:color="CCEEFF"/>
            </w:tcBorders>
          </w:tcPr>
          <w:p>
            <w:pPr>
              <w:ind w:left="320"/>
              <w:spacing w:after="0" w:line="195" w:lineRule="exact"/>
              <w:rPr>
                <w:sz w:val="20"/>
                <w:szCs w:val="20"/>
                <w:color w:val="auto"/>
              </w:rPr>
            </w:pPr>
            <w:r>
              <w:rPr>
                <w:rFonts w:ascii="Arial" w:cs="Arial" w:eastAsia="Arial" w:hAnsi="Arial"/>
                <w:sz w:val="18"/>
                <w:szCs w:val="18"/>
                <w:color w:val="auto"/>
              </w:rPr>
              <w:t>Total gain (loss) on disposal of discontinued</w:t>
            </w: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2,676</w:t>
            </w:r>
          </w:p>
        </w:tc>
      </w:tr>
      <w:tr>
        <w:trPr>
          <w:trHeight w:val="237"/>
        </w:trPr>
        <w:tc>
          <w:tcPr>
            <w:tcW w:w="4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Ken-A-Vision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Conferencing Services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r>
      <w:tr>
        <w:trPr>
          <w:trHeight w:val="24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OM Video</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Burk</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r>
      <w:tr>
        <w:trPr>
          <w:trHeight w:val="20"/>
        </w:trPr>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tax benefit (provision)</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(1,098)</w:t>
            </w:r>
          </w:p>
        </w:tc>
      </w:tr>
      <w:tr>
        <w:trPr>
          <w:trHeight w:val="237"/>
        </w:trPr>
        <w:tc>
          <w:tcPr>
            <w:tcW w:w="41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16"/>
        </w:trPr>
        <w:tc>
          <w:tcPr>
            <w:tcW w:w="53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Total income (loss) from discontinued operations, net of income taxes: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r>
      <w:tr>
        <w:trPr>
          <w:trHeight w:val="24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Conferencing Services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r>
      <w:tr>
        <w:trPr>
          <w:trHeight w:val="243"/>
        </w:trPr>
        <w:tc>
          <w:tcPr>
            <w:tcW w:w="4140" w:type="dxa"/>
            <w:vAlign w:val="bottom"/>
          </w:tcPr>
          <w:p>
            <w:pPr>
              <w:ind w:left="160"/>
              <w:spacing w:after="0"/>
              <w:rPr>
                <w:sz w:val="20"/>
                <w:szCs w:val="20"/>
                <w:color w:val="auto"/>
              </w:rPr>
            </w:pPr>
            <w:r>
              <w:rPr>
                <w:rFonts w:ascii="Arial" w:cs="Arial" w:eastAsia="Arial" w:hAnsi="Arial"/>
                <w:sz w:val="18"/>
                <w:szCs w:val="18"/>
                <w:color w:val="auto"/>
              </w:rPr>
              <w:t>OM Video</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r>
      <w:tr>
        <w:trPr>
          <w:trHeight w:val="243"/>
        </w:trPr>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Burk</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w:t>
            </w:r>
          </w:p>
        </w:tc>
      </w:tr>
      <w:tr>
        <w:trPr>
          <w:trHeight w:val="237"/>
        </w:trPr>
        <w:tc>
          <w:tcPr>
            <w:tcW w:w="41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w w:val="96"/>
              </w:rPr>
              <w:t>Total income (loss) from discontinued operations,</w:t>
            </w: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63"/>
        </w:trPr>
        <w:tc>
          <w:tcPr>
            <w:tcW w:w="4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of income taxes</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 The Company recently reevaluated its options and concluded that its best course of action is to enforce its security and appoint a receiver over the assets of OM Video. As of March 31, 2007, the amount of the promissory note and contingent earn-out provision was approximately $800 which is net of $420 collected through receivership. The Company expects to collect up to an additional $150, which is net of receiver fees, over the next several periods.</w:t>
      </w:r>
    </w:p>
    <w:p>
      <w:pPr>
        <w:sectPr>
          <w:pgSz w:w="11900" w:h="16838" w:orient="portrait"/>
          <w:cols w:equalWidth="0" w:num="1">
            <w:col w:w="11400"/>
          </w:cols>
          <w:pgMar w:left="240" w:top="661" w:right="259"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Shareholders’ Equity</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shareholders’ equity of $28.20 million at March 31, 2007 declined approximately $2.2 million from June 30, 2006. During the first nine months of fiscal 2007, the Company repurchased 1.3 million shares at aggregate cost of $5.84 million, the majority of which were repurchased in a tender offer during fiscal 2Q 2007. The cost of the share repurchases were offset by approximately $600 in stock-based compensation and $3.0 million in net income for the nine months ended March 31, 2007.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Reclassifications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reported June 30, 2006 balance sheet have been reclassified to conform with the March 31, 2007 presentation.</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Recent Accounting Pronouncements</w:t>
      </w:r>
    </w:p>
    <w:p>
      <w:pPr>
        <w:spacing w:after="0" w:line="2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July 2006, the FASB issued Interpretation No. 48 (“FIN 48”),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which clarifies the accounting for uncertainty in income taxes recognized in the financial statements in accordance with FASB Statement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FIN 48 provides guidance on the financial statement recognition and measurement of a tax position taken or expected to be taken in a tax return. FIN 48 also provides guidance on recognition, classification, interest and penalties, accounting in interim periods, disclosures, and transition. FIN 48 is effective for fiscal years beginning after December 15, 2006. We are currently evaluating the impact of FIN 48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 and our audited consolidated financial statements included in our Annual Report on Form 10-K for the year ended June 30, 2006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an audio conferencing products company. We develop, manufacture, market, and service a comprehensive line of audio conferencing products, which range from personal speakerphones to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of goods sold could differ from actual amounts, we believe that our calculations are indicative of actual levels of inventory in the distribution channel. As of March 31, 2007, the Company deferred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13" w:name="page14"/>
    <w:bookmarkEnd w:id="13"/>
    <w:p>
      <w:pPr>
        <w:spacing w:after="0" w:line="264" w:lineRule="auto"/>
        <w:rPr>
          <w:sz w:val="20"/>
          <w:szCs w:val="20"/>
          <w:color w:val="auto"/>
        </w:rPr>
      </w:pPr>
      <w:r>
        <w:rPr>
          <w:rFonts w:ascii="Arial" w:cs="Arial" w:eastAsia="Arial" w:hAnsi="Arial"/>
          <w:sz w:val="18"/>
          <w:szCs w:val="18"/>
          <w:color w:val="auto"/>
        </w:rPr>
        <w:t>$5.1 million in revenue and $2.3 million in cost of goods sold related to products sold where return rights had not lapsed. The amounts of deferred cost of goods sold were included in consigned inventory. The following table details the amount of deferred revenue and cost of goods sold at each period end for the 21-month period ended March 31, 2007 (in thousands).</w:t>
      </w:r>
    </w:p>
    <w:p>
      <w:pPr>
        <w:spacing w:after="0" w:line="23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4"/>
              </w:rPr>
              <w:t>Deferred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Cost of</w:t>
            </w:r>
          </w:p>
        </w:tc>
        <w:tc>
          <w:tcPr>
            <w:tcW w:w="1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Deferred</w:t>
            </w: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9"/>
              </w:rPr>
              <w:t>Deferred</w:t>
            </w: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Goods</w:t>
            </w:r>
          </w:p>
        </w:tc>
        <w:tc>
          <w:tcPr>
            <w:tcW w:w="1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Gross</w:t>
            </w:r>
          </w:p>
        </w:tc>
      </w:tr>
      <w:tr>
        <w:trPr>
          <w:trHeight w:val="234"/>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Sold</w:t>
            </w:r>
          </w:p>
        </w:tc>
        <w:tc>
          <w:tcPr>
            <w:tcW w:w="100" w:type="dxa"/>
            <w:vAlign w:val="bottom"/>
          </w:tcPr>
          <w:p>
            <w:pPr>
              <w:spacing w:after="0"/>
              <w:rPr>
                <w:sz w:val="20"/>
                <w:szCs w:val="20"/>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Profit</w:t>
            </w: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2,846</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December 31, 2006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4,711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2,545</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June 30, 2006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5,871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3,054</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March 31, 2006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4,936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2,737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June 30, 2005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5,055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2,297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2,758</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March 31, 2005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December 31, 2004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4,742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2,977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60" w:type="dxa"/>
            <w:vAlign w:val="bottom"/>
            <w:shd w:val="clear" w:color="auto" w:fill="CCEEFF"/>
          </w:tcPr>
          <w:p>
            <w:pPr>
              <w:spacing w:after="0"/>
              <w:rPr>
                <w:sz w:val="21"/>
                <w:szCs w:val="21"/>
                <w:color w:val="auto"/>
              </w:rPr>
            </w:pPr>
          </w:p>
        </w:tc>
      </w:tr>
      <w:tr>
        <w:trPr>
          <w:trHeight w:val="243"/>
        </w:trPr>
        <w:tc>
          <w:tcPr>
            <w:tcW w:w="2360" w:type="dxa"/>
            <w:vAlign w:val="bottom"/>
            <w:gridSpan w:val="2"/>
          </w:tcPr>
          <w:p>
            <w:pPr>
              <w:spacing w:after="0"/>
              <w:rPr>
                <w:sz w:val="20"/>
                <w:szCs w:val="20"/>
                <w:color w:val="auto"/>
              </w:rPr>
            </w:pPr>
            <w:r>
              <w:rPr>
                <w:rFonts w:ascii="Arial" w:cs="Arial" w:eastAsia="Arial" w:hAnsi="Arial"/>
                <w:sz w:val="18"/>
                <w:szCs w:val="18"/>
                <w:color w:val="auto"/>
              </w:rPr>
              <w:t>June 30, 2004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6,107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2,381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3,726</w:t>
            </w:r>
          </w:p>
        </w:tc>
        <w:tc>
          <w:tcPr>
            <w:tcW w:w="60" w:type="dxa"/>
            <w:vAlign w:val="bottom"/>
          </w:tcPr>
          <w:p>
            <w:pPr>
              <w:spacing w:after="0"/>
              <w:rPr>
                <w:sz w:val="21"/>
                <w:szCs w:val="21"/>
                <w:color w:val="auto"/>
              </w:rPr>
            </w:pPr>
          </w:p>
        </w:tc>
      </w:tr>
    </w:tbl>
    <w:p>
      <w:pPr>
        <w:spacing w:after="0" w:line="256"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and direct dealers/resellers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6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Impairment of Long-Lived Asset</w:t>
      </w:r>
    </w:p>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long-lived assets, such as property,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 expense for the allowance within the tax provision in the condensed consolidated statement of operations. The reversal of a previously established valuation allowance results in a benefit for income taxes. As of March 31, 2007 we continued to be fully reserved against our net deferred tax assets which total to approximately $5.2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 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 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 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5" w:name="page16"/>
    <w:bookmarkEnd w:id="15"/>
    <w:p>
      <w:pPr>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expected life of the awards, the expected volatility over the term of the awards, the expected dividends of the awards, the risk-free interest rate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our second and fourth quarters. There can be no assurance that any historic sales patterns will continue and, as a result, sales for any prior quarter are not necessarily indicative of the sales to be expected in any future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RESULTS OF OPERATIONS</w:t>
      </w:r>
    </w:p>
    <w:p>
      <w:pPr>
        <w:spacing w:after="0" w:line="27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Results of Operations for the three months or the third fiscal quarter (“3Q”) and nine months of the fiscal year (“9M”) ended March 31, 2007 and 2006</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(in thousands) for the three and nine months ended March 31, 2007 and 2006, together with the percentage of total revenue which each such item represents: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6" w:name="page17"/>
    <w:bookmarkEnd w:id="16"/>
    <w:p>
      <w:pPr>
        <w:jc w:val="center"/>
        <w:ind w:right="120"/>
        <w:spacing w:after="0"/>
        <w:rPr>
          <w:sz w:val="20"/>
          <w:szCs w:val="20"/>
          <w:color w:val="auto"/>
        </w:rPr>
      </w:pPr>
      <w:r>
        <w:rPr>
          <w:rFonts w:ascii="Arial" w:cs="Arial" w:eastAsia="Arial" w:hAnsi="Arial"/>
          <w:sz w:val="18"/>
          <w:szCs w:val="18"/>
          <w:b w:val="1"/>
          <w:bCs w:val="1"/>
          <w:color w:val="auto"/>
        </w:rPr>
        <w:t>CLEARONE COMMUNICATIONS, INC.</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0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5"/>
              </w:rPr>
              <w:t>Three Months Ended</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w w:val="94"/>
              </w:rPr>
              <w:t>Nine Months Ended</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rPr>
              <w:t>March</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March</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8"/>
              </w:rPr>
              <w:t>March</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98"/>
              </w:rPr>
              <w:t>March</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3"/>
                <w:szCs w:val="23"/>
                <w:color w:val="auto"/>
              </w:rPr>
            </w:pPr>
          </w:p>
        </w:tc>
        <w:tc>
          <w:tcPr>
            <w:tcW w:w="7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3"/>
                <w:szCs w:val="23"/>
                <w:color w:val="auto"/>
              </w:rPr>
            </w:pPr>
          </w:p>
        </w:tc>
        <w:tc>
          <w:tcPr>
            <w:tcW w:w="7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3"/>
                <w:szCs w:val="23"/>
                <w:color w:val="auto"/>
              </w:rPr>
            </w:pPr>
          </w:p>
        </w:tc>
        <w:tc>
          <w:tcPr>
            <w:tcW w:w="7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4"/>
              </w:rPr>
              <w:t>% of</w:t>
            </w: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0"/>
              </w:rPr>
              <w:t>Revenue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Revenue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26,158</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CCEEFF"/>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100" w:type="dxa"/>
            <w:vAlign w:val="bottom"/>
            <w:tcBorders>
              <w:top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4,025</w:t>
            </w:r>
          </w:p>
        </w:tc>
        <w:tc>
          <w:tcPr>
            <w:tcW w:w="120" w:type="dxa"/>
            <w:vAlign w:val="bottom"/>
            <w:tcBorders>
              <w:top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15,507</w:t>
            </w:r>
          </w:p>
        </w:tc>
        <w:tc>
          <w:tcPr>
            <w:tcW w:w="120" w:type="dxa"/>
            <w:vAlign w:val="bottom"/>
            <w:tcBorders>
              <w:top w:val="single" w:sz="8" w:color="CCEEFF"/>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13,421</w:t>
            </w:r>
          </w:p>
        </w:tc>
        <w:tc>
          <w:tcPr>
            <w:tcW w:w="100" w:type="dxa"/>
            <w:vAlign w:val="bottom"/>
            <w:tcBorders>
              <w:top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Settlement in shareholders' class action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30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Revenue for 3Q 2007 increased by 13%, or approximately $1.1 million, compared to 3Q 2006. The 3Q 2007 increase was due mainly to growth in the Company’s professional audio and premium conferencing products which collectively increased approximately $1.3 million over 3Q 2006. The 3Q 2007 increases were offset by an approximate $150,000 collective decline in the Company’s tabletop and conferencing furniture lines over the same period of 2006.</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9M 2007 revenue increased by 10%, or approximately $2.7 million compared to 9M 2006. The 9M 2007 revenue increase was led by growth in professional audio and tabletop product sales which increased $2.7 million over 9M 2006. The Company also realized gains in its personal conferencing, OEM and accessories products which collectively increased about $450,000. These increases were offset by reduced premium conferencing, conferencing furniture and other product sales which together declined about $400,000 in 9M 2007.</w:t>
      </w:r>
    </w:p>
    <w:p>
      <w:pPr>
        <w:spacing w:after="0" w:line="24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3Q 2007 and 2006, the net change in deferred revenue based on the net movement of inventory in the channel was a net deferral of ($400,000) and ($419,000) in revenue, respectively. For 9M 2007 and 2006, the net change in deferred revenue based on the net movement of inventory in the channel was a net recognition (deferral) of $760,000 and ($300,000) in revenue, respectively.</w:t>
      </w:r>
    </w:p>
    <w:p>
      <w:pPr>
        <w:spacing w:after="0" w:line="2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revenues from sales outside of the United States accounted for 30% total revenue for the three and nine months ended March 31, 2007, respectively and 32% and 26% of total revenue for the three and nine months ended March 31, 2006,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displays our COGS and gross profit together with each item’s amount as a percentage of total revenue:</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10"/>
          </w:tcPr>
          <w:p>
            <w:pPr>
              <w:jc w:val="center"/>
              <w:ind w:right="380"/>
              <w:spacing w:after="0"/>
              <w:rPr>
                <w:sz w:val="20"/>
                <w:szCs w:val="20"/>
                <w:color w:val="auto"/>
              </w:rPr>
            </w:pPr>
            <w:r>
              <w:rPr>
                <w:rFonts w:ascii="Arial" w:cs="Arial" w:eastAsia="Arial" w:hAnsi="Arial"/>
                <w:sz w:val="18"/>
                <w:szCs w:val="18"/>
                <w:b w:val="1"/>
                <w:bCs w:val="1"/>
                <w:color w:val="auto"/>
                <w:w w:val="92"/>
              </w:rPr>
              <w:t>Three Months Ended March 31,</w:t>
            </w:r>
          </w:p>
        </w:tc>
        <w:tc>
          <w:tcPr>
            <w:tcW w:w="2980" w:type="dxa"/>
            <w:vAlign w:val="bottom"/>
            <w:gridSpan w:val="8"/>
          </w:tcPr>
          <w:p>
            <w:pPr>
              <w:jc w:val="center"/>
              <w:ind w:right="50"/>
              <w:spacing w:after="0"/>
              <w:rPr>
                <w:sz w:val="20"/>
                <w:szCs w:val="20"/>
                <w:color w:val="auto"/>
              </w:rPr>
            </w:pPr>
            <w:r>
              <w:rPr>
                <w:rFonts w:ascii="Arial" w:cs="Arial" w:eastAsia="Arial" w:hAnsi="Arial"/>
                <w:sz w:val="18"/>
                <w:szCs w:val="18"/>
                <w:b w:val="1"/>
                <w:bCs w:val="1"/>
                <w:color w:val="auto"/>
                <w:w w:val="92"/>
              </w:rPr>
              <w:t>Nine Months Ended March 31,</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7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87"/>
              </w:rPr>
              <w:t>(in thousands)</w:t>
            </w:r>
          </w:p>
        </w:tc>
        <w:tc>
          <w:tcPr>
            <w:tcW w:w="7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Revenue</w:t>
            </w:r>
          </w:p>
        </w:tc>
        <w:tc>
          <w:tcPr>
            <w:tcW w:w="80" w:type="dxa"/>
            <w:vAlign w:val="bottom"/>
          </w:tcPr>
          <w:p>
            <w:pPr>
              <w:spacing w:after="0"/>
              <w:rPr>
                <w:sz w:val="20"/>
                <w:szCs w:val="20"/>
                <w:color w:val="auto"/>
              </w:rPr>
            </w:pPr>
          </w:p>
        </w:tc>
      </w:tr>
      <w:tr>
        <w:trPr>
          <w:trHeight w:val="237"/>
        </w:trPr>
        <w:tc>
          <w:tcPr>
            <w:tcW w:w="2820" w:type="dxa"/>
            <w:vAlign w:val="bottom"/>
            <w:gridSpan w:val="2"/>
          </w:tcPr>
          <w:p>
            <w:pPr>
              <w:spacing w:after="0"/>
              <w:rPr>
                <w:sz w:val="20"/>
                <w:szCs w:val="20"/>
                <w:color w:val="auto"/>
              </w:rPr>
            </w:pPr>
          </w:p>
        </w:tc>
        <w:tc>
          <w:tcPr>
            <w:tcW w:w="22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4,190</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44.8%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0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51.4%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13,366</w:t>
            </w:r>
          </w:p>
        </w:tc>
        <w:tc>
          <w:tcPr>
            <w:tcW w:w="8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12,737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5,165</w:t>
            </w: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55.2%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0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48.6%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15,507</w:t>
            </w:r>
          </w:p>
        </w:tc>
        <w:tc>
          <w:tcPr>
            <w:tcW w:w="8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53.7%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13,421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gross profit margin (GPM), gross profit as a percentage of sales, was 55.2% and 53.7% in 3Q and 9M 2007, respectively, compared to 48.6% and 51.3% in 3Q and 9M 2006, respectively. GPM for 3Q 2007 was significantly higher than the same period of 2006 due primarily to a $400,000 decrease in inventory cost variances and product write-off’s in addition to the favorable mix and magnitude of the $1.1 million or 13% increase in 3Q 2007 revenue. The increase in GPM for 9M 2007 over the same period of 2006 was also due primarily to a favorable mix of higher margin product revenue in 9M 2007, led by the Company’s professional audio conferencing products, in addition to lower inventory cost variances and product write-off’s.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3Q 2007 operating expenses were $4.6 million, a decrease of $566,000, or 10.9%, from $5.2 million for 3Q 2006. 9M 2007 operating expenses of $13.8 million were $650,000 or 5% lower than the 9M 2006 total of $14.4 million. The 9M 2006 figure included a $1.2 million benefit related to the settlement in the shareholders’ class action. Without the 9M 2006 settlement benefit, 9M 2006 operating expenses were $15.6 million, or 12% higher than 9M 2007. The following is a more detailed discussion of expenses related to marketing and selling, general and administrative, and research and product development.</w:t>
      </w:r>
    </w:p>
    <w:p>
      <w:pPr>
        <w:spacing w:after="0" w:line="204"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u w:val="single" w:color="auto"/>
          <w:color w:val="auto"/>
        </w:rPr>
        <w:t>Marketing and selling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selling expenses include selling, customer service, and marketing expenses such as employee-related costs,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allocations of overhead expenses, trade shows, and other advertising and selling expenses. 3Q 2007 marketing and selling expenses increased $84,000, or 4%, to $2.0 million compared to 3Q 2006 expenses of $1.9 million. As a percentage of revenues, 3Q 2007 and 2006 marketing and selling expenses were 21.4% and 23.2%, respectively. The lower 3Q 2007 percentage can be attributed to the 13% higher revenues in 3Q2007 over the same period of 2006 without an associated increase in marketing and selling expenses. 9M 2007 and 2006 marketing and selling expenses were also about the same at $5.7 million and $5.5 million, respectively. As a percentage of revenues, 9M 2007 and 2006 marketing and selling expenses were 19.8% and 21.2%, respectively. The lower 9M 2007 percentage is primarily due to the 10% higher revenues over the same period of 2006.</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u w:val="single" w:color="auto"/>
          <w:color w:val="auto"/>
        </w:rPr>
        <w:t>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G&amp;A expenses include employee-related costs, professional service fees, allocations of overhead expenses, 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including costs associated with the SEC investigation and subsequent litigation, and corporate administrative costs, including finance and human resources. 3Q 2007 G&amp;A expenses decreased $297,000, or 28%, to $763,000 compared to 3Q 2006 expenses of $1.1 million. 3Q 2007 and 2006 G&amp;A expenses were 8.2% and 12.8% of sales, respectively. The significant 3Q 2007 decrease was largely due to lower audit fees of $193,000 as higher fees were required in much of fiscal 2006 to bring the Company’s financial statements current, lower depreciation of $228,000 related to much of the Company’s computer and related equipment becoming fully depreciated and lower payroll and related expenses of $113,000 associated with lower G&amp;A headcount. 9M 2007 G&amp;A expenses decreased $2.0 million, or 47%, to $2.3 million compared to 9M 2006 expenses of $4.3 million. 9M 2007 and 2006 G&amp;A expenses were 7.8% and 16.4% of sales, respectively. The $2.0 million decrease in 9M 2007 was due mainly to lower audit fees of $1.1 million, lower payroll and related expenses of $400,000 and lower depreciation expense of $348,000, each of which decreased for the same reasons discussed in the 3Q change discussed above.</w:t>
      </w:r>
    </w:p>
    <w:p>
      <w:pPr>
        <w:spacing w:after="0" w:line="240"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b w:val="1"/>
          <w:bCs w:val="1"/>
          <w:u w:val="single" w:color="auto"/>
          <w:color w:val="auto"/>
        </w:rPr>
        <w:t>Research and product development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product development expenses include research and development, product line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services, and test and application expenses, including employee-related costs, outside services, expensed materials, depreciation, and an allocation of overhead expenses. 3Q 2007 research and product development expenses decreased to $1.9 million from $2.2 million in 3Q 2006. As a percentage of revenues, 3Q 2007 and 2006 research and product development expenses were 19.8% and 26.6%, respectively. The 3Q 2007 percentage and dollar decreases were due primarily to the 13% increase in revenues and lower outside engineering services. 9M 2007 and 9M 2006 research and product development expenses were about the same at $5.8 million. As a percentage of revenues, 9M 2007 and 2006 research and product development expenses were 20.0% and 22.1% of sales, respectively; the lower 9M 2007 percentage is attributable to the 10% increase in revenues from 9M 2006.</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ind w:right="220"/>
        <w:spacing w:after="0" w:line="295" w:lineRule="auto"/>
        <w:rPr>
          <w:sz w:val="20"/>
          <w:szCs w:val="20"/>
          <w:color w:val="auto"/>
        </w:rPr>
      </w:pPr>
      <w:r>
        <w:rPr>
          <w:rFonts w:ascii="Arial" w:cs="Arial" w:eastAsia="Arial" w:hAnsi="Arial"/>
          <w:sz w:val="16"/>
          <w:szCs w:val="16"/>
          <w:b w:val="1"/>
          <w:bCs w:val="1"/>
          <w:color w:val="auto"/>
        </w:rPr>
        <w:t xml:space="preserve">Operating income. </w:t>
      </w:r>
      <w:r>
        <w:rPr>
          <w:rFonts w:ascii="Arial" w:cs="Arial" w:eastAsia="Arial" w:hAnsi="Arial"/>
          <w:sz w:val="16"/>
          <w:szCs w:val="16"/>
          <w:color w:val="auto"/>
        </w:rPr>
        <w:t>3Q 2007 operating income was $550,000 compared to an operating loss of ($1.2 million) in 3Q 2006. The 3Q 2007 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of approximately $1.7 million was due mainly to the $1.1 million increase in gross profit combined with the $297,000 decrease in G&amp;A expenses and the $353,000 decrease in research and development expenses. 9M 2007 operating income was $1.8 million compared to an operating loss of ($1.0 million) in 9M 2006. As previously discussed, 9M 2006 included a $1.2 million benefit related to a settlement in the shareholders’ class action. Without the 9M 2006 settlement benefit, 9M 2007 operating income would have been approximately $3.9 million higher than 9M 2006 reflecting the 9M 2007 $2.1 million gross profit increase and $2.0 million decrease in G&amp;A expenses, slightly offset by the $170,000 increase in marketing and selling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income (expense), net. </w:t>
      </w:r>
      <w:r>
        <w:rPr>
          <w:rFonts w:ascii="Arial" w:cs="Arial" w:eastAsia="Arial" w:hAnsi="Arial"/>
          <w:sz w:val="16"/>
          <w:szCs w:val="16"/>
          <w:color w:val="auto"/>
        </w:rPr>
        <w:t>Other income (expense), net, includes interest income, interest expense, capital gains, gain (loss) on the disposal of assets,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currency gain (loss). 3Q 2007 other income was $577,000, an increase of $340,000 from other income of $237,000 in 3Q 2006. 9M 2007 other income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an increase of $635,000 from other income of $594,000 in 9M 2006. The increases in both 3Q and 9M 2007 were primarily due to an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associated with benefiting from higher interest rates on our marketable securities and receipt of $326,000 in interest income related to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tax refund.</w:t>
      </w:r>
    </w:p>
    <w:p>
      <w:pPr>
        <w:spacing w:after="0" w:line="261"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Income (loss) from continuing operations before income taxes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3Q 2007 income from continuing operations was $1.0 million compared to a (loss) in 3Q</w:t>
      </w:r>
      <w:r>
        <w:rPr>
          <w:rFonts w:ascii="Arial" w:cs="Arial" w:eastAsia="Arial" w:hAnsi="Arial"/>
          <w:sz w:val="16"/>
          <w:szCs w:val="16"/>
          <w:b w:val="1"/>
          <w:bCs w:val="1"/>
          <w:color w:val="auto"/>
        </w:rPr>
        <w:t xml:space="preserve"> </w:t>
      </w:r>
      <w:r>
        <w:rPr>
          <w:rFonts w:ascii="Arial" w:cs="Arial" w:eastAsia="Arial" w:hAnsi="Arial"/>
          <w:sz w:val="16"/>
          <w:szCs w:val="16"/>
          <w:color w:val="auto"/>
        </w:rPr>
        <w:t>2006 of ($137,000). As a percentage of revenues, 3Q 2007 and 2006 income (loss) from continuing operations was 10.3% and (1.7%), respectively. 9M 2007 income from continuing operations was $2.7 million compared to $762,000 in 9M 2006. As a percentage of revenues, 9M 2007 and 2006 income from continuing operations was 9.3% and 2.9%, respectively. We attribute the fiscal 2007 improvement in income to the results of operations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Income (loss) from discontinued operations, net of tax. </w:t>
      </w:r>
      <w:r>
        <w:rPr>
          <w:rFonts w:ascii="Arial" w:cs="Arial" w:eastAsia="Arial" w:hAnsi="Arial"/>
          <w:sz w:val="17"/>
          <w:szCs w:val="17"/>
          <w:color w:val="auto"/>
        </w:rPr>
        <w:t>During 3Q 2007 and 2006 we recorded income from discontinued operations, net of tax of</w:t>
      </w:r>
    </w:p>
    <w:p>
      <w:pPr>
        <w:spacing w:after="0" w:line="39"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$263,000 and $677,000, respectively. The 3Q 2007 income was exclusively related to funds received through the receivership of OM Video. The 3Q 2006 income of $677,000 was related to receipt of final payment on our sale of the conferencing services business in addition to income from the discontinued operations of the document and educational camera product line. For 9M 2007 and 2006 income from discontinued operations, net of tax was $304,000 and $1.8 million, respectively. The significant decrease in 9M 2007 can be attributed mainly to the 9M 2006 realized gain, net of tax, of $844,000 related to a Mutual Release and Waiver with Burk Technology, Inc. as well as the realized gain, net of tax, of $646,000 related to the final payment on our sale of the conferencing services business previously discussed. Additionally, we recognized $168,000 in income from discontinued operations from the document and educational camera product line and $188,000 of payments on our OM Video promissory note.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As of March 31, 2007, our cash and cash equivalents were approximately $1.3 million and our marketable securities were approximately $20.65 million, representing an overall increase of $172,000 in our balances from June 30, 2006 which had cash and cash equivalents of approximately $1.2 million and marketable securities of approximately $20.6 million. Despite the slight increase in cash and marketable securities in March 31, 2007 versus June 30, 2006, we experienced significant fluctuations in these balances for the first nine months of fiscal 2007. During the first nine months of fiscal 2007 the Company repurchased of 1.3 million shares of common stock for approximately $5.8 million. These share repurchases were offset by receipt of a $3.5 million federal income tax refund and associated interest in addition to other net increases in cash provided by operating and investing activities.</w:t>
      </w:r>
    </w:p>
    <w:p>
      <w:pPr>
        <w:spacing w:after="0" w:line="21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Net cash flows provided by operating activities were $5.9 million for the nine months ended March 31, 2007, an increase of $4.6 million from the net cash flows provided by operating activities of $1.3 for the nine months ended March 31, 2006. The year-over-year increase can be attributed primarily to an increase in net income from continuing operations of $1.9 million and receipt of the $3.5 million federal income tax refund and associated interest, offset by depreciation and amortization which decreased $320,000 and stock-based compensation which decreased $217,000.</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flows provided by investing activities were $50,000 for the nine months ended March 31, 2007, an increase of $1.6 million from the net cash flows (used in) investing activities of ($1.5 million) for the nine months ended March 31, 2006. The change was primarily attributable to the purchase of $3.0 million in marketable securities and $233,000 in property and equipment partially offset by $1.7 million net cash provided by discontinued investing activities during the nine months ending March 31, 2006.</w:t>
      </w:r>
    </w:p>
    <w:p>
      <w:pPr>
        <w:spacing w:after="0" w:line="24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Net cash (used in) financing activities for the nine months ended March 31, 2007 totaled ($5.8 million) and was primarily related to the Company’s repurchase of 1.3 million shares of common stock. We did not use nor receive cash from financing activities during the same period ending March 31, 2006.</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Additionally, we recorded $1.1 million in non-cash financing activities related to leasehold improvements to our new headquarters, the majority of which was paid as an incentive by the lessor as part of the lease agreement. These improvements are being accounted for in accordance with FASB Technical Bulletin No. 88-1, </w:t>
      </w:r>
      <w:r>
        <w:rPr>
          <w:rFonts w:ascii="Arial" w:cs="Arial" w:eastAsia="Arial" w:hAnsi="Arial"/>
          <w:sz w:val="17"/>
          <w:szCs w:val="17"/>
          <w:i w:val="1"/>
          <w:iCs w:val="1"/>
          <w:color w:val="auto"/>
        </w:rPr>
        <w:t>Issues Relating to Accounting for Leases</w:t>
      </w:r>
      <w:r>
        <w:rPr>
          <w:rFonts w:ascii="Arial" w:cs="Arial" w:eastAsia="Arial" w:hAnsi="Arial"/>
          <w:sz w:val="17"/>
          <w:szCs w:val="17"/>
          <w:color w:val="auto"/>
        </w:rPr>
        <w:t>, which states among other things that landlord incentives which fund leasehold improvements should be recorded as deferred rent and amortized as reductions to lease expense over the term of the lease.</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Management believes that future income from operations and effective management of working capital will provide the liquidity needed to finance growth plans. In addition to capital expenditures, the Company plans to use cash during the remainder of fiscal 2007 for selective infusions of technological, marketing or product manufacturing rights to broaden the Company's product offerings; for continued share repurchases; and if available for a reasonable price, acquisitions that may strategically fit the Company’s business and are accretive to performance.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2006.</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0" w:name="page21"/>
    <w:bookmarkEnd w:id="20"/>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9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March 31, 2007.</w:t>
      </w:r>
    </w:p>
    <w:p>
      <w:pPr>
        <w:ind w:right="480"/>
        <w:spacing w:after="0" w:line="261" w:lineRule="auto"/>
        <w:rPr>
          <w:sz w:val="20"/>
          <w:szCs w:val="20"/>
          <w:color w:val="auto"/>
        </w:rPr>
      </w:pPr>
      <w:r>
        <w:rPr>
          <w:rFonts w:ascii="Arial" w:cs="Arial" w:eastAsia="Arial" w:hAnsi="Arial"/>
          <w:sz w:val="18"/>
          <w:szCs w:val="18"/>
          <w:color w:val="auto"/>
        </w:rPr>
        <w:t>Based upon this evaluation, our management, including the Chief Executive Officer and the Chief Financial Officer, has concluded that our disclosure controls and procedures were effective as of March 31, 2007.</w:t>
      </w:r>
    </w:p>
    <w:p>
      <w:pPr>
        <w:spacing w:after="0" w:line="238"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There were no changes in the Company’s internal controls over financial reporting that occurred during the quarter ended March 31, 2007, that have materially affected, or are reasonably likely to materially affect, the Company’s internal controls over financial reporting.</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62"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addition to the legal proceedings described below, we are also involved from time to time in various claims and other legal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arise in the normal course of business. Such matters are subject to many uncertainties and outcomes that are not predictable. However, based on the information available to us as of May 11, 2007 and after discussions with legal counsel, we do not believe any such other proceedings will have a material, adverse effect on our business, results of operations, financial position, or liquidity, except as described below.</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 xml:space="preserve">Theft of Trade Secrets Complaint. </w:t>
      </w:r>
      <w:r>
        <w:rPr>
          <w:rFonts w:ascii="Arial" w:cs="Arial" w:eastAsia="Arial" w:hAnsi="Arial"/>
          <w:sz w:val="17"/>
          <w:szCs w:val="17"/>
          <w:color w:val="auto"/>
        </w:rPr>
        <w:t>On January 3, 2007, the Company filed a lawsuit in the Third Judicial District Court, Salt Lake County, State of Utah</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WideBand Solutions, Inc., Biamp Systems Corporation, Inc. and two individuals; one a former employee and one previously affiliated with the Company. The Complaint brings claims against different combinations of the defendants for, among other things, misappropriation of certain trade secrets, breach of contract, conversion, unjust enrichment and intentional interference with business and contractual relations. The relief being sought by the Company includes an order enjoining the defendants from further use of the Company’s trade secrets and an award consisting of, among other things, compensation and damages related the unjust enrichment of the defendants. The litigation is in the early stages, is subject to all of the risks and uncertainties of litigation and there can be no assurance as to the probable result of this litigation.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 including our March 31, 2007 unaudited condensed consolidated financial statements and related notes.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2006,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7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0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regulations regarding the materials used in manufacturing, the process of disposing of electronic equipment, and the efficient use of energy have emerged in the last few years. The first implementations of these regulations have taken place in Europe and have required significant effort from ClearOne to comply. Other countries and U.S. states are currently enacting or considering similar regulations, which could require additional resources and effort from ClearOne to comply.</w:t>
      </w:r>
    </w:p>
    <w:p>
      <w:pPr>
        <w:spacing w:after="0" w:line="24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European Parliament has published the RoHS Directive, which restricts the use of certain hazardous substances in electrical and electronic equipment beginning July 1, 2006. In order to comply with this directive, it has become necessary to re-design the majority of our products and switch over to components that do not contain the restricted substances, such as lead, mercury, and cadmium. This process involves procurement of the new compliant components, engineering effort to design, develop, test, and validate them, and re-submitting these re-designed products for multiple country emissions, safety, and telephone line interface compliance testing and approvals. This effort has consumed resources and time that would otherwise have been spent on new product development, which will continue until the products have been updated.</w:t>
      </w:r>
    </w:p>
    <w:p>
      <w:pPr>
        <w:spacing w:after="0" w:line="2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date, we have completed the re-design of our products and are shipping these products into the European market. Certain of our products will not be re-designed. Accordingly, sales into the European market may be negatively impacted and our results of operations could suffer. Our outsourced manufacturers may hold us responsible for the cost of purchased components that have become obsolete as a result of our re-design efforts. To the extent that we cannot manage these potential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 but also applies to many manufacturers exporting products to the European Union.</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European Parliament has also published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California law regarding efficient use of energy goes into effect in July 2007 and will require re-design of power supplies on certain products in order to comply. ClearOne has already begun this effort.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circuitry and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·meeting required specifications and regulatory standards;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·meeting market expectations for performance and price;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·hiring and keeping a sufficient number of skilled developers;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·obtaining prototype products at anticipated cost levels;</w:t>
      </w:r>
    </w:p>
    <w:p>
      <w:pPr>
        <w:spacing w:after="0" w:line="9" w:lineRule="exact"/>
        <w:rPr>
          <w:sz w:val="20"/>
          <w:szCs w:val="20"/>
          <w:color w:val="auto"/>
        </w:rPr>
      </w:pPr>
    </w:p>
    <w:p>
      <w:pPr>
        <w:ind w:left="660" w:right="4380"/>
        <w:spacing w:after="0" w:line="261" w:lineRule="auto"/>
        <w:rPr>
          <w:sz w:val="20"/>
          <w:szCs w:val="20"/>
          <w:color w:val="auto"/>
        </w:rPr>
      </w:pPr>
      <w:r>
        <w:rPr>
          <w:rFonts w:ascii="Arial" w:cs="Arial" w:eastAsia="Arial" w:hAnsi="Arial"/>
          <w:sz w:val="18"/>
          <w:szCs w:val="18"/>
          <w:color w:val="auto"/>
        </w:rPr>
        <w:t>·having the ability to identify problems or product defects in the development cycle; and ·achieving necessary manufacturing efficiencies.</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We also have agreements with offshore manufacturers for the manufacture of other product lines. If any of these outsourced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substantially all of our products.</w:t>
      </w:r>
    </w:p>
    <w:p>
      <w:pPr>
        <w:spacing w:after="0" w:line="23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cost of delivered product from our outsourced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outsourced manufacturers are unable to achieve greater operational efficiencies, delivery schedules for new product development and current product delivery could be negatively impacted.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We depend on a single source for certain components.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our products have been qualified to utilize components for which we rely upon a consistent supply from a single source. Our reliance on a single source puts us at risk if, for whatever reason, we are unable to receive these single-sourced components to meet demand which could have a material adverse effect on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International sales represent a significant portion of our total product sales.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·unique environmental regulations;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·fluctuating exchange rates;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·tariffs and other barriers;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·difficulties in staffing and managing foreign sales operations;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·import and export restrictions;</w:t>
      </w:r>
    </w:p>
    <w:p>
      <w:pPr>
        <w:spacing w:after="0" w:line="9" w:lineRule="exact"/>
        <w:rPr>
          <w:sz w:val="20"/>
          <w:szCs w:val="20"/>
          <w:color w:val="auto"/>
        </w:rPr>
      </w:pPr>
    </w:p>
    <w:p>
      <w:pPr>
        <w:ind w:left="660" w:right="4980"/>
        <w:spacing w:after="0" w:line="250" w:lineRule="auto"/>
        <w:rPr>
          <w:sz w:val="20"/>
          <w:szCs w:val="20"/>
          <w:color w:val="auto"/>
        </w:rPr>
      </w:pPr>
      <w:r>
        <w:rPr>
          <w:rFonts w:ascii="Arial" w:cs="Arial" w:eastAsia="Arial" w:hAnsi="Arial"/>
          <w:sz w:val="18"/>
          <w:szCs w:val="18"/>
          <w:color w:val="auto"/>
        </w:rPr>
        <w:t>·greater difficulties in accounts receivable collection and longer payment cycles; ·potentially adverse tax consequences;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hostilities and changes in diplomatic and trade relationships;</w:t>
      </w:r>
    </w:p>
    <w:p>
      <w:pPr>
        <w:spacing w:after="0" w:line="9" w:lineRule="exact"/>
        <w:rPr>
          <w:sz w:val="20"/>
          <w:szCs w:val="20"/>
          <w:color w:val="auto"/>
        </w:rPr>
      </w:pPr>
    </w:p>
    <w:p>
      <w:pPr>
        <w:ind w:left="720" w:right="3060" w:hanging="58"/>
        <w:spacing w:after="0" w:line="261" w:lineRule="auto"/>
        <w:rPr>
          <w:sz w:val="20"/>
          <w:szCs w:val="20"/>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ind w:right="44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2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880" w:hanging="58"/>
        <w:spacing w:after="0" w:line="258" w:lineRule="auto"/>
        <w:rPr>
          <w:sz w:val="20"/>
          <w:szCs w:val="20"/>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·disparity between our reported results and the projections of analysts;</w:t>
      </w:r>
    </w:p>
    <w:p>
      <w:pPr>
        <w:spacing w:after="0" w:line="9" w:lineRule="exact"/>
        <w:rPr>
          <w:sz w:val="20"/>
          <w:szCs w:val="20"/>
          <w:color w:val="auto"/>
        </w:rPr>
      </w:pPr>
    </w:p>
    <w:p>
      <w:pPr>
        <w:ind w:left="820" w:right="2720"/>
        <w:spacing w:after="0" w:line="250" w:lineRule="auto"/>
        <w:rPr>
          <w:sz w:val="20"/>
          <w:szCs w:val="20"/>
          <w:color w:val="auto"/>
        </w:rPr>
      </w:pPr>
      <w:r>
        <w:rPr>
          <w:rFonts w:ascii="Arial" w:cs="Arial" w:eastAsia="Arial" w:hAnsi="Arial"/>
          <w:sz w:val="18"/>
          <w:szCs w:val="18"/>
          <w:color w:val="auto"/>
        </w:rPr>
        <w:t>·the shift in sales mix of products that we currently sell to a sales mix of lower-gross profit product offerings; ·the level and mix of inventory levels held by our distributors;</w:t>
      </w:r>
    </w:p>
    <w:p>
      <w:pPr>
        <w:spacing w:after="0" w:line="1" w:lineRule="exact"/>
        <w:rPr>
          <w:sz w:val="20"/>
          <w:szCs w:val="20"/>
          <w:color w:val="auto"/>
        </w:rPr>
      </w:pPr>
    </w:p>
    <w:p>
      <w:pPr>
        <w:ind w:left="820" w:right="4300"/>
        <w:spacing w:after="0" w:line="250" w:lineRule="auto"/>
        <w:rPr>
          <w:sz w:val="20"/>
          <w:szCs w:val="20"/>
          <w:color w:val="auto"/>
        </w:rPr>
      </w:pPr>
      <w:r>
        <w:rPr>
          <w:rFonts w:ascii="Arial" w:cs="Arial" w:eastAsia="Arial" w:hAnsi="Arial"/>
          <w:sz w:val="18"/>
          <w:szCs w:val="18"/>
          <w:color w:val="auto"/>
        </w:rPr>
        <w:t>·the announcement of new products or product enhancements by us or our competitors; ·technological innovations by us or our competitors;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·success in meeting targeted availability dates for new or redesigned products;</w:t>
      </w:r>
    </w:p>
    <w:p>
      <w:pPr>
        <w:spacing w:after="0" w:line="9" w:lineRule="exact"/>
        <w:rPr>
          <w:sz w:val="20"/>
          <w:szCs w:val="20"/>
          <w:color w:val="auto"/>
        </w:rPr>
      </w:pPr>
    </w:p>
    <w:p>
      <w:pPr>
        <w:ind w:left="820" w:right="3820"/>
        <w:spacing w:after="0" w:line="250" w:lineRule="auto"/>
        <w:rPr>
          <w:sz w:val="20"/>
          <w:szCs w:val="20"/>
          <w:color w:val="auto"/>
        </w:rPr>
      </w:pPr>
      <w:r>
        <w:rPr>
          <w:rFonts w:ascii="Arial" w:cs="Arial" w:eastAsia="Arial" w:hAnsi="Arial"/>
          <w:sz w:val="18"/>
          <w:szCs w:val="18"/>
          <w:color w:val="auto"/>
        </w:rPr>
        <w:t>·the ability to profitably and efficiently manage our supplies of products and key components; ·the ability to maintain profitable relationships with our customers; ·the ability to maintain an appropriate cost structure;</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·quarterly variations in our results of operations;</w:t>
      </w:r>
    </w:p>
    <w:p>
      <w:pPr>
        <w:spacing w:after="0" w:line="9" w:lineRule="exact"/>
        <w:rPr>
          <w:sz w:val="20"/>
          <w:szCs w:val="20"/>
          <w:color w:val="auto"/>
        </w:rPr>
      </w:pPr>
    </w:p>
    <w:p>
      <w:pPr>
        <w:ind w:left="820" w:right="2340"/>
        <w:spacing w:after="0" w:line="250" w:lineRule="auto"/>
        <w:rPr>
          <w:sz w:val="20"/>
          <w:szCs w:val="20"/>
          <w:color w:val="auto"/>
        </w:rPr>
      </w:pPr>
      <w:r>
        <w:rPr>
          <w:rFonts w:ascii="Arial" w:cs="Arial" w:eastAsia="Arial" w:hAnsi="Arial"/>
          <w:sz w:val="18"/>
          <w:szCs w:val="18"/>
          <w:color w:val="auto"/>
        </w:rPr>
        <w:t>·general consumer confidence or general market conditions or market conditions specific to technology industries; ·domestic and international economic conditions;</w:t>
      </w:r>
    </w:p>
    <w:p>
      <w:pPr>
        <w:spacing w:after="0" w:line="1" w:lineRule="exact"/>
        <w:rPr>
          <w:sz w:val="20"/>
          <w:szCs w:val="20"/>
          <w:color w:val="auto"/>
        </w:rPr>
      </w:pPr>
    </w:p>
    <w:p>
      <w:pPr>
        <w:ind w:left="820"/>
        <w:spacing w:after="0" w:line="250" w:lineRule="auto"/>
        <w:rPr>
          <w:sz w:val="20"/>
          <w:szCs w:val="20"/>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 ·our ability to report financial information in a timely manner; and</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markets in which our stock is traded.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Form 10-K for the fiscal year ending June 30, 2006,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service providers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directors and officers own a significant percentage of the Company, and may exert significant influence over us.</w:t>
      </w:r>
    </w:p>
    <w:p>
      <w:pPr>
        <w:spacing w:after="0" w:line="2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officers and directors together have beneficial ownership in excess of 20% percent of our common stock. With this significant holding in the aggregate, the officers and directors, acting together, could exert a significant degree of influence over us and may be able to delay or prevent a change in control.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 Stock Repurchases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purchases by ClearOne of its own securities during 3Q 2007.</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280" w:type="dxa"/>
            <w:vAlign w:val="bottom"/>
            <w:tcBorders>
              <w:top w:val="single" w:sz="8" w:color="auto"/>
              <w:left w:val="single" w:sz="8" w:color="auto"/>
              <w:right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spacing w:after="0"/>
              <w:rPr>
                <w:sz w:val="19"/>
                <w:szCs w:val="19"/>
                <w:color w:val="auto"/>
              </w:rPr>
            </w:pPr>
          </w:p>
        </w:tc>
        <w:tc>
          <w:tcPr>
            <w:tcW w:w="1980" w:type="dxa"/>
            <w:vAlign w:val="bottom"/>
            <w:tcBorders>
              <w:top w:val="single" w:sz="8" w:color="auto"/>
              <w:right w:val="single" w:sz="8" w:color="auto"/>
            </w:tcBorders>
          </w:tcPr>
          <w:p>
            <w:pPr>
              <w:spacing w:after="0"/>
              <w:rPr>
                <w:sz w:val="19"/>
                <w:szCs w:val="19"/>
                <w:color w:val="auto"/>
              </w:rPr>
            </w:pP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42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Approximate Dollar Value) of</w:t>
            </w:r>
          </w:p>
        </w:tc>
      </w:tr>
      <w:tr>
        <w:trPr>
          <w:trHeight w:val="216"/>
        </w:trPr>
        <w:tc>
          <w:tcPr>
            <w:tcW w:w="42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 that May by Purchased</w:t>
            </w:r>
          </w:p>
        </w:tc>
      </w:tr>
      <w:tr>
        <w:trPr>
          <w:trHeight w:val="216"/>
        </w:trPr>
        <w:tc>
          <w:tcPr>
            <w:tcW w:w="42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Average Price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Under the Plans or Programs</w:t>
            </w:r>
          </w:p>
        </w:tc>
      </w:tr>
      <w:tr>
        <w:trPr>
          <w:trHeight w:val="245"/>
        </w:trPr>
        <w:tc>
          <w:tcPr>
            <w:tcW w:w="4280" w:type="dxa"/>
            <w:vAlign w:val="bottom"/>
            <w:tcBorders>
              <w:left w:val="single" w:sz="8" w:color="auto"/>
              <w:bottom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rPr>
              <w:t>Period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Paid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January 1, 2007 - January 31, 2007</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3,700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$4.42</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3,700</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$1,841,000</w:t>
            </w:r>
          </w:p>
        </w:tc>
      </w:tr>
      <w:tr>
        <w:trPr>
          <w:trHeight w:val="22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February 1, 2007 - February 28, 2007</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144,301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$5.56</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148,001</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$1,039,000</w:t>
            </w:r>
          </w:p>
        </w:tc>
      </w:tr>
      <w:tr>
        <w:trPr>
          <w:trHeight w:val="240"/>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March 1, 2007 - March 31, 2007</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$6.35</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198,001</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$721,000</w:t>
            </w:r>
          </w:p>
        </w:tc>
      </w:tr>
      <w:tr>
        <w:trPr>
          <w:trHeight w:val="196"/>
        </w:trPr>
        <w:tc>
          <w:tcPr>
            <w:tcW w:w="4280" w:type="dxa"/>
            <w:vAlign w:val="bottom"/>
            <w:tcBorders>
              <w:left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198,001</w:t>
            </w:r>
          </w:p>
        </w:tc>
        <w:tc>
          <w:tcPr>
            <w:tcW w:w="1180" w:type="dxa"/>
            <w:vAlign w:val="bottom"/>
            <w:tcBorders>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198,001</w:t>
            </w:r>
          </w:p>
        </w:tc>
        <w:tc>
          <w:tcPr>
            <w:tcW w:w="2400" w:type="dxa"/>
            <w:vAlign w:val="bottom"/>
            <w:tcBorders>
              <w:right w:val="single" w:sz="8" w:color="auto"/>
            </w:tcBorders>
          </w:tcPr>
          <w:p>
            <w:pPr>
              <w:spacing w:after="0"/>
              <w:rPr>
                <w:sz w:val="17"/>
                <w:szCs w:val="17"/>
                <w:color w:val="auto"/>
              </w:rPr>
            </w:pPr>
          </w:p>
        </w:tc>
      </w:tr>
      <w:tr>
        <w:trPr>
          <w:trHeight w:val="20"/>
        </w:trPr>
        <w:tc>
          <w:tcPr>
            <w:tcW w:w="4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left="660" w:hanging="304"/>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31, 2006, the Company announced that its Board of Directors had approved a stock buy-back program to purchase up to $2,000,000 of the Company’s common stock over the next 12 months on the open market. All repurchased shares will be immediately retired. The stock buy-back program will expire in August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99"/>
              </w:rPr>
              <w:t>Item 6. EXHIBITS</w:t>
            </w: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color w:val="auto"/>
                <w:w w:val="96"/>
              </w:rPr>
              <w:t>Exhibit</w:t>
            </w:r>
          </w:p>
        </w:tc>
        <w:tc>
          <w:tcPr>
            <w:tcW w:w="840" w:type="dxa"/>
            <w:vAlign w:val="bottom"/>
          </w:tcPr>
          <w:p>
            <w:pPr>
              <w:spacing w:after="0"/>
              <w:rPr>
                <w:sz w:val="20"/>
                <w:szCs w:val="20"/>
                <w:color w:val="auto"/>
              </w:rPr>
            </w:pPr>
            <w:r>
              <w:rPr>
                <w:rFonts w:ascii="Arial" w:cs="Arial" w:eastAsia="Arial" w:hAnsi="Arial"/>
                <w:sz w:val="18"/>
                <w:szCs w:val="18"/>
                <w:color w:val="auto"/>
              </w:rPr>
              <w:t>SEC Ref.</w:t>
            </w:r>
          </w:p>
        </w:tc>
        <w:tc>
          <w:tcPr>
            <w:tcW w:w="10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4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No.</w:t>
            </w: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No.</w:t>
            </w:r>
          </w:p>
        </w:tc>
        <w:tc>
          <w:tcPr>
            <w:tcW w:w="102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Title of Document</w:t>
            </w:r>
          </w:p>
        </w:tc>
        <w:tc>
          <w:tcPr>
            <w:tcW w:w="34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3"/>
              </w:rPr>
              <w:t>Location</w:t>
            </w:r>
          </w:p>
        </w:tc>
      </w:tr>
      <w:tr>
        <w:trPr>
          <w:trHeight w:val="195"/>
        </w:trPr>
        <w:tc>
          <w:tcPr>
            <w:tcW w:w="20" w:type="dxa"/>
            <w:vAlign w:val="bottom"/>
          </w:tcPr>
          <w:p>
            <w:pPr>
              <w:spacing w:after="0"/>
              <w:rPr>
                <w:sz w:val="16"/>
                <w:szCs w:val="16"/>
                <w:color w:val="auto"/>
              </w:rPr>
            </w:pPr>
          </w:p>
        </w:tc>
        <w:tc>
          <w:tcPr>
            <w:tcW w:w="144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1"/>
              </w:rPr>
              <w:t>31.1</w:t>
            </w:r>
          </w:p>
        </w:tc>
        <w:tc>
          <w:tcPr>
            <w:tcW w:w="840" w:type="dxa"/>
            <w:vAlign w:val="bottom"/>
          </w:tcPr>
          <w:p>
            <w:pPr>
              <w:ind w:left="260"/>
              <w:spacing w:after="0" w:line="195" w:lineRule="exact"/>
              <w:rPr>
                <w:sz w:val="20"/>
                <w:szCs w:val="20"/>
                <w:color w:val="auto"/>
              </w:rPr>
            </w:pPr>
            <w:r>
              <w:rPr>
                <w:rFonts w:ascii="Arial" w:cs="Arial" w:eastAsia="Arial" w:hAnsi="Arial"/>
                <w:sz w:val="18"/>
                <w:szCs w:val="18"/>
                <w:color w:val="auto"/>
              </w:rPr>
              <w:t>31</w:t>
            </w:r>
          </w:p>
        </w:tc>
        <w:tc>
          <w:tcPr>
            <w:tcW w:w="1020" w:type="dxa"/>
            <w:vAlign w:val="bottom"/>
          </w:tcPr>
          <w:p>
            <w:pPr>
              <w:ind w:left="160"/>
              <w:spacing w:after="0" w:line="195" w:lineRule="exact"/>
              <w:rPr>
                <w:sz w:val="20"/>
                <w:szCs w:val="20"/>
                <w:color w:val="auto"/>
              </w:rPr>
            </w:pPr>
            <w:r>
              <w:rPr>
                <w:rFonts w:ascii="Arial" w:cs="Arial" w:eastAsia="Arial" w:hAnsi="Arial"/>
                <w:sz w:val="18"/>
                <w:szCs w:val="18"/>
                <w:color w:val="auto"/>
                <w:w w:val="88"/>
              </w:rPr>
              <w:t>Section 302</w:t>
            </w:r>
          </w:p>
        </w:tc>
        <w:tc>
          <w:tcPr>
            <w:tcW w:w="4620" w:type="dxa"/>
            <w:vAlign w:val="bottom"/>
          </w:tcPr>
          <w:p>
            <w:pPr>
              <w:ind w:left="40"/>
              <w:spacing w:after="0" w:line="195" w:lineRule="exact"/>
              <w:rPr>
                <w:sz w:val="20"/>
                <w:szCs w:val="20"/>
                <w:color w:val="auto"/>
              </w:rPr>
            </w:pPr>
            <w:r>
              <w:rPr>
                <w:rFonts w:ascii="Arial" w:cs="Arial" w:eastAsia="Arial" w:hAnsi="Arial"/>
                <w:sz w:val="18"/>
                <w:szCs w:val="18"/>
                <w:color w:val="auto"/>
              </w:rPr>
              <w:t>Certification of Chief Executive Officer</w:t>
            </w:r>
          </w:p>
        </w:tc>
        <w:tc>
          <w:tcPr>
            <w:tcW w:w="3480" w:type="dxa"/>
            <w:vAlign w:val="bottom"/>
          </w:tcPr>
          <w:p>
            <w:pPr>
              <w:jc w:val="center"/>
              <w:ind w:left="630"/>
              <w:spacing w:after="0" w:line="195" w:lineRule="exact"/>
              <w:rPr>
                <w:sz w:val="20"/>
                <w:szCs w:val="20"/>
                <w:color w:val="auto"/>
              </w:rPr>
            </w:pPr>
            <w:r>
              <w:rPr>
                <w:rFonts w:ascii="Arial" w:cs="Arial" w:eastAsia="Arial" w:hAnsi="Arial"/>
                <w:sz w:val="18"/>
                <w:szCs w:val="18"/>
                <w:color w:val="auto"/>
                <w:w w:val="99"/>
              </w:rPr>
              <w:t>This filing</w:t>
            </w:r>
          </w:p>
        </w:tc>
      </w:tr>
      <w:tr>
        <w:trPr>
          <w:trHeight w:val="216"/>
        </w:trPr>
        <w:tc>
          <w:tcPr>
            <w:tcW w:w="1460" w:type="dxa"/>
            <w:vAlign w:val="bottom"/>
            <w:gridSpan w:val="2"/>
          </w:tcPr>
          <w:p>
            <w:pPr>
              <w:jc w:val="center"/>
              <w:ind w:right="210"/>
              <w:spacing w:after="0"/>
              <w:rPr>
                <w:sz w:val="20"/>
                <w:szCs w:val="20"/>
                <w:color w:val="auto"/>
              </w:rPr>
            </w:pPr>
            <w:r>
              <w:rPr>
                <w:rFonts w:ascii="Arial" w:cs="Arial" w:eastAsia="Arial" w:hAnsi="Arial"/>
                <w:sz w:val="18"/>
                <w:szCs w:val="18"/>
                <w:color w:val="auto"/>
                <w:w w:val="91"/>
              </w:rPr>
              <w:t>31.2</w:t>
            </w:r>
          </w:p>
        </w:tc>
        <w:tc>
          <w:tcPr>
            <w:tcW w:w="840" w:type="dxa"/>
            <w:vAlign w:val="bottom"/>
          </w:tcPr>
          <w:p>
            <w:pPr>
              <w:ind w:left="260"/>
              <w:spacing w:after="0"/>
              <w:rPr>
                <w:sz w:val="20"/>
                <w:szCs w:val="20"/>
                <w:color w:val="auto"/>
              </w:rPr>
            </w:pPr>
            <w:r>
              <w:rPr>
                <w:rFonts w:ascii="Arial" w:cs="Arial" w:eastAsia="Arial" w:hAnsi="Arial"/>
                <w:sz w:val="18"/>
                <w:szCs w:val="18"/>
                <w:color w:val="auto"/>
              </w:rPr>
              <w:t>31</w:t>
            </w:r>
          </w:p>
        </w:tc>
        <w:tc>
          <w:tcPr>
            <w:tcW w:w="1020" w:type="dxa"/>
            <w:vAlign w:val="bottom"/>
          </w:tcPr>
          <w:p>
            <w:pPr>
              <w:ind w:left="160"/>
              <w:spacing w:after="0"/>
              <w:rPr>
                <w:sz w:val="20"/>
                <w:szCs w:val="20"/>
                <w:color w:val="auto"/>
              </w:rPr>
            </w:pPr>
            <w:r>
              <w:rPr>
                <w:rFonts w:ascii="Arial" w:cs="Arial" w:eastAsia="Arial" w:hAnsi="Arial"/>
                <w:sz w:val="18"/>
                <w:szCs w:val="18"/>
                <w:color w:val="auto"/>
                <w:w w:val="88"/>
              </w:rPr>
              <w:t>Section 302</w:t>
            </w:r>
          </w:p>
        </w:tc>
        <w:tc>
          <w:tcPr>
            <w:tcW w:w="462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w:t>
            </w:r>
          </w:p>
        </w:tc>
        <w:tc>
          <w:tcPr>
            <w:tcW w:w="3480" w:type="dxa"/>
            <w:vAlign w:val="bottom"/>
          </w:tcPr>
          <w:p>
            <w:pPr>
              <w:jc w:val="center"/>
              <w:ind w:left="630"/>
              <w:spacing w:after="0"/>
              <w:rPr>
                <w:sz w:val="20"/>
                <w:szCs w:val="20"/>
                <w:color w:val="auto"/>
              </w:rPr>
            </w:pPr>
            <w:r>
              <w:rPr>
                <w:rFonts w:ascii="Arial" w:cs="Arial" w:eastAsia="Arial" w:hAnsi="Arial"/>
                <w:sz w:val="18"/>
                <w:szCs w:val="18"/>
                <w:color w:val="auto"/>
                <w:w w:val="99"/>
              </w:rPr>
              <w:t>This filing</w:t>
            </w:r>
          </w:p>
        </w:tc>
      </w:tr>
      <w:tr>
        <w:trPr>
          <w:trHeight w:val="216"/>
        </w:trPr>
        <w:tc>
          <w:tcPr>
            <w:tcW w:w="1460" w:type="dxa"/>
            <w:vAlign w:val="bottom"/>
            <w:gridSpan w:val="2"/>
          </w:tcPr>
          <w:p>
            <w:pPr>
              <w:jc w:val="center"/>
              <w:ind w:right="210"/>
              <w:spacing w:after="0"/>
              <w:rPr>
                <w:sz w:val="20"/>
                <w:szCs w:val="20"/>
                <w:color w:val="auto"/>
              </w:rPr>
            </w:pPr>
            <w:r>
              <w:rPr>
                <w:rFonts w:ascii="Arial" w:cs="Arial" w:eastAsia="Arial" w:hAnsi="Arial"/>
                <w:sz w:val="18"/>
                <w:szCs w:val="18"/>
                <w:color w:val="auto"/>
                <w:w w:val="91"/>
              </w:rPr>
              <w:t>32.1</w:t>
            </w:r>
          </w:p>
        </w:tc>
        <w:tc>
          <w:tcPr>
            <w:tcW w:w="840" w:type="dxa"/>
            <w:vAlign w:val="bottom"/>
          </w:tcPr>
          <w:p>
            <w:pPr>
              <w:ind w:left="260"/>
              <w:spacing w:after="0"/>
              <w:rPr>
                <w:sz w:val="20"/>
                <w:szCs w:val="20"/>
                <w:color w:val="auto"/>
              </w:rPr>
            </w:pPr>
            <w:r>
              <w:rPr>
                <w:rFonts w:ascii="Arial" w:cs="Arial" w:eastAsia="Arial" w:hAnsi="Arial"/>
                <w:sz w:val="18"/>
                <w:szCs w:val="18"/>
                <w:color w:val="auto"/>
              </w:rPr>
              <w:t>32</w:t>
            </w:r>
          </w:p>
        </w:tc>
        <w:tc>
          <w:tcPr>
            <w:tcW w:w="1020" w:type="dxa"/>
            <w:vAlign w:val="bottom"/>
          </w:tcPr>
          <w:p>
            <w:pPr>
              <w:ind w:left="160"/>
              <w:spacing w:after="0"/>
              <w:rPr>
                <w:sz w:val="20"/>
                <w:szCs w:val="20"/>
                <w:color w:val="auto"/>
              </w:rPr>
            </w:pPr>
            <w:r>
              <w:rPr>
                <w:rFonts w:ascii="Arial" w:cs="Arial" w:eastAsia="Arial" w:hAnsi="Arial"/>
                <w:sz w:val="18"/>
                <w:szCs w:val="18"/>
                <w:color w:val="auto"/>
                <w:w w:val="88"/>
              </w:rPr>
              <w:t>Section 906</w:t>
            </w:r>
          </w:p>
        </w:tc>
        <w:tc>
          <w:tcPr>
            <w:tcW w:w="4620" w:type="dxa"/>
            <w:vAlign w:val="bottom"/>
          </w:tcPr>
          <w:p>
            <w:pPr>
              <w:ind w:left="40"/>
              <w:spacing w:after="0"/>
              <w:rPr>
                <w:sz w:val="20"/>
                <w:szCs w:val="20"/>
                <w:color w:val="auto"/>
              </w:rPr>
            </w:pPr>
            <w:r>
              <w:rPr>
                <w:rFonts w:ascii="Arial" w:cs="Arial" w:eastAsia="Arial" w:hAnsi="Arial"/>
                <w:sz w:val="18"/>
                <w:szCs w:val="18"/>
                <w:color w:val="auto"/>
              </w:rPr>
              <w:t>Certification of Chief Executive Officer</w:t>
            </w:r>
          </w:p>
        </w:tc>
        <w:tc>
          <w:tcPr>
            <w:tcW w:w="3480" w:type="dxa"/>
            <w:vAlign w:val="bottom"/>
          </w:tcPr>
          <w:p>
            <w:pPr>
              <w:jc w:val="center"/>
              <w:ind w:left="630"/>
              <w:spacing w:after="0"/>
              <w:rPr>
                <w:sz w:val="20"/>
                <w:szCs w:val="20"/>
                <w:color w:val="auto"/>
              </w:rPr>
            </w:pPr>
            <w:r>
              <w:rPr>
                <w:rFonts w:ascii="Arial" w:cs="Arial" w:eastAsia="Arial" w:hAnsi="Arial"/>
                <w:sz w:val="18"/>
                <w:szCs w:val="18"/>
                <w:color w:val="auto"/>
                <w:w w:val="99"/>
              </w:rPr>
              <w:t>This filing</w:t>
            </w:r>
          </w:p>
        </w:tc>
      </w:tr>
      <w:tr>
        <w:trPr>
          <w:trHeight w:val="230"/>
        </w:trPr>
        <w:tc>
          <w:tcPr>
            <w:tcW w:w="1460" w:type="dxa"/>
            <w:vAlign w:val="bottom"/>
            <w:gridSpan w:val="2"/>
          </w:tcPr>
          <w:p>
            <w:pPr>
              <w:jc w:val="center"/>
              <w:ind w:right="210"/>
              <w:spacing w:after="0"/>
              <w:rPr>
                <w:sz w:val="20"/>
                <w:szCs w:val="20"/>
                <w:color w:val="auto"/>
              </w:rPr>
            </w:pPr>
            <w:r>
              <w:rPr>
                <w:rFonts w:ascii="Arial" w:cs="Arial" w:eastAsia="Arial" w:hAnsi="Arial"/>
                <w:sz w:val="18"/>
                <w:szCs w:val="18"/>
                <w:color w:val="auto"/>
                <w:w w:val="91"/>
              </w:rPr>
              <w:t>32.2</w:t>
            </w:r>
          </w:p>
        </w:tc>
        <w:tc>
          <w:tcPr>
            <w:tcW w:w="840" w:type="dxa"/>
            <w:vAlign w:val="bottom"/>
          </w:tcPr>
          <w:p>
            <w:pPr>
              <w:ind w:left="260"/>
              <w:spacing w:after="0"/>
              <w:rPr>
                <w:sz w:val="20"/>
                <w:szCs w:val="20"/>
                <w:color w:val="auto"/>
              </w:rPr>
            </w:pPr>
            <w:r>
              <w:rPr>
                <w:rFonts w:ascii="Arial" w:cs="Arial" w:eastAsia="Arial" w:hAnsi="Arial"/>
                <w:sz w:val="18"/>
                <w:szCs w:val="18"/>
                <w:color w:val="auto"/>
              </w:rPr>
              <w:t>32</w:t>
            </w:r>
          </w:p>
        </w:tc>
        <w:tc>
          <w:tcPr>
            <w:tcW w:w="1020" w:type="dxa"/>
            <w:vAlign w:val="bottom"/>
          </w:tcPr>
          <w:p>
            <w:pPr>
              <w:ind w:left="160"/>
              <w:spacing w:after="0"/>
              <w:rPr>
                <w:sz w:val="20"/>
                <w:szCs w:val="20"/>
                <w:color w:val="auto"/>
              </w:rPr>
            </w:pPr>
            <w:r>
              <w:rPr>
                <w:rFonts w:ascii="Arial" w:cs="Arial" w:eastAsia="Arial" w:hAnsi="Arial"/>
                <w:sz w:val="18"/>
                <w:szCs w:val="18"/>
                <w:color w:val="auto"/>
                <w:w w:val="88"/>
              </w:rPr>
              <w:t>Section 906</w:t>
            </w:r>
          </w:p>
        </w:tc>
        <w:tc>
          <w:tcPr>
            <w:tcW w:w="462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w:t>
            </w:r>
          </w:p>
        </w:tc>
        <w:tc>
          <w:tcPr>
            <w:tcW w:w="3480" w:type="dxa"/>
            <w:vAlign w:val="bottom"/>
          </w:tcPr>
          <w:p>
            <w:pPr>
              <w:jc w:val="center"/>
              <w:ind w:left="630"/>
              <w:spacing w:after="0"/>
              <w:rPr>
                <w:sz w:val="20"/>
                <w:szCs w:val="20"/>
                <w:color w:val="auto"/>
              </w:rPr>
            </w:pPr>
            <w:r>
              <w:rPr>
                <w:rFonts w:ascii="Arial" w:cs="Arial" w:eastAsia="Arial" w:hAnsi="Arial"/>
                <w:sz w:val="18"/>
                <w:szCs w:val="18"/>
                <w:color w:val="auto"/>
                <w:w w:val="99"/>
              </w:rPr>
              <w:t>This filing</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May 11, 2007</w:t>
            </w:r>
          </w:p>
        </w:tc>
        <w:tc>
          <w:tcPr>
            <w:tcW w:w="2340" w:type="dxa"/>
            <w:vAlign w:val="bottom"/>
          </w:tcPr>
          <w:p>
            <w:pPr>
              <w:ind w:left="178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7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7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7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May 11, 2007</w:t>
            </w:r>
          </w:p>
        </w:tc>
        <w:tc>
          <w:tcPr>
            <w:tcW w:w="2340" w:type="dxa"/>
            <w:vAlign w:val="bottom"/>
          </w:tcPr>
          <w:p>
            <w:pPr>
              <w:ind w:left="178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27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30"/>
        </w:trPr>
        <w:tc>
          <w:tcPr>
            <w:tcW w:w="27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VP Finance</w:t>
            </w:r>
          </w:p>
        </w:tc>
      </w:tr>
      <w:tr>
        <w:trPr>
          <w:trHeight w:val="243"/>
        </w:trPr>
        <w:tc>
          <w:tcPr>
            <w:tcW w:w="27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83"/>
        </w:trPr>
        <w:tc>
          <w:tcPr>
            <w:tcW w:w="2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39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May 11, 2007</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79" w:lineRule="exact"/>
        <w:rPr>
          <w:sz w:val="20"/>
          <w:szCs w:val="20"/>
          <w:color w:val="auto"/>
        </w:rPr>
      </w:pPr>
    </w:p>
    <w:p>
      <w:pPr>
        <w:ind w:left="500" w:hanging="231"/>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May 11, 2007</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VP Finance</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36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Quarterly Report of ClearOne Communications, Inc. on Form 10-Q for the three months ended March 31, 2007,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May 11, 2007</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Greg A. LeClaire, certify, pursuant to 18 U.S.C. Section 1350, as adopted pursuant to Section 906 of the Sarbanes-Oxley Act of 2002, that the Quarterly Report of ClearOne Communications, Inc. on Form 10-Q for the three months ended March 31, 2007,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May 11, 2007</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VP Finance</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2019-12-13T17:38:13Z</dcterms:created>
  <dcterms:modified xsi:type="dcterms:W3CDTF">2019-12-13T17:38:13Z</dcterms:modified>
</cp:coreProperties>
</file>