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November 14, 2018 (November 14, 2018)</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3"/>
          </w:tcPr>
          <w:p>
            <w:pPr>
              <w:jc w:val="center"/>
              <w:ind w:right="1560"/>
              <w:spacing w:after="0"/>
              <w:rPr>
                <w:sz w:val="20"/>
                <w:szCs w:val="20"/>
                <w:color w:val="auto"/>
              </w:rPr>
            </w:pPr>
            <w:r>
              <w:rPr>
                <w:rFonts w:ascii="Arial" w:cs="Arial" w:eastAsia="Arial" w:hAnsi="Arial"/>
                <w:sz w:val="18"/>
                <w:szCs w:val="18"/>
                <w:b w:val="1"/>
                <w:bCs w:val="1"/>
                <w:color w:val="auto"/>
                <w:w w:val="91"/>
              </w:rPr>
              <w:t>Delaware</w:t>
            </w:r>
          </w:p>
        </w:tc>
        <w:tc>
          <w:tcPr>
            <w:tcW w:w="2300" w:type="dxa"/>
            <w:vAlign w:val="bottom"/>
          </w:tcPr>
          <w:p>
            <w:pPr>
              <w:jc w:val="center"/>
              <w:ind w:right="1230"/>
              <w:spacing w:after="0"/>
              <w:rPr>
                <w:sz w:val="20"/>
                <w:szCs w:val="20"/>
                <w:color w:val="auto"/>
              </w:rPr>
            </w:pPr>
            <w:r>
              <w:rPr>
                <w:rFonts w:ascii="Arial" w:cs="Arial" w:eastAsia="Arial" w:hAnsi="Arial"/>
                <w:sz w:val="18"/>
                <w:szCs w:val="18"/>
                <w:b w:val="1"/>
                <w:bCs w:val="1"/>
                <w:color w:val="auto"/>
                <w:w w:val="90"/>
              </w:rPr>
              <w:t>001-33660</w:t>
            </w:r>
          </w:p>
        </w:tc>
        <w:tc>
          <w:tcPr>
            <w:tcW w:w="20" w:type="dxa"/>
            <w:vAlign w:val="bottom"/>
          </w:tcPr>
          <w:p>
            <w:pPr>
              <w:spacing w:after="0"/>
              <w:rPr>
                <w:sz w:val="20"/>
                <w:szCs w:val="20"/>
                <w:color w:val="auto"/>
              </w:rPr>
            </w:pPr>
          </w:p>
        </w:tc>
        <w:tc>
          <w:tcPr>
            <w:tcW w:w="3860" w:type="dxa"/>
            <w:vAlign w:val="bottom"/>
            <w:gridSpan w:val="2"/>
          </w:tcPr>
          <w:p>
            <w:pPr>
              <w:jc w:val="right"/>
              <w:ind w:right="1290"/>
              <w:spacing w:after="0"/>
              <w:rPr>
                <w:sz w:val="20"/>
                <w:szCs w:val="20"/>
                <w:color w:val="auto"/>
              </w:rPr>
            </w:pPr>
            <w:r>
              <w:rPr>
                <w:rFonts w:ascii="Arial" w:cs="Arial" w:eastAsia="Arial" w:hAnsi="Arial"/>
                <w:sz w:val="18"/>
                <w:szCs w:val="18"/>
                <w:b w:val="1"/>
                <w:bCs w:val="1"/>
                <w:color w:val="auto"/>
              </w:rPr>
              <w:t>87-0398877</w:t>
            </w:r>
          </w:p>
        </w:tc>
      </w:tr>
      <w:tr>
        <w:trPr>
          <w:trHeight w:val="195"/>
        </w:trPr>
        <w:tc>
          <w:tcPr>
            <w:tcW w:w="36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(State or Other Jurisdiction</w:t>
            </w:r>
          </w:p>
        </w:tc>
        <w:tc>
          <w:tcPr>
            <w:tcW w:w="24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320" w:type="dxa"/>
            <w:vAlign w:val="bottom"/>
            <w:tcBorders>
              <w:top w:val="single" w:sz="8" w:color="auto"/>
            </w:tcBorders>
            <w:gridSpan w:val="2"/>
          </w:tcPr>
          <w:p>
            <w:pPr>
              <w:jc w:val="center"/>
              <w:ind w:right="1300"/>
              <w:spacing w:after="0" w:line="195" w:lineRule="exact"/>
              <w:rPr>
                <w:sz w:val="20"/>
                <w:szCs w:val="20"/>
                <w:color w:val="auto"/>
              </w:rPr>
            </w:pPr>
            <w:r>
              <w:rPr>
                <w:rFonts w:ascii="Arial" w:cs="Arial" w:eastAsia="Arial" w:hAnsi="Arial"/>
                <w:sz w:val="18"/>
                <w:szCs w:val="18"/>
                <w:color w:val="auto"/>
                <w:w w:val="93"/>
              </w:rPr>
              <w:t>(Commission</w:t>
            </w:r>
          </w:p>
        </w:tc>
        <w:tc>
          <w:tcPr>
            <w:tcW w:w="220" w:type="dxa"/>
            <w:vAlign w:val="bottom"/>
          </w:tcPr>
          <w:p>
            <w:pPr>
              <w:spacing w:after="0"/>
              <w:rPr>
                <w:sz w:val="16"/>
                <w:szCs w:val="16"/>
                <w:color w:val="auto"/>
              </w:rPr>
            </w:pPr>
          </w:p>
        </w:tc>
        <w:tc>
          <w:tcPr>
            <w:tcW w:w="3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(I.R.S. Employer</w:t>
            </w:r>
          </w:p>
        </w:tc>
      </w:tr>
      <w:tr>
        <w:trPr>
          <w:trHeight w:val="230"/>
        </w:trPr>
        <w:tc>
          <w:tcPr>
            <w:tcW w:w="5240" w:type="dxa"/>
            <w:vAlign w:val="bottom"/>
            <w:gridSpan w:val="3"/>
          </w:tcPr>
          <w:p>
            <w:pPr>
              <w:jc w:val="center"/>
              <w:ind w:right="1520"/>
              <w:spacing w:after="0"/>
              <w:rPr>
                <w:sz w:val="20"/>
                <w:szCs w:val="20"/>
                <w:color w:val="auto"/>
              </w:rPr>
            </w:pPr>
            <w:r>
              <w:rPr>
                <w:rFonts w:ascii="Arial" w:cs="Arial" w:eastAsia="Arial" w:hAnsi="Arial"/>
                <w:sz w:val="18"/>
                <w:szCs w:val="18"/>
                <w:color w:val="auto"/>
                <w:w w:val="94"/>
              </w:rPr>
              <w:t>of Incorporation)</w:t>
            </w:r>
          </w:p>
        </w:tc>
        <w:tc>
          <w:tcPr>
            <w:tcW w:w="2320" w:type="dxa"/>
            <w:vAlign w:val="bottom"/>
            <w:gridSpan w:val="2"/>
          </w:tcPr>
          <w:p>
            <w:pPr>
              <w:jc w:val="center"/>
              <w:ind w:right="1300"/>
              <w:spacing w:after="0"/>
              <w:rPr>
                <w:sz w:val="20"/>
                <w:szCs w:val="20"/>
                <w:color w:val="auto"/>
              </w:rPr>
            </w:pPr>
            <w:r>
              <w:rPr>
                <w:rFonts w:ascii="Arial" w:cs="Arial" w:eastAsia="Arial" w:hAnsi="Arial"/>
                <w:sz w:val="18"/>
                <w:szCs w:val="18"/>
                <w:color w:val="auto"/>
                <w:w w:val="94"/>
              </w:rPr>
              <w:t>File Number)</w:t>
            </w: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2"/>
        </w:trPr>
        <w:tc>
          <w:tcPr>
            <w:tcW w:w="756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3860" w:type="dxa"/>
            <w:vAlign w:val="bottom"/>
            <w:gridSpan w:val="2"/>
          </w:tcPr>
          <w:p>
            <w:pPr>
              <w:jc w:val="right"/>
              <w:ind w:right="1510"/>
              <w:spacing w:after="0"/>
              <w:rPr>
                <w:sz w:val="20"/>
                <w:szCs w:val="20"/>
                <w:color w:val="auto"/>
              </w:rPr>
            </w:pPr>
            <w:r>
              <w:rPr>
                <w:rFonts w:ascii="Arial" w:cs="Arial" w:eastAsia="Arial" w:hAnsi="Arial"/>
                <w:sz w:val="18"/>
                <w:szCs w:val="18"/>
                <w:b w:val="1"/>
                <w:bCs w:val="1"/>
                <w:color w:val="auto"/>
              </w:rPr>
              <w:t>84116</w:t>
            </w:r>
          </w:p>
        </w:tc>
      </w:tr>
      <w:tr>
        <w:trPr>
          <w:trHeight w:val="224"/>
        </w:trPr>
        <w:tc>
          <w:tcPr>
            <w:tcW w:w="5240" w:type="dxa"/>
            <w:vAlign w:val="bottom"/>
            <w:tcBorders>
              <w:top w:val="single" w:sz="8" w:color="auto"/>
            </w:tcBorders>
            <w:gridSpan w:val="3"/>
          </w:tcPr>
          <w:p>
            <w:pPr>
              <w:jc w:val="center"/>
              <w:ind w:left="2210"/>
              <w:spacing w:after="0"/>
              <w:rPr>
                <w:sz w:val="20"/>
                <w:szCs w:val="20"/>
                <w:color w:val="auto"/>
              </w:rPr>
            </w:pPr>
            <w:r>
              <w:rPr>
                <w:rFonts w:ascii="Arial" w:cs="Arial" w:eastAsia="Arial" w:hAnsi="Arial"/>
                <w:sz w:val="18"/>
                <w:szCs w:val="18"/>
                <w:color w:val="auto"/>
                <w:w w:val="92"/>
              </w:rPr>
              <w:t>(Address of principal executive offices)</w:t>
            </w:r>
          </w:p>
        </w:tc>
        <w:tc>
          <w:tcPr>
            <w:tcW w:w="23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+1 (801) 975-7200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614680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00" w:lineRule="exact"/>
        <w:rPr>
          <w:sz w:val="20"/>
          <w:szCs w:val="20"/>
          <w:color w:val="auto"/>
        </w:rPr>
      </w:pPr>
    </w:p>
    <w:p>
      <w:pPr>
        <w:spacing w:after="0" w:line="24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November 14, 2018, ClearOne, Inc. (the “Company”) extended the expiration of its previously announced rights offering until 5:00 PM Eastern Standard Time on Wednesday, November 28, 2018. The rights offering was originally scheduled to expire on Monday, November 19, 2018. The rights offering is being made pursuant to a registration statement on Form S-1, File No. 333-227530, and the prospectus dated November 5, 2018, as supplemented by supplement no. 1 thereto dated November 14,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580"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920" w:type="dxa"/>
            <w:vAlign w:val="bottom"/>
            <w:gridSpan w:val="2"/>
          </w:tcPr>
          <w:p>
            <w:pPr>
              <w:ind w:left="1620"/>
              <w:spacing w:after="0"/>
              <w:rPr>
                <w:sz w:val="20"/>
                <w:szCs w:val="20"/>
                <w:color w:val="auto"/>
              </w:rPr>
            </w:pPr>
            <w:r>
              <w:rPr>
                <w:rFonts w:ascii="Arial" w:cs="Arial" w:eastAsia="Arial" w:hAnsi="Arial"/>
                <w:sz w:val="18"/>
                <w:szCs w:val="18"/>
                <w:color w:val="auto"/>
              </w:rPr>
              <w:t>CLEARONE, INC.</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November 14, 2018</w:t>
            </w:r>
          </w:p>
        </w:tc>
        <w:tc>
          <w:tcPr>
            <w:tcW w:w="7920" w:type="dxa"/>
            <w:vAlign w:val="bottom"/>
            <w:gridSpan w:val="2"/>
          </w:tcPr>
          <w:p>
            <w:pPr>
              <w:ind w:left="162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i w:val="1"/>
                <w:iCs w:val="1"/>
                <w:color w:val="auto"/>
              </w:rPr>
              <w:t>/s/ Zeynep Hakimoglu</w:t>
            </w:r>
          </w:p>
        </w:tc>
      </w:tr>
      <w:tr>
        <w:trPr>
          <w:trHeight w:val="195"/>
        </w:trPr>
        <w:tc>
          <w:tcPr>
            <w:tcW w:w="35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35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35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2019-12-05T20:17:54Z</dcterms:created>
  <dcterms:modified xsi:type="dcterms:W3CDTF">2019-12-05T20:17:54Z</dcterms:modified>
</cp:coreProperties>
</file>