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FORM 10-KSB</w:t>
      </w:r>
    </w:p>
    <w:p>
      <w:pPr>
        <w:spacing w:after="0" w:line="177"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178" w:lineRule="exact"/>
        <w:rPr>
          <w:sz w:val="24"/>
          <w:szCs w:val="24"/>
          <w:color w:val="auto"/>
        </w:rPr>
      </w:pPr>
    </w:p>
    <w:p>
      <w:pPr>
        <w:ind w:left="728" w:right="3199" w:hanging="728"/>
        <w:spacing w:after="0" w:line="243" w:lineRule="auto"/>
        <w:tabs>
          <w:tab w:leader="none" w:pos="72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UNDER SECTION 13 OR 15(d) OF THE SECURITIES EXCHANGE ACT OF 1934</w:t>
      </w:r>
    </w:p>
    <w:p>
      <w:pPr>
        <w:spacing w:after="0" w:line="175"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For the fiscal year ended JUNE 30, 1999</w:t>
      </w:r>
    </w:p>
    <w:p>
      <w:pPr>
        <w:spacing w:after="0" w:line="177"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178" w:lineRule="exact"/>
        <w:rPr>
          <w:sz w:val="24"/>
          <w:szCs w:val="24"/>
          <w:color w:val="auto"/>
        </w:rPr>
      </w:pPr>
    </w:p>
    <w:p>
      <w:pPr>
        <w:ind w:left="728" w:right="3459" w:hanging="728"/>
        <w:spacing w:after="0" w:line="243" w:lineRule="auto"/>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5"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For the transition period from ________ to ________</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Commission file number 0-17219</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(Name of small business issuer in its charter)</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UTAH</w:t>
            </w:r>
          </w:p>
        </w:tc>
        <w:tc>
          <w:tcPr>
            <w:tcW w:w="2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87-0398877</w:t>
            </w:r>
          </w:p>
        </w:tc>
      </w:tr>
      <w:tr>
        <w:trPr>
          <w:trHeight w:val="173"/>
        </w:trPr>
        <w:tc>
          <w:tcPr>
            <w:tcW w:w="41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(State or other jurisdiction of</w:t>
            </w:r>
          </w:p>
        </w:tc>
        <w:tc>
          <w:tcPr>
            <w:tcW w:w="2200" w:type="dxa"/>
            <w:vAlign w:val="bottom"/>
          </w:tcPr>
          <w:p>
            <w:pPr>
              <w:jc w:val="center"/>
              <w:ind w:left="32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4100" w:type="dxa"/>
            <w:vAlign w:val="bottom"/>
          </w:tcPr>
          <w:p>
            <w:pPr>
              <w:jc w:val="center"/>
              <w:ind w:right="445"/>
              <w:spacing w:after="0"/>
              <w:rPr>
                <w:sz w:val="20"/>
                <w:szCs w:val="20"/>
                <w:color w:val="auto"/>
              </w:rPr>
            </w:pPr>
            <w:r>
              <w:rPr>
                <w:rFonts w:ascii="Courier New" w:cs="Courier New" w:eastAsia="Courier New" w:hAnsi="Courier New"/>
                <w:sz w:val="15"/>
                <w:szCs w:val="15"/>
                <w:color w:val="auto"/>
                <w:w w:val="99"/>
              </w:rPr>
              <w:t>incorporation or organization)</w:t>
            </w:r>
          </w:p>
        </w:tc>
        <w:tc>
          <w:tcPr>
            <w:tcW w:w="220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Identification No.)</w:t>
            </w:r>
          </w:p>
        </w:tc>
      </w:tr>
      <w:tr>
        <w:trPr>
          <w:trHeight w:val="347"/>
        </w:trPr>
        <w:tc>
          <w:tcPr>
            <w:tcW w:w="41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1825 RESEARCH WAY, SALT LAKE CITY, UTAH</w:t>
            </w:r>
          </w:p>
        </w:tc>
        <w:tc>
          <w:tcPr>
            <w:tcW w:w="2200" w:type="dxa"/>
            <w:vAlign w:val="bottom"/>
          </w:tcPr>
          <w:p>
            <w:pPr>
              <w:jc w:val="center"/>
              <w:ind w:left="425"/>
              <w:spacing w:after="0"/>
              <w:rPr>
                <w:sz w:val="20"/>
                <w:szCs w:val="20"/>
                <w:color w:val="auto"/>
              </w:rPr>
            </w:pPr>
            <w:r>
              <w:rPr>
                <w:rFonts w:ascii="Courier New" w:cs="Courier New" w:eastAsia="Courier New" w:hAnsi="Courier New"/>
                <w:sz w:val="15"/>
                <w:szCs w:val="15"/>
                <w:color w:val="auto"/>
              </w:rPr>
              <w:t>84119</w:t>
            </w:r>
          </w:p>
        </w:tc>
      </w:tr>
      <w:tr>
        <w:trPr>
          <w:trHeight w:val="173"/>
        </w:trPr>
        <w:tc>
          <w:tcPr>
            <w:tcW w:w="4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center"/>
              <w:ind w:left="4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0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9"/>
              </w:rPr>
              <w:t>(Address of principal executive offices)</w:t>
            </w:r>
          </w:p>
        </w:tc>
        <w:tc>
          <w:tcPr>
            <w:tcW w:w="2200" w:type="dxa"/>
            <w:vAlign w:val="bottom"/>
          </w:tcPr>
          <w:p>
            <w:pPr>
              <w:jc w:val="center"/>
              <w:ind w:left="345"/>
              <w:spacing w:after="0"/>
              <w:rPr>
                <w:sz w:val="20"/>
                <w:szCs w:val="20"/>
                <w:color w:val="auto"/>
              </w:rPr>
            </w:pPr>
            <w:r>
              <w:rPr>
                <w:rFonts w:ascii="Courier New" w:cs="Courier New" w:eastAsia="Courier New" w:hAnsi="Courier New"/>
                <w:sz w:val="15"/>
                <w:szCs w:val="15"/>
                <w:color w:val="auto"/>
                <w:w w:val="99"/>
              </w:rPr>
              <w:t>(Zip Code)</w:t>
            </w:r>
          </w:p>
        </w:tc>
      </w:tr>
    </w:tbl>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Issuer's telephone number (801) 975-7200</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registered under Section 12(b) of the Exchange Act:</w:t>
      </w:r>
    </w:p>
    <w:p>
      <w:pPr>
        <w:sectPr>
          <w:pgSz w:w="11900" w:h="16838" w:orient="portrait"/>
          <w:cols w:equalWidth="0" w:num="1">
            <w:col w:w="10227"/>
          </w:cols>
          <w:pgMar w:left="232" w:top="233" w:right="1440" w:bottom="1440" w:gutter="0" w:footer="0" w:header="0"/>
        </w:sectPr>
      </w:pPr>
    </w:p>
    <w:p>
      <w:pPr>
        <w:spacing w:after="0" w:line="178" w:lineRule="exact"/>
        <w:rPr>
          <w:sz w:val="24"/>
          <w:szCs w:val="24"/>
          <w:color w:val="auto"/>
        </w:rPr>
      </w:pPr>
    </w:p>
    <w:p>
      <w:pPr>
        <w:ind w:left="728"/>
        <w:spacing w:after="0"/>
        <w:rPr>
          <w:sz w:val="20"/>
          <w:szCs w:val="20"/>
          <w:color w:val="auto"/>
        </w:rPr>
      </w:pPr>
      <w:r>
        <w:rPr>
          <w:rFonts w:ascii="Courier New" w:cs="Courier New" w:eastAsia="Courier New" w:hAnsi="Courier New"/>
          <w:sz w:val="14"/>
          <w:szCs w:val="14"/>
          <w:color w:val="auto"/>
        </w:rPr>
        <w:t>TITLE OF EACH CLASS</w:t>
      </w:r>
    </w:p>
    <w:p>
      <w:pPr>
        <w:spacing w:after="0" w:line="15" w:lineRule="exact"/>
        <w:rPr>
          <w:sz w:val="24"/>
          <w:szCs w:val="24"/>
          <w:color w:val="auto"/>
        </w:rPr>
      </w:pPr>
    </w:p>
    <w:p>
      <w:pPr>
        <w:ind w:left="728"/>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1348"/>
        <w:spacing w:after="0"/>
        <w:rPr>
          <w:sz w:val="20"/>
          <w:szCs w:val="20"/>
          <w:color w:val="auto"/>
        </w:rPr>
      </w:pPr>
      <w:r>
        <w:rPr>
          <w:rFonts w:ascii="Courier New" w:cs="Courier New" w:eastAsia="Courier New" w:hAnsi="Courier New"/>
          <w:sz w:val="15"/>
          <w:szCs w:val="15"/>
          <w:color w:val="auto"/>
        </w:rPr>
        <w:t>None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3"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5"/>
          <w:szCs w:val="15"/>
          <w:color w:val="auto"/>
        </w:rPr>
        <w:t>None</w:t>
      </w:r>
    </w:p>
    <w:p>
      <w:pPr>
        <w:spacing w:after="0" w:line="177" w:lineRule="exact"/>
        <w:rPr>
          <w:sz w:val="24"/>
          <w:szCs w:val="24"/>
          <w:color w:val="auto"/>
        </w:rPr>
      </w:pPr>
    </w:p>
    <w:p>
      <w:pPr>
        <w:sectPr>
          <w:pgSz w:w="11900" w:h="16838" w:orient="portrait"/>
          <w:cols w:equalWidth="0" w:num="2">
            <w:col w:w="2608" w:space="720"/>
            <w:col w:w="6899"/>
          </w:cols>
          <w:pgMar w:left="232" w:top="233" w:right="1440" w:bottom="1440" w:gutter="0" w:footer="0" w:header="0"/>
          <w:type w:val="continuous"/>
        </w:sectPr>
      </w:pPr>
    </w:p>
    <w:p>
      <w:pPr>
        <w:jc w:val="center"/>
        <w:ind w:right="3012"/>
        <w:spacing w:after="0"/>
        <w:rPr>
          <w:sz w:val="20"/>
          <w:szCs w:val="20"/>
          <w:color w:val="auto"/>
        </w:rPr>
      </w:pPr>
      <w:r>
        <w:rPr>
          <w:rFonts w:ascii="Courier New" w:cs="Courier New" w:eastAsia="Courier New" w:hAnsi="Courier New"/>
          <w:sz w:val="15"/>
          <w:szCs w:val="15"/>
          <w:color w:val="auto"/>
        </w:rPr>
        <w:t>Securities registered under Section 12(g) of the Exchange Act:</w:t>
      </w:r>
    </w:p>
    <w:p>
      <w:pPr>
        <w:spacing w:after="0" w:line="177"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COMMON STOCK, $0.001 PAR VALUE</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2888"/>
        <w:spacing w:after="0"/>
        <w:rPr>
          <w:sz w:val="20"/>
          <w:szCs w:val="20"/>
          <w:color w:val="auto"/>
        </w:rPr>
      </w:pPr>
      <w:r>
        <w:rPr>
          <w:rFonts w:ascii="Courier New" w:cs="Courier New" w:eastAsia="Courier New" w:hAnsi="Courier New"/>
          <w:sz w:val="15"/>
          <w:szCs w:val="15"/>
          <w:color w:val="auto"/>
        </w:rPr>
        <w:t>(Title of class)</w:t>
      </w:r>
    </w:p>
    <w:p>
      <w:pPr>
        <w:spacing w:after="0" w:line="178" w:lineRule="exact"/>
        <w:rPr>
          <w:sz w:val="24"/>
          <w:szCs w:val="24"/>
          <w:color w:val="auto"/>
        </w:rPr>
      </w:pPr>
    </w:p>
    <w:p>
      <w:pPr>
        <w:ind w:left="8" w:right="3199" w:firstLine="721"/>
        <w:spacing w:after="0" w:line="244" w:lineRule="auto"/>
        <w:rPr>
          <w:sz w:val="20"/>
          <w:szCs w:val="20"/>
          <w:color w:val="auto"/>
        </w:rPr>
      </w:pPr>
      <w:r>
        <w:rPr>
          <w:rFonts w:ascii="Courier New" w:cs="Courier New" w:eastAsia="Courier New" w:hAnsi="Courier New"/>
          <w:sz w:val="15"/>
          <w:szCs w:val="15"/>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[X] No [ ]</w:t>
      </w:r>
    </w:p>
    <w:p>
      <w:pPr>
        <w:spacing w:after="0" w:line="177" w:lineRule="exact"/>
        <w:rPr>
          <w:sz w:val="24"/>
          <w:szCs w:val="24"/>
          <w:color w:val="auto"/>
        </w:rPr>
      </w:pPr>
    </w:p>
    <w:p>
      <w:pPr>
        <w:ind w:left="8" w:right="3019" w:firstLine="721"/>
        <w:spacing w:after="0" w:line="244" w:lineRule="auto"/>
        <w:rPr>
          <w:sz w:val="20"/>
          <w:szCs w:val="20"/>
          <w:color w:val="auto"/>
        </w:rPr>
      </w:pPr>
      <w:r>
        <w:rPr>
          <w:rFonts w:ascii="Courier New" w:cs="Courier New" w:eastAsia="Courier New" w:hAnsi="Courier New"/>
          <w:sz w:val="15"/>
          <w:szCs w:val="15"/>
          <w:color w:val="auto"/>
        </w:rPr>
        <w:t>Check if there is no disclosure of delinquent filers in response to Item 405 of Regulation S-B contained in this form, and no disclosure will be contained, to the best of registrant's knowledge, in definitive proxy or information statements incorporated by reference in Part III of the Form 10-KSB or any amendment to this Form 10-KSB. [ ]</w:t>
      </w:r>
    </w:p>
    <w:p>
      <w:pPr>
        <w:spacing w:after="0" w:line="177" w:lineRule="exact"/>
        <w:rPr>
          <w:sz w:val="24"/>
          <w:szCs w:val="24"/>
          <w:color w:val="auto"/>
        </w:rPr>
      </w:pPr>
    </w:p>
    <w:p>
      <w:pPr>
        <w:ind w:left="8" w:right="3379" w:firstLine="721"/>
        <w:spacing w:after="0" w:line="243" w:lineRule="auto"/>
        <w:rPr>
          <w:sz w:val="20"/>
          <w:szCs w:val="20"/>
          <w:color w:val="auto"/>
        </w:rPr>
      </w:pPr>
      <w:r>
        <w:rPr>
          <w:rFonts w:ascii="Courier New" w:cs="Courier New" w:eastAsia="Courier New" w:hAnsi="Courier New"/>
          <w:sz w:val="15"/>
          <w:szCs w:val="15"/>
          <w:color w:val="auto"/>
        </w:rPr>
        <w:t>The issuer's revenues for its most recent fiscal year ended June 30, 1999 were $22,990,327.</w:t>
      </w:r>
    </w:p>
    <w:p>
      <w:pPr>
        <w:sectPr>
          <w:pgSz w:w="11900" w:h="16838" w:orient="portrait"/>
          <w:cols w:equalWidth="0" w:num="1">
            <w:col w:w="10227"/>
          </w:cols>
          <w:pgMar w:left="232" w:top="233"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8" w:lineRule="exact"/>
        <w:rPr>
          <w:sz w:val="20"/>
          <w:szCs w:val="20"/>
          <w:color w:val="auto"/>
        </w:rPr>
      </w:pPr>
    </w:p>
    <w:p>
      <w:pPr>
        <w:ind w:right="3019" w:firstLine="721"/>
        <w:spacing w:after="0" w:line="244" w:lineRule="auto"/>
        <w:rPr>
          <w:sz w:val="20"/>
          <w:szCs w:val="20"/>
          <w:color w:val="auto"/>
        </w:rPr>
      </w:pPr>
      <w:r>
        <w:rPr>
          <w:rFonts w:ascii="Courier New" w:cs="Courier New" w:eastAsia="Courier New" w:hAnsi="Courier New"/>
          <w:sz w:val="15"/>
          <w:szCs w:val="15"/>
          <w:color w:val="auto"/>
        </w:rPr>
        <w:t>The aggregate market value of the voting stock held by non-affiliates is approximately $39,500,000 at September 1, 1999. This value was computed at the price of $6.63 at which the stock traded on September 1, 1999 (which date is within 60 days of the filing of this Form 10-KSB).</w:t>
      </w:r>
    </w:p>
    <w:p>
      <w:pPr>
        <w:spacing w:after="0" w:line="176" w:lineRule="exact"/>
        <w:rPr>
          <w:sz w:val="20"/>
          <w:szCs w:val="20"/>
          <w:color w:val="auto"/>
        </w:rPr>
      </w:pPr>
    </w:p>
    <w:p>
      <w:pPr>
        <w:ind w:right="3459" w:firstLine="721"/>
        <w:spacing w:after="0" w:line="243" w:lineRule="auto"/>
        <w:rPr>
          <w:sz w:val="20"/>
          <w:szCs w:val="20"/>
          <w:color w:val="auto"/>
        </w:rPr>
      </w:pPr>
      <w:r>
        <w:rPr>
          <w:rFonts w:ascii="Courier New" w:cs="Courier New" w:eastAsia="Courier New" w:hAnsi="Courier New"/>
          <w:sz w:val="15"/>
          <w:szCs w:val="15"/>
          <w:color w:val="auto"/>
        </w:rPr>
        <w:t>The number of shares outstanding of the issuer's Common Stock as of September 1, 1999 was 8,188,748.</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Gentner Communications Corporation (the "Company") was organized under the laws of the State of Utah on July 8, 1981 as Gentner Engineering Company, Inc. On March 26, 1985, Gentner Engineering Company went public by way of a reverse purchase when Insular, Inc. (incorporated in Utah on July 8, 1983), acquired Gentner Engineering and changed its name to Gentner Electronics Corporation. On July 1, 1991, Gentner Electronics Corporation changed its name to Gentner Communications Corporation to more accurately reflect the expanding nature of its business.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primarily develops, markets and distributes products and services for the broadcast and conferencing markets. Until 1991, the Company's primary business was the sale of studio and transmitter related equipment to broadcast facilities. Since then, the Company has applied its core digital technology to the development of products for the conferencing and assistive listening markets. In addition, the Company offers conferencing services, including conference calling, Webconferencing, document conferencing and end-user training and education.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initially began selling its products to the telephone interface portion of the broadcast market. This product line is primarily used to put callers on the air for call-in talk shows. Additionally, the Company sells remote control systems to the broadcast market that help radio and television station engineers monitor and control remote transmitter sites. During fiscal year 1999, the broadcast market accounted for 30% of the Company's total sales.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1991, using the technological expertise gained in the broadcast market, the Company commenced marketing products specifically developed for the conferencing market. The Company's conferencing products provide users with a natural, two-way method of conversation without the cut-offs, distortion, noise and echo associated with traditional speakerphones. Conferencing products are installed in conference rooms, courtrooms, and distance learning facilities. In fiscal 1993, the Company enhanced its telecommunication offerings with Gentner Conference Call(SM) (1-800 LETS MEET(R)), a comprehensive conference calling service. Sales of products and services to the conferencing market accounted for 61% of the Company's total sales during fiscal 1999.</w:t>
      </w:r>
    </w:p>
    <w:p>
      <w:pPr>
        <w:spacing w:after="0" w:line="180" w:lineRule="exact"/>
        <w:rPr>
          <w:sz w:val="20"/>
          <w:szCs w:val="20"/>
          <w:color w:val="auto"/>
        </w:rPr>
      </w:pPr>
    </w:p>
    <w:p>
      <w:pPr>
        <w:jc w:val="both"/>
        <w:ind w:right="3099"/>
        <w:spacing w:after="0" w:line="244" w:lineRule="auto"/>
        <w:rPr>
          <w:sz w:val="20"/>
          <w:szCs w:val="20"/>
          <w:color w:val="auto"/>
        </w:rPr>
      </w:pPr>
      <w:r>
        <w:rPr>
          <w:rFonts w:ascii="Courier New" w:cs="Courier New" w:eastAsia="Courier New" w:hAnsi="Courier New"/>
          <w:sz w:val="15"/>
          <w:szCs w:val="15"/>
          <w:color w:val="auto"/>
        </w:rPr>
        <w:t>The Company also has other sources of revenue that account for the remaining 9% of sales, which include assistive listening systems, product repair and various other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8"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For fiscal year 2000, the Company plans to increase its efforts in both the Conferencing and Remote Facilities Management ("RFM") segments. Each has undergone extensive research to ensure that its markets offer growth opportunities that are congruent with the Company's overall objectives.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RFM segment is focused on increasing the Company's share of the broadcast market as well as expanding RFM product lines into complementary markets such as the communications industry and government services.</w:t>
      </w: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Conferencing segment is responsible for the following areas: room system audio- and videoconferencing products, conference calling services, and educational services. Through this segment the Company intends to broaden its product and service offerings in the conferencing market by providing a greater share of technology and service solutions.</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Company's conferencing products and services help businesses facilitate group communication, avoid wasted travel time, solve problems through group input, and get faster results. Sales growth is expected to come through growth in conference calling services, new equipment introductions and enhancements, increased international distribution, and an increase in the total number of dealers/distributors.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RFM Segment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Telephone Interface Products. The Company continues to market and develop new products and enhancements for its telephone interface product line. The Company has developed strong brand awareness in this market and has experienced continued sales growth. While domestic growth for telephone interface products is somewhat limited by the finite size of the market, consolidation within the industry has created new sales opportunities as companies look to upgrade and expand existing facilities. The international market is expanding and continues to offer growth opportunities.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telephone interface product line offers a full selection of products ranging from simple single-line couplers, which enable users to send and receive audio over a single telephone line, to computerized multiple-line systems used in talk-show programs. An example of the computerized multi-line system is the Company's TS612, which it began selling in fiscal 1995. Using the TS612, talk-show hosts can screen calls, bring callers on-air, conference several callers together, or monitor whether callers are on hold or talking to the show's producer. The Company believes it currently has a 60% share of the domestic telephone interface market, with potential for the largest growth in international markets.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Remote Control Products. Remote control products help broadcasters stay on the air and generate revenue while fulfilling a legal requirement for monitoring and controlling their transmitters, which often are located in remote areas such as on mountaintops. The Company's products provide monitoring of conditions at the transmitter site and enable users to make adjustments to transmitters by remote control. Components of the system offer users the option of monitoring and making such adjustments using either a desktop computer or touch-tone telephone. In fiscal 1997, the Company began shipping the GSC3000 product series. These hardware and software products are designed to augment the Company's existing transmitter site control products by enabling station managers to monitor several different sites using the same equipment.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Segment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Room System Conferencing Products. In 1991, the Company applied the digital technology in its broadcast telephone products to develop a line of conferencing products. These products are used in such settings as conference rooms, distance learning facilities and courtrooms. Examples of current applications include executive boardrooms for Bell South Telecommunications and The Boeing Company; distance learning facilities in Indiana, Nebraska, North Carolina and Wisconsin; and the Federal Bankruptcy Courts in San Jose. The Company has become well known for these types of quality products.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Recently the Company introduced and began shipping a new line of conferencing products under the brand name of Audio Perfect(R). The Audio Perfect(R) product line currently consists of the AP800, AP400, AP10, AP Tools, AP IR Remote Control and APV200.</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AP800 and AP400 are comprehensive room audio control systems designed to excel in the most demanding acoustic environments and routing configurations. Typical applications include hotel and convention center conference rooms, courtrooms, corporate boardrooms and distance learning facilities. Both are also used for integrating audio with videoconferencing systems.</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AP800 performs the combined functions of several audio devices, including an eight-channel automatic microphone mixer, a 12 X 12 matrix mixer, an audio processor, an equalizer and an audio network controller. It also functions as an echo canceller using the Company's digital Distributed Echo Cancellation(TM) (D.E.C.)(TM) technology. Before D.E.C., only one echo canceller was used to eliminate acoustic echo during a call. With D.E.C., an echo canceller, an equalizer and an audio processor are placed on every microphone input, yielding crystal-clear audio in a greater variety of environments.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AP10 is used with the AP800 as a telephone interface to connect audioconferencing participants via a telephone line. Each Audio Perfect(R) system can be expanded to interface with up to eight AP800's and 16 AP10's, providing a network of up to 16 phone lines, 32 line inputs, and 64 microphones, all operating as a single unit.</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AP400 combines the functions of the AP800, the AP10 and an internal power amplifier. Its four microphone inputs, compared to the AP800's eight microphone inputs, make the AP400 more practical for small to medium sized rooms.</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AP Tools is PC-based software designed to enhance the Audio Perfect(R) family of products. AP Tools simplifies the set-up, configuration and operation of the Audio Perfect(R) system by employing a graphical user interface. The graphic orientation provides access to the same features available via the front panel controls of the AP800, AP400 and AP10, but does so in a manner that is more user-friendly. AP Tools can control an entire Audio Perfect(R) system using only one serial connection, and can communicate with AP units both locally and remotely via modem.</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AP IR Remote Control uses infrared transmission to operate the AP800, AP400 and AP10. Features include connect, disconnect, dial, redial, speed dial, hook flash, volume control and microphone mute.</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APV200 is a television-quality videoconferencing system that the Company purchases from RSI Systems, Inc. The APV 200 delivers television-quality video, is standards based and connects directly to any size TV, LCD projector, flat screen, PC or laptop computer. When combined with other Audio Perfect(R) products, the APV200 can support up to 64 microphones and multiple cameras, providing top-quality sound and video for any size room.</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believes that its Audio Perfect(R) product line provides customers with significantly better performance with less equipment and complexity. The Company also believes there is a much larger market for its new line of conferencing products, particularly when combined with the Company's conference calling service.</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Conference Calling Service. In February 1993, the Company launched its conference calling service to provide customers with a complete offering of conferencing solutions. Gentner Conference Call(SM) (1-800 LETS MEET(R)) can connect many different telephone callers worldwide with superior service and excellent clarity. The Company believes opportunity exists in pursuing vertical markets for its products and services in conference rooms, distance learning facilities and courtrooms. The Company believes these vertical markets will be responsive to a higher level of quality and service, which it can provide with its premium products and services.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Segment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Assistive Listening Products. In March 1993, the Company began shipping its Assistive Listening System (ALS) products. These products help the Company's customers comply with the Americans with Disabilities Act (ADA) by providing amplified audio for hearing impaired people in public places such as theaters, houses of worship, schools, courtrooms, stadiums and arenas.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February 1999, the Company introduced its Venture series of ALS products designed specifically for tour audio and language translation applications. Venture operates in the 216 MHz frequency range that has been designated by the Federal Communications Commission (FCC) for use in hearing assistance applications not specifically designed for the hearing impaired.</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4" w:name="page5"/>
    <w:bookmarkEnd w:id="4"/>
    <w:p>
      <w:pPr>
        <w:jc w:val="center"/>
        <w:ind w:right="9599"/>
        <w:spacing w:after="0"/>
        <w:rPr>
          <w:sz w:val="20"/>
          <w:szCs w:val="20"/>
          <w:color w:val="auto"/>
        </w:rPr>
      </w:pPr>
      <w:r>
        <w:rPr>
          <w:rFonts w:ascii="Courier New" w:cs="Courier New" w:eastAsia="Courier New" w:hAnsi="Courier New"/>
          <w:sz w:val="15"/>
          <w:szCs w:val="15"/>
          <w:color w:val="auto"/>
        </w:rPr>
        <w:t>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Market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For fiscal 1999, the broadcast market, which is served by telephone interface and remote control products, generated 30% of the Company's total sales. The Company's telephone interface and remote control products are targeted and sold to radio and television stations, broadcast networks and other professional audio customers.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believes that the worldwide market for its telephone interface and remote control products is approximately $30 million, and that the Company has a worldwide market share of approximately 15%. The United States is considered to be the predominant segment of the worldwide broadcast market, with over 12,000 radio and 1,200 television stations in operation.</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products are sold to upgrade studios and transmitter sites. Although the size of the broadcast market is fixed, due to the limited number of frequencies that become available at any given time, a federal mandate to upgrade all television transmission to high definition ("HDTV") is driving the replacement of older transmitter towers and fostering sales of remote control products. Through product innovation and a strong sales focus, the Company believes that it will continue to experience growth in the domestic broadcast market.</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Company has also noted a recent organizational shift in the broadcast industry, as an increasing number of radio stations have come under consolidated ownership and/or management control. The Company expects this trend to continue over the next few years, and believes its remote control products are especially suited to provide sales growth during this trend as these products provide centralized monitoring and control of several remote facilities.</w:t>
      </w:r>
    </w:p>
    <w:p>
      <w:pPr>
        <w:spacing w:after="0" w:line="16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traditionally concentrated its efforts on selling its products in the United States. However, while the United States is considered to be the largest single broadcast market segment in the world, it is believed to represent only 20% of the total worldwide broadcast market. The international broadcast market is expanding as a result of government deregulation and privatization of stations and the increasing number of frequencies available for commercial use. In 1991, the Company began focusing efforts on expanding its international market share and has appointed dealers located in key areas around the world (see "Description of Business-Distribution"). Such international broadcast sales accounted for 13% of all sales by the Company to the broadcast market in fiscal year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Market</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believes that there is significant growth potential in the U.S. conferencing market. Frost &amp; Sullivan, an international marketing consulting company that publishes market research reports, projects the audio and document conferencing services, systems and server software market to grow from $1.09 billion in 1998 to $2.94 billion in 2005, or a compound annual growth rate of 15.2%.</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This market is made up of three separate components, the audioconferencing services market, the audioconferencing systems market and the document conferencing server software market. According to Frost &amp; Sullivan, the audioconferencing services market in 1998 was $883 million and should grow to $1,807 million by 2005, which is a compound annual growth rate of 10.8%. The audioconferencing systems market is $173 million in 1998, and with a compound annual growth rate of 22.7%, should grow to $724 million by 2005.</w:t>
      </w:r>
    </w:p>
    <w:p>
      <w:pPr>
        <w:spacing w:after="0" w:line="178"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Frost &amp; Sullivan projects the videoconferencing systems market to grow from $811 million in 1998 to $2.8 billion in 2005, or at a compound annual growth rate of 19.4%.</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Products and services sold by all companies to the conferencing market include terminal equipment, telephone bridge equipment, and conference calling and transmission services. The Company's primary focus is in the terminal equipment and conference calling service categories.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 believes that the conferencing market provides significant sales growth potential for the future, and plans to continue providing solutions to businesses and other end users through the sale of conferencing equipment and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Markets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addition to broadcast and conferencing markets, the Company's products are sold into other markets, primarily the professional audio market. The professional audio market includes sound contractors who install audio and other equipment in churches, schools, auditoriums and other large facilities. The Company sells its products into this market generally through the same manufacturers' representatives and dealers that represent the Company in the conferencing market. The products sold to this market are primarily the telephone interface products, conferencing products and ALS products.</w:t>
      </w:r>
    </w:p>
    <w:p>
      <w:pPr>
        <w:spacing w:after="0" w:line="178" w:lineRule="exact"/>
        <w:rPr>
          <w:sz w:val="20"/>
          <w:szCs w:val="20"/>
          <w:color w:val="auto"/>
        </w:rPr>
      </w:pPr>
    </w:p>
    <w:p>
      <w:pPr>
        <w:ind w:right="3379"/>
        <w:spacing w:after="0" w:line="244" w:lineRule="auto"/>
        <w:rPr>
          <w:sz w:val="20"/>
          <w:szCs w:val="20"/>
          <w:color w:val="auto"/>
        </w:rPr>
      </w:pPr>
      <w:r>
        <w:rPr>
          <w:rFonts w:ascii="Courier New" w:cs="Courier New" w:eastAsia="Courier New" w:hAnsi="Courier New"/>
          <w:sz w:val="15"/>
          <w:szCs w:val="15"/>
          <w:color w:val="auto"/>
        </w:rPr>
        <w:t>During fiscal 1999, the RFM segment expanded its distribution into a market outside of broadcast through its contract with Crown International to supply remote control equipment to the National Weather Service.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efforts for the Company's telephone interface and remote control products focus on the domestic and international sale of these products through a worldwide network of dealers. Such efforts have included a combination of product catalogs, trade shows, telemarketing, direct mail, trade advertising, fax on demand, an Internet Web-page, and direct selling. The Company will continue to support dealers with product information, brochures and data sheets, and has been increasing its activities aimed at garnering the attention of end users. The Company will continue to sponsor sales promotions to encourage dealers to feature the Company's products, and will also focus more on end-user interaction efforts. The Company will also continue to exhibit its products at high-profile industry trade shows to ensure that its products remain highly visible to dealers and broadcasters.</w:t>
      </w:r>
    </w:p>
    <w:p>
      <w:pPr>
        <w:spacing w:after="0" w:line="181"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Conferencing systems sales efforts are primarily aimed at audio/visual equipment dealers and consultants. These companies, in turn, provide audio solutions to end users in applications such as audio and video corporate boardroom systems, distance learning facilities, and court rooms. The Company reaches these end users through a sales representative and dealer network that regularly interacts with potential end users in the target market. The Company actively participates alongside this network at communication forums, trade shows and industry promotions. The Company intends to reinforce those efforts and increase sales by remaining involved in the distribution network and offering dealer training.</w:t>
      </w:r>
    </w:p>
    <w:p>
      <w:pPr>
        <w:spacing w:after="0" w:line="16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relies on a direct sales force and outside representative network to sell its conference calling and Webcasting services. The Company believes that it has the potential to cross-sell its products and services by partnering with key dealers. The Company also believes that its advantage is that it can provide higher quality products and services as a package for organizations that require premium, mission critical solutions for their conferencing needs.</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Due to the large size of the conferencing market and its potential for intense competition, the marketing of conferencing products and services will continue to require substantial marketing resources and research and development efforts. To this end, the Company will continue to seek highly trained and experienced personnel. Additionally, the Company has aggressively focused on research and development to create an expanded and, what the Company believes to be, a technologically superior line of products. The Company's strategy continues to be to sell its conferencing products through national and international dealers who focus on integrating conferencing facilities for organizations.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TECHNICAL SUPPORT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Technical support, which is generally conducted over the telephone and sometimes on site, provides timely, interactive help to customers needing operational or technical assistance with their products. The Company's technical support team regularly communicates with the Company's engineering and manufacturing groups to ensure that customer feedback can</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be directed toward initiating product improvements and incorporated into future products. The technical support team provides a vital role in solving customer problems and building customer confidence. The Company has focused its resources to ensure that strong technical support to its customers remains a competitive advantage.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AND SERVICE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provides a one-year warranty on its products, which covers both parts and labor. The Company, at its option, repairs or replaces products that are defective during the warranty period if the proper preventative maintenance procedures have been followed by customers. Repairs that are necessitated by misuse of such products or that are required outside the warranty period are not covered by the Company's warranty.</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case of a defective product, the customer typically returns it to the Company's facility in Salt Lake City, Utah. The Company's service personnel then replace or repair the defective item and ship it back to the customer. Generally, all servicing is done at the Company's plant, and the Company charges its customers a fee for those service items that are not covered by warranty. The Company also sells extended warranties for its Audio Perfect products, which enables customers to get a replacement unit within 24 hours.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RFM Segment</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Telephone Interface and Remote Control Products. The Company's telephone interface and remote control products are generally sold in the United States through non-exclusive, independent broadcast equipment dealers. End users generally place orders with a dealer by calling a toll free number. The market is highly competitive, and it is not unusual for a customer to call several dealers to get the best possible price. Once a customer orders equipment, a dealer orders the product from the Company to be shipped directly to the customer or, in some instances, ships the product to the customer from the dealer's inventory.</w:t>
      </w:r>
    </w:p>
    <w:p>
      <w:pPr>
        <w:spacing w:after="0" w:line="179"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has several dealers that are also manufacturers of communications systems and equipment. The largest of these is the Company's predominant dealer in the broadcast market and is believed by the Company to be the dominant supplier of equipment for radio stations in the United States. Sales to this dealer represent a significant portion of Company sales, accounting for approximately 6% of the Company's total sales in fiscal 1999, and 7% and 12% during fiscal 1998 and fiscal 1997 respectively. The Company believes the relationship with this dealer is strong and mutually beneficial. However, if this dealer were lost, the Company believes it could sell its products to end-customers either directly or through other dealers.</w:t>
      </w:r>
    </w:p>
    <w:p>
      <w:pPr>
        <w:spacing w:after="0" w:line="180"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With respect to international telephone interface and remote control sales, the Company has established, and continues to establish, international relationships with dealers for its broadcast products in Africa, Asia, Australia, Europe, North America, and South America.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Conferencing Segment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Conferencing Products. The Company sells its conferencing systems and components through independent audio/visual equipment dealers and consultants. The Company also uses a national network of independent sales representatives. Currently, 95% of the Company's conferencing system sales are in the United States. The Company's primary strategy for foreign expansion is to establish dealers and master distributors in markets where it believes there is a growing need for products and services of the type offered by the Company.</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Company distributes products to the professional audio market via this same network of sales representatives and to independent sound contractors.</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With respect to international conferencing sales, the Company has established, and continues to establish, international relationships with dealers for its conferencing products in Africa, Asia, Australia, Europe, North America, and South America.</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Conferencing Services. The Company primarily sells its conference calling service through telemarketing directly to end users, and continues to expand its activities and the number of employees in this area. The Company utilizes this sales force in selling certain conferencing products directly to end users. The Company also sells services through its product dealers and independent representatives and provides wholesale conference calling services to several long distance companies.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Segment</w:t>
      </w:r>
    </w:p>
    <w:p>
      <w:pPr>
        <w:spacing w:after="0" w:line="178" w:lineRule="exact"/>
        <w:rPr>
          <w:sz w:val="20"/>
          <w:szCs w:val="20"/>
          <w:color w:val="auto"/>
        </w:rPr>
      </w:pPr>
    </w:p>
    <w:p>
      <w:pPr>
        <w:jc w:val="both"/>
        <w:ind w:right="3559"/>
        <w:spacing w:after="0" w:line="270" w:lineRule="auto"/>
        <w:rPr>
          <w:sz w:val="20"/>
          <w:szCs w:val="20"/>
          <w:color w:val="auto"/>
        </w:rPr>
      </w:pPr>
      <w:r>
        <w:rPr>
          <w:rFonts w:ascii="Courier New" w:cs="Courier New" w:eastAsia="Courier New" w:hAnsi="Courier New"/>
          <w:sz w:val="14"/>
          <w:szCs w:val="14"/>
          <w:color w:val="auto"/>
        </w:rPr>
        <w:t>ALS Products. The Company sells its ALS products to the professional audio market via the same network of sales representatives and independent sound contractors that sell the Company's conferencing products.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principal competitive factors in the Company's markets include innovative product design, product quality, established customer relationships, name recognition, distribution and price.</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believes that its ability to successfully compete in the conferencing market is essential to the Company's growth and development. There are other companies with substantial financial, technical, manufacturing and marketing resources currently engaged in the development and marketing of similar products and services. Some of these companies have launched products competitive with those being developed and manufactured by the Company. However, the Company has used its core digital technology to produce what it believes to be superior conferencing systems and equipment. The Company believes it is the only provider of both high-end conferencing products and conference calling services, and feels it can uniquely position itself in the rapidly expanding conferencing market.</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the broadcast market, the Company has several competitors in each of its product lines. There is not, however, any single competitor who directly competes with the Company in all such product lines. Although some of the Company's competitors are smaller in terms of annual revenues and capitalization, such competitors usually focus on a single product line. They can therefore devote their resources to products that are directly competitive with, and which may adversely impact sales of, the Company's products. However, the Company's name is well known with respect to its products. This advantage, coupled with the Company's size, will likely enable it to preserve and increase its market share.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PRODUCT DEVELOPMENT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is highly committed to research and development. The Company views its investment in research and development as a key ingredient to long-term business success. The Company expended $1,494,952, $1,142,605 and $1,046,757 on research and development in the fiscal years ended June 30, 1999, 1998 and 1997, respectively.</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is continually developing new products and services. Current research and development efforts are focused on the conferencing system products, broadcast telephone interface products and enhancements to the remote control product family. The Company also invests resources in refining existing products. Moreover, the Company continues to allocate resources to obtain and maintain product regulatory compliance, both domestically and internationally.</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core technological competencies include many areas of telecommunications and telephone acoustic echo cancellation. The Company's capability to use Digital Signal Processing (DSP) technology to perform audio processing operations is also a core competency. This technology is critical to the performance of the Company's products.</w:t>
      </w:r>
    </w:p>
    <w:p>
      <w:pPr>
        <w:spacing w:after="0" w:line="177"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 maintains an internal computer aided design (CAD) team. This team creates the necessary electrical schematics, printed circuit board designs, mechanical designs, and manufacturing documentation to support the research</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and development efforts. The Company's CAD and product design teams use networked computing systems and sophisticated software programs to facilitate all aspects of product development.</w:t>
      </w:r>
    </w:p>
    <w:p>
      <w:pPr>
        <w:spacing w:after="0" w:line="175"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The Company believes that ongoing development of its core technological competencies is vitally important to future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AND PROPRIETARY RIGHTS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Trade secrets, proprietary information, and technical know-how are important to the Company's scientific and commercial success. The Company currently relies on a combination of trade secrets and nondisclosure agreements to establish and protect its proprietary rights in its products.</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currently holds federal registered servicemarks for 1-800 LETS MEET(R) and WE PUT THE WORLD ON SPEAKING TERMS(R), and federal registered trademarks for GENTNER(R), "GENTNER(R)" (as both the name and logo), and AUDIO PERFECT(R). In addition to these registered servicemarks and trademarks, the Company has federal applications pending for the following trademarks: DISTRIBUTED ECHO CANCELLATION(TM), and DISTRIBUTED ECHO CANCELLATION (D.E.C.)(TM). In addition, the Company has federal applications pending for the following servicemarks: COMMUNICATION AUDIT PROCESSSM, GENTNER CONFERENCE CALLSM, GENTNER COURT CONFERENCESM, and PERFECT COMMUNICATION THROUGH TECHNOLOGY, SERVICE AND EDUCATIONSM.</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designs and manufactures its equipment in accordance with the technical design standards of the Federal Communications Commission (FCC) Part 15 and Part 68. Part 15 of the FCC Rules governs the levels of electromagnetic radiation emanating from commercial computing equipment. The Company endeavors to conform all of its products covered by Part 15 of the FCC Rules based on testing performed at a FCC approved testing facility. Part 68 of the FCC Rules sets forth standards for telephone equipment that is intended to be connected to the Public Switch Telephone Network (PSTN) used within the United States. The Company's applicable telecommunications products are tested by an independent testing laboratory and are registered with the FCC.</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also designs and manufactures its equipment pursuant to industry product safety standards. The Canadian Standards Association (CSA), an approved Nationally Recognized Testing Laboratory (NRTL) under direction of the Occupational Safety and Health Administration (OSHA), tests all products and performs quarterly audits for continuing compliance to applicable safety standards.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Several of the Company's products are currently registered for sale in various international markets. The Company must conform to design standards similar to those of the FCC and CSA in each of the foreign countries in which the products are sold.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currently manufactures and/or assembles its products using purchased or leased manufacturing equipment. The equipment presently being used will continue to be utilized for several years. The Company's manufacturing facility incorporates modern, modular assembly work stations and work accessories that enhance the efficiency and quality of the manufacturing process. In July 1996, the Company installed a surface-mount assembly line, which has reduced manufacturing costs, and increased production efficiencies and capacity. Toward the end of fiscal 1998, the Company completely overhauled its manufacturing floor process, decreasing the manufacturing cycle time by two-thirds and improving the efficiency of raw materials management. The new process will enable the Company to more effectively meet the demand generated by increasing sales.</w:t>
      </w:r>
    </w:p>
    <w:p>
      <w:pPr>
        <w:spacing w:after="0" w:line="200" w:lineRule="exact"/>
        <w:rPr>
          <w:sz w:val="20"/>
          <w:szCs w:val="20"/>
          <w:color w:val="auto"/>
        </w:rPr>
      </w:pP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sales continue to increase substantially, the Company may be required to invest in additional manufacturing equipment. Subject to financial considerations, the Company does not believe it would experience any difficulty in obtaining any additional equipment that might be needed as a result of any substantial sales increase (see "Management's Discussion and Analysis--Financial Condition and Liquidity").</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generally purchases its assembly components from distributors, but also buys a limited amount directly from local fabricators. Its principal suppliers are Avnet, Arrow/Bell, Standard Supply Company, Precise Metal Products Company, Precision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RSI Systems.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general policy is to have a minimum of two vendor sources. Many of the components utilized are bonded by certain distributors and manufacturers. This bonding process places ordered products on the distributors' shelves until the Company requires the products. This allows the Company to reduce its inventory while maintaining available stock.</w:t>
      </w:r>
    </w:p>
    <w:p>
      <w:pPr>
        <w:spacing w:after="0" w:line="177" w:lineRule="exact"/>
        <w:rPr>
          <w:sz w:val="20"/>
          <w:szCs w:val="20"/>
          <w:color w:val="auto"/>
        </w:rPr>
      </w:pPr>
    </w:p>
    <w:p>
      <w:pPr>
        <w:ind w:right="3739"/>
        <w:spacing w:after="0" w:line="278" w:lineRule="auto"/>
        <w:rPr>
          <w:sz w:val="20"/>
          <w:szCs w:val="20"/>
          <w:color w:val="auto"/>
        </w:rPr>
      </w:pPr>
      <w:r>
        <w:rPr>
          <w:rFonts w:ascii="Courier New" w:cs="Courier New" w:eastAsia="Courier New" w:hAnsi="Courier New"/>
          <w:sz w:val="14"/>
          <w:szCs w:val="14"/>
          <w:color w:val="auto"/>
        </w:rPr>
        <w:t>The Company's ALS products are manufactured in Taiwan and shipped to its facility to complete the packaging before shipping to its customers.</w:t>
      </w:r>
    </w:p>
    <w:p>
      <w:pPr>
        <w:spacing w:after="0" w:line="15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videoconferencing products are manufactured by RSI Systems, Inc. in Minneapolis, Minnesota and shipped to the Company's facility to complete the packaging before shipping to its customers.</w:t>
      </w:r>
    </w:p>
    <w:p>
      <w:pPr>
        <w:spacing w:after="0" w:line="175"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 uses a real time computer system to monitor its manufacturing process, which allows the Company to utilize cost accounting for each product and to monitor profitability in each phase of the manufacturing process. The software is covered under a maintenance contract that allows for new version upgrades. The Company has developed an extensive software back-up system that provides for daily back-ups housed in a fireproof safe as well as biweekly backups in an off-site storage facility.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and Information Systems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become heavily reliant on its telecommunications and information systems (network) in order to conduct its day-to-day operations. Failure of the network for an extended amount of time could be detrimental to the Company's ongoing business (see "Factors that May Affect Future Results"). As such, the Company is establishing and will continue to develop an infrastructure that can support and enhance growth, reduce down time and improve operational efficiencies. Network features aimed at these objectives include pre-wiring of the Company's building for ease of changes and new installations; several different back-up power sources to guard against power failure; redundant equipment and circuit cards for some equipment; alarm systems and monitoring equipment; and a temperature controlled network room. In addition, the Company backs up its electronic data daily and stores the backup information off-site in case of catastrophic failure.</w:t>
      </w:r>
    </w:p>
    <w:p>
      <w:pPr>
        <w:spacing w:after="0" w:line="182"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Especially noteworthy is that as conference calling revenues grow, the network structure must expand at the same rate. The Company has a fully scalable network sufficient to accommodate future growth.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As of June 30, 1999, the Company had 156 employees, 154 of which were employed on a full-time basis. None of the Company's employees are subject to a collective bargaining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All of the Company's operations, including its executive offices, conference call service, product sales, research and development, and manufacturing, are conducted in a 40,000 square-foot facility located south of Salt Lake City. This facility is a modern building leased by the Company. The base monthly rent for this facility currently is approximately $23,700. The facility is in good condition and the Company believes the facility will be reasonably adequate to meet its immediate needs. Monthly rents will increase over the next eight years at rates approximating the consumer price index.</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This facility will allow the Company to grow steadily during this time, as the landlord has granted certain expansion options to the Company with respect to adjacent building space.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no pending legal proceedings.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No matter was submitted to a vote of security holders of the Company during the quarter ended June 30, 1999.</w:t>
      </w: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COMMON EQUITY AND RELATED STOCKHOLDER MATTERS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common stock is traded on the NASDAQ Small-Cap Stock Market under the symbol "GTNR." The following table sets forth quotations for the common stock for the last two fiscal years.</w:t>
      </w:r>
    </w:p>
    <w:p>
      <w:pPr>
        <w:spacing w:after="0" w:line="200" w:lineRule="exact"/>
        <w:rPr>
          <w:sz w:val="20"/>
          <w:szCs w:val="20"/>
          <w:color w:val="auto"/>
        </w:rPr>
      </w:pPr>
    </w:p>
    <w:p>
      <w:pPr>
        <w:spacing w:after="0" w:line="321"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2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High</w:t>
            </w:r>
          </w:p>
        </w:tc>
        <w:tc>
          <w:tcPr>
            <w:tcW w:w="2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Low</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3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3.00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2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4.31</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2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4.34</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2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5.75</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2.88</w:t>
            </w:r>
          </w:p>
        </w:tc>
      </w:tr>
      <w:tr>
        <w:trPr>
          <w:trHeight w:val="867"/>
        </w:trPr>
        <w:tc>
          <w:tcPr>
            <w:tcW w:w="23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47"/>
        </w:trPr>
        <w:tc>
          <w:tcPr>
            <w:tcW w:w="23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2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1.13</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0.75</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2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1.63</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0.88</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2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1.50</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0.91</w:t>
            </w:r>
          </w:p>
        </w:tc>
      </w:tr>
      <w:tr>
        <w:trPr>
          <w:trHeight w:val="173"/>
        </w:trPr>
        <w:tc>
          <w:tcPr>
            <w:tcW w:w="23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2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2.78</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bl>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above inter-dealer quotations were obtained from the National Association of Securities Dealers (NASD), do not reflect markups, markdowns, or commissions, and may not represent actual transactions.</w:t>
      </w:r>
    </w:p>
    <w:p>
      <w:pPr>
        <w:spacing w:after="0" w:line="175"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As of September 1, 1999, there were approximately 4,000 holders of common stock of the Company.</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does not pay a cash dividend and does not anticipate doing so in the foreseeable future. Currently, the Company's line of credit prohibits the payment of dividends. The Company intends to retain earnings for future capital requirements, growth and product development.</w:t>
      </w:r>
    </w:p>
    <w:p>
      <w:pPr>
        <w:spacing w:after="0" w:line="176" w:lineRule="exact"/>
        <w:rPr>
          <w:sz w:val="20"/>
          <w:szCs w:val="20"/>
          <w:color w:val="auto"/>
        </w:rPr>
      </w:pPr>
    </w:p>
    <w:p>
      <w:pPr>
        <w:ind w:left="720" w:right="3099" w:hanging="720"/>
        <w:spacing w:after="0" w:line="243" w:lineRule="auto"/>
        <w:rPr>
          <w:sz w:val="20"/>
          <w:szCs w:val="20"/>
          <w:color w:val="auto"/>
        </w:rPr>
      </w:pPr>
      <w:r>
        <w:rPr>
          <w:rFonts w:ascii="Courier New" w:cs="Courier New" w:eastAsia="Courier New" w:hAnsi="Courier New"/>
          <w:sz w:val="15"/>
          <w:szCs w:val="15"/>
          <w:color w:val="auto"/>
        </w:rPr>
        <w:t>ITEM 6. MANAGEMENT'S DISCUSSION AND ANALYSIS OF FINANCIAL CONDITION AND RESULTS OF OPERATIONS</w:t>
      </w:r>
    </w:p>
    <w:p>
      <w:pPr>
        <w:spacing w:after="0" w:line="176"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Certain statements contained in this report are forward looking statements. This includes the discussion regarding the Company's beliefs, plans, objectives, expectations, and intentions about the Company's ability to obtain more of the revenue associated with room installations, the Company's belief that it will improve its development cycle, and the Company's anticipation that it can achieve its business plan through a combination of internally generated funds and short-term and/or long-term borrowing. While the Company believes that such statements are accurate, the Company's business is dependent upon general economic conditions, particularly those that affect the demand for its products, including increased competition, and future trends and results which cannot be predicted with certainty. The Company's actual results could differ materially from those discussed in such forward looking statements. The cautionary statements made in this report should be read as being applicable to all related forward-looking statements wherever they appear in this report. Factors that could cause or contribute to such differences include those discussed below in the section entitled "Factors that may Affect Future Results."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June 30, 1999 Compared to Year Ended June 30, 1998.</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for the year ended June 30, 1999 ("fiscal 1999") increased 33% compared to the prior fiscal year ended June 30, 1998. This increase is mainly due to the strong growth of sales in the conferencing market, but growth in revenues from the broadcast market also contributed to the increase.</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Revenues from the conferencing market increased 61% during fiscal 1999 as compared to fiscal 1998. Product sales increased 66% mainly due to the success of the Audio Perfect(R) ("AP") product line. The AP product line began shipping in April of 1998. These products use a digital technology called Distributed Echo Cancellation ("D.E.C.")(TM) and incorporate several functional devices including automatic microphone mixing, echo cancellation, audio routing, audio equalization and audio processing into a single device. The AP product line integrates a number of audio components into one-box conferencing solutions for corporate boardrooms, public meeting rooms, distance learning applications, and other similar applications where audio is essential. The Company's conference calling service, 1-800 LETS MEET(R), experienced sales growth of 46% for fiscal 1999 as compared to fiscal 1998. The Company attributes this growth in sales to an increased customer base as well as the overall market growth over the last year. This service is being marketed not only to corporate clients, but also to long distance telephone service providers for resale.</w:t>
      </w:r>
    </w:p>
    <w:p>
      <w:pPr>
        <w:spacing w:after="0" w:line="183"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Sales in the broadcast market grew 10% in fiscal 1999 compared to the previous fiscal year. In this market, remote control grew 29%, mainly due to large sales of the GSC3000. The GSC3000 allows broadcasters to monitor and control many transmitter sites from one location. Sales to the television market and the introduction of the Voice Interface also contributed to the increased sales of the GSC3000. The Voice Interface allows an engineer to call the remote equipment from any telephone, check on its status, and make adjustment using only the telephone. Sales to telephone interface customers increased less than 1%.</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During fiscal 1999, sales of products that are not in either the broadcast or conferencing markets ("Other Products") decreased 11%. Within Other Products, sales of Assistive Listening Systems ("ALS") increased 3%. With the exception of ALS, the Company is not promoting Other Products, and those sales are expected to continue to decline.</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gross profit margin increased to 57% in fiscal 1999. It was 52% in fiscal 1998. This increase is primarily due to increased efficiencies in the manufacturing process, new products with higher gross profit margins, a different product mix and aggressive vendor pricing.</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 Company's operating expenses increased 23% when comparing fiscal 1999 to fiscal 1998. Most of the increase in operating expenses came in the sales and marketing area.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 expenses also increased.</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and marketing expenses for fiscal 1999 increased 35% from fiscal 1998. A major expense increase in this area came from commissions and salaries, which was a direct correlation to increased sales. The Company also had an increase in direct advertising expense and advertising expense shared with dealers.</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Product development costs increased 31% in fiscal 1999 as compared to fiscal 1998. This was mainly due to increased personnel and development costs of the videoconferencing products. The Company increased R&amp;D personnel so that each engineer can specialize in a specific product area. The Company believes it will continue to improve the development cycle by having specialized engineers.</w:t>
      </w:r>
    </w:p>
    <w:p>
      <w:pPr>
        <w:spacing w:after="0" w:line="177"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General and administrative expenses increased 3% in fiscal 1999 as compared to the previous fiscal year. Although there were increased expenses in the IS department due to added personnel, these expenses were offset by decreases in other general and administrative expenses related to the severance package in fiscal 1998.</w:t>
      </w:r>
    </w:p>
    <w:p>
      <w:pPr>
        <w:spacing w:after="0" w:line="177" w:lineRule="exact"/>
        <w:rPr>
          <w:sz w:val="20"/>
          <w:szCs w:val="20"/>
          <w:color w:val="auto"/>
        </w:rPr>
      </w:pPr>
    </w:p>
    <w:p>
      <w:pPr>
        <w:jc w:val="both"/>
        <w:ind w:right="3019"/>
        <w:spacing w:after="0" w:line="244" w:lineRule="auto"/>
        <w:rPr>
          <w:sz w:val="20"/>
          <w:szCs w:val="20"/>
          <w:color w:val="auto"/>
        </w:rPr>
      </w:pPr>
      <w:r>
        <w:rPr>
          <w:rFonts w:ascii="Courier New" w:cs="Courier New" w:eastAsia="Courier New" w:hAnsi="Courier New"/>
          <w:sz w:val="15"/>
          <w:szCs w:val="15"/>
          <w:color w:val="auto"/>
        </w:rPr>
        <w:t>Interest expense decreased 38% when comparing fiscal 1999 to fiscal 1998 due to payment in full of all long-term debt and not using the line of credit in fiscal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June 30, 1998 Compared to Year Ended June 30, 1997.</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for the year ended June 30, 1998 ("fiscal 1998") increased 29% compared to the prior fiscal year ended June 30, 1997. This increase is mainly due to the strong growth of sales in the conferencing market, but growth in revenues from the broadcast market also contributed to the increase.</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right="3199"/>
        <w:spacing w:after="0" w:line="262" w:lineRule="auto"/>
        <w:rPr>
          <w:sz w:val="20"/>
          <w:szCs w:val="20"/>
          <w:color w:val="auto"/>
        </w:rPr>
      </w:pPr>
      <w:r>
        <w:rPr>
          <w:rFonts w:ascii="Courier New" w:cs="Courier New" w:eastAsia="Courier New" w:hAnsi="Courier New"/>
          <w:sz w:val="14"/>
          <w:szCs w:val="14"/>
          <w:color w:val="auto"/>
        </w:rPr>
        <w:t>Revenues from the conferencing market increased 67% during fiscal 1998 as compared to fiscal 1997. Product sales increased 55% mainly due to the introduction of the Audio Perfect(R) product line and an increase in the sales of GT724 audioconferencing systems. The Company's conference calling service,</w:t>
      </w:r>
    </w:p>
    <w:p>
      <w:pPr>
        <w:spacing w:after="0" w:line="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1-800 LETS MEET(R), experienced sales growth of 117% for fiscal 1998 as compared to fiscal 1997. This growth is a result of the Company expanding its sales staff, who are aggressively marketing its conference calling service. This service is being marketed not only to corporate clients, but also to long distance telephone service providers for resale.</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in the broadcast market grew 7% in fiscal 1998 compared to the previous fiscal year. In this market, remote control grew significantly (36%), mainly due to large sales of the GSC3000. Sales to the television market and the introduction of the Voice Interface also contributed to the increased sales of the GSC3000. Sales to telephone interface customers dropped slightly (4%). Even though domestic sales of telephone interface products dropped, international sales are showing strong growth with a 51% increase in fiscal 1998 sales compared to fiscal 1997.</w:t>
      </w:r>
    </w:p>
    <w:p>
      <w:pPr>
        <w:spacing w:after="0" w:line="178"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During fiscal 1998, sales of products that are not in either the broadcast or conferencing markets ("Other Products") changed less than 1%. Within Other Products, sales of Assistive Listening Systems ("ALS") increased 23%. Non-ALS Other Products sales declined, and are expected to continue to decline.</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Company's gross profit margin increased to 52% in fiscal 1998. It was 48% in fiscal 1997. This increase is primarily due to price increases at the beginning of this fiscal year, aggressive vendor pricing, new products with higher gross profit margins, a different product mix and increased efficiencies in the manufacturing process.</w:t>
      </w:r>
    </w:p>
    <w:p>
      <w:pPr>
        <w:spacing w:after="0" w:line="17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operating expenses increased 10% when comparing fiscal 1998 to fiscal 1997. Most of the increase in operating expenses came in the general and administrative area. Product development expenses also increased.</w:t>
      </w:r>
    </w:p>
    <w:p>
      <w:pPr>
        <w:spacing w:after="0" w:line="175"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General and administrative expenses increased 23% in fiscal 1998 as compared to the previous fiscal year. The one-time expense of the severance package of the Company's former CEO contributed to the increase. Facility expenses also increased as a result of moving into a larger facility in November of 1996.</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Sales and marketing expenses for fiscal 1998 only increased 2% from fiscal 1997. A major expense increase in this area came from commissions, which was a direct result of increased sales. However, this was offset from the Company reducing other expenses by bringing all advertising development in house and closely monitoring other advertising expenses.</w:t>
      </w:r>
    </w:p>
    <w:p>
      <w:pPr>
        <w:spacing w:after="0" w:line="177" w:lineRule="exact"/>
        <w:rPr>
          <w:sz w:val="20"/>
          <w:szCs w:val="20"/>
          <w:color w:val="auto"/>
        </w:rPr>
      </w:pPr>
    </w:p>
    <w:p>
      <w:pPr>
        <w:ind w:right="3459"/>
        <w:spacing w:after="0" w:line="244" w:lineRule="auto"/>
        <w:rPr>
          <w:sz w:val="20"/>
          <w:szCs w:val="20"/>
          <w:color w:val="auto"/>
        </w:rPr>
      </w:pPr>
      <w:r>
        <w:rPr>
          <w:rFonts w:ascii="Courier New" w:cs="Courier New" w:eastAsia="Courier New" w:hAnsi="Courier New"/>
          <w:sz w:val="15"/>
          <w:szCs w:val="15"/>
          <w:color w:val="auto"/>
        </w:rPr>
        <w:t>Product development costs increased 9% in fiscal 1998 as compared to fiscal 1997. This was mainly due to increased personnel and product compliance activities. The Company increased R&amp;D personnel so that each engineer can specialize in a specific product area.</w:t>
      </w:r>
    </w:p>
    <w:p>
      <w:pPr>
        <w:spacing w:after="0" w:line="176"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Interest expense increased 23% when comparing fiscal 1998 to fiscal 1997 due to increased debt balances used to finance the facility expansion.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AND LIQUIDITY</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financial condition grew stronger in fiscal year 1999. The Company's current ratio was 3.7:1 at the end of fiscal 1999 as compared to 3.0:1 at the end of fiscal 1998. Inventories decreased 9% and accounts receivable increased 29% during fiscal 1999 as a result of higher sales. The inventory decrease is attributable to improved manufacturing processes. Cash on hand increased due to strong positive cash flows from operations. During fiscal 1999 the Company retired all outstanding notes. These changes all contribute to the financial strength of the Company.</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an available revolving line of credit of $5.0 million, which is secured by the Company's accounts receivable and inventory. The interest rate on the line of credit is a variable interest rate (250 basis points over the London Interbank Offered Rate (LIBOR) or prime less 0.25%, whichever the Company chooses). There was no outstanding balance on June 30, 1999. The line of credit expires on December 22, 2000.</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described in the notes to the financial statements, the Company has certain commitments relating to capital expenditures. These commitments are in the form of obligations classified as long-term debt and capital leases for fiscal 1999 and as capital leases for fiscal 2000. Both are related to the financing of furniture and equipment. Together, the current obligation on these commitments was $623,812 in fiscal 1999 and will be $296,449 in fiscal 2000. The Company also has a commitment with a supplier as described in Note 14 in the financial statements. The commitment with this supplier was $640,000 in fiscal 1999 and for fiscal 2000 will be $252,000.</w:t>
      </w:r>
    </w:p>
    <w:p>
      <w:pPr>
        <w:spacing w:after="0" w:line="179"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continued to experience positive cash flows in fiscal 1999. Increasing sales and profitability are the main reasons for positive operating cash flows. The reduction of inventory and increases in accounts payable and accrued expenses also were significant factors in improved operating cash flows. The Company did consume cash by building up the accounts receivable balance, but overall operating cash flows remain strong. As sales continue to increase, the Company anticipates that it can achieve its business plan through a combination of internally generated funds and short-term and/or long-term borrowing, if necessary.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 - Rapid Technological Change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broadcast, conferencing and other product markets are highly competitive and characterized by rapid technological change. The Company's future performance will depend in large part upon its ability to remain competitive and to develop and market new products and services in these markets. The Company competes with businesses having substantial financial, research and development, manufacturing, marketing and other resources.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markets in which the Company competes have historically involved the introduction of new and technologically advanced products and services that cost less or perform better. If the Company is not competitive in its research and development efforts, its products may become obsolete or be priced above competitive levels.</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Although management believes that based on their performance and price, its products are attractive to customers, there can be no assurance that competitors will not introduce comparable or technologically superior products, which are priced more favorably than the Company's products.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has experience in marketing its products. However, it is subject to all of the risks inherent in the sale and marketing of current and new products and services in an evolving marketplace. The Company must effectively allocate its resources to the marketing and sale of these products through diverse channels of distribution. The Company's strategy is to establish distribution channels and direct selling efforts in markets where it believes there is a growing need for its products and services. There can be no assurance that this strategy will prove successful.</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Distribution Network</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Company markets its products primarily through a network of representatives, dealers and master distributors. All of the Company's agreements retaining such representatives and dealers are non-exclusive and terminable at will by either party. Although the Company believes that its relationships with such representatives and dealers are good, there can be no assurance that any of such representatives or dealers will continue to offer the Company's products.</w:t>
      </w:r>
    </w:p>
    <w:p>
      <w:pPr>
        <w:spacing w:after="0" w:line="16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Price discounts are based on performance. However, there are no obligations on the part of such representatives and dealers to provide any specified level of support to the Company's products or to devote any specific time, resources or efforts to the marketing of the Company's products. There are no prohibitions on dealers offering products that are competitive with those of the Company. Most dealers do offer competitive products. The Company reserves the right to maintain house accounts, which are for products sold direct. The loss of a majority or all representatives or dealers could have a material adverse effect on the Company's business.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Capitalization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As of June 30, 1999, the Company had $3,922,183 in cash and $6,787,087 in working capital. The Company may be required to seek additional financing if anticipated levels of revenue are not realized, if higher than anticipated costs are incurred in the development, manufacture or marketing of the Company's products, or if product demand exceeds expected levels. There can be no assurance that any additional financing thereby necessitated will be available on acceptable terms, or at all.</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In addition, the Company's revolving $5 million line of credit matures in December of 2000 and there can be no assurance that the Company will be able to extend the maturity date of the line of credit or obtain a replacement line of credit from another commercial institution. The Company had no outstanding balance payable on the line of credit as of June 30, 1999. To the extent the line of credit is not extended or replaced and cash from operations is unavailable to pay the indebtedness then outstanding under the line of credit, the Company may be required to seek additional financing.</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Telecommunications and Information Systems (Network)</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is highly reliant on its network equipment, data and software to support all functions of the Company. The Company's conference calling service relies 100% on the network for its revenues. While the Company endeavors to provide for failures in the network by providing back up systems and procedures, there is no guarantee that these back up systems and procedures will operate satisfactorily in an emergency. Should the Company experience such a failure, it could seriously jeopardize its ability to continue operations. In particular, should the Company's conference calling service experience even a short term interruption of its network, its ongoing customers may choose a different provider.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Upon Key Employees</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is substantially dependent upon certain of its employees, including Frances M. Flood, a Director, President and Chief Executive Officer and a stockholder of the Company. The loss of Ms. Flood by the Company could have a material adverse effect on the Company. The Company currently has in place a key person life insurance policy on the life of Ms. Flood in the amount of $3,000,000.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Dependence on Supplier and Single Source of Supply</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The Company has a written agreement with only one of its suppliers. Furthermore, certain digital microprocessor chips used in connection with the Company's products can only be obtained from a single manufacturer and the Company is dependent upon the ability of this manufacturer to deliver such chips to the Company's suppliers so that they can meet the Company's delivery schedules. The Company does not have a written commitment from such suppliers to fulfill the Company's future requirements. The Company's suppliers maintain an inventory of such chips, but there can be no assurance that such chips will always be readily available, available at reasonable prices, available in sufficient quantities, or deliverable in a timely fashion. If such chips or other key components become unavailable, it is likely that the Company will experience delays, which could be significant, in production and delivery of its products unless and until the Company can otherwise procure the required component or components at competitive prices, if at all. The lack of availability of these components could have a materially adverse effect on the Company.</w:t>
      </w:r>
    </w:p>
    <w:p>
      <w:pPr>
        <w:spacing w:after="0" w:line="34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Although the Company believes that most of the key components required for the production of its products are currently available in sufficient production quantities, there can be no assurance that they will remain available. Furthermore, suppliers of some of these components are currently or may become competitors of the Company, which might also affect the availability of key components to the Company. It is possible that other components required in the future may necessitate custom fabrication in accordance with specifications developed or to be developed by the Company. Also, in the event the Company, or any of the manufacturers whose products the Company expects to utilize in the manufacture of its products, is unable to develop or acquire components in a timely fashion, the Company's ability to achieve production yields, revenues and net income will be adversely affected.</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Lack of Patent Protection</w:t>
      </w:r>
    </w:p>
    <w:p>
      <w:pPr>
        <w:spacing w:after="0" w:line="178" w:lineRule="exact"/>
        <w:rPr>
          <w:sz w:val="20"/>
          <w:szCs w:val="20"/>
          <w:color w:val="auto"/>
        </w:rPr>
      </w:pPr>
    </w:p>
    <w:p>
      <w:pPr>
        <w:ind w:right="3019"/>
        <w:spacing w:after="0" w:line="265" w:lineRule="auto"/>
        <w:rPr>
          <w:sz w:val="20"/>
          <w:szCs w:val="20"/>
          <w:color w:val="auto"/>
        </w:rPr>
      </w:pPr>
      <w:r>
        <w:rPr>
          <w:rFonts w:ascii="Courier New" w:cs="Courier New" w:eastAsia="Courier New" w:hAnsi="Courier New"/>
          <w:sz w:val="14"/>
          <w:szCs w:val="14"/>
          <w:color w:val="auto"/>
        </w:rPr>
        <w:t>The Company currently relies on a combination of trade secret and nondisclosure agreements to establish and protect its proprietary rights in its products. There can be no assurance that others will not independently develop similar technologies, or duplicate or design around aspects of the Company's technology. The Company believes that its products and other proprietary rights do not infringe any proprietary rights of third parties. There can be no assurance, however, that third parties will not assert infringement claims in the future.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Funding and Regulation</w:t>
      </w:r>
    </w:p>
    <w:p>
      <w:pPr>
        <w:spacing w:after="0" w:line="178" w:lineRule="exact"/>
        <w:rPr>
          <w:sz w:val="20"/>
          <w:szCs w:val="20"/>
          <w:color w:val="auto"/>
        </w:rPr>
      </w:pPr>
    </w:p>
    <w:p>
      <w:pPr>
        <w:jc w:val="both"/>
        <w:ind w:right="3279"/>
        <w:spacing w:after="0" w:line="244" w:lineRule="auto"/>
        <w:rPr>
          <w:sz w:val="20"/>
          <w:szCs w:val="20"/>
          <w:color w:val="auto"/>
        </w:rPr>
      </w:pPr>
      <w:r>
        <w:rPr>
          <w:rFonts w:ascii="Courier New" w:cs="Courier New" w:eastAsia="Courier New" w:hAnsi="Courier New"/>
          <w:sz w:val="15"/>
          <w:szCs w:val="15"/>
          <w:color w:val="auto"/>
        </w:rPr>
        <w:t>In the conferencing market, the Company is dependent on government funding to place its distance learning sales and courtroom equipment sales. In the event government funding was stopped, these sales would be negatively impacted.</w:t>
      </w:r>
    </w:p>
    <w:p>
      <w:pPr>
        <w:spacing w:after="0" w:line="2" w:lineRule="exact"/>
        <w:rPr>
          <w:sz w:val="20"/>
          <w:szCs w:val="20"/>
          <w:color w:val="auto"/>
        </w:rPr>
      </w:pPr>
    </w:p>
    <w:p>
      <w:pPr>
        <w:ind w:right="3739"/>
        <w:spacing w:after="0" w:line="278" w:lineRule="auto"/>
        <w:rPr>
          <w:sz w:val="20"/>
          <w:szCs w:val="20"/>
          <w:color w:val="auto"/>
        </w:rPr>
      </w:pPr>
      <w:r>
        <w:rPr>
          <w:rFonts w:ascii="Courier New" w:cs="Courier New" w:eastAsia="Courier New" w:hAnsi="Courier New"/>
          <w:sz w:val="14"/>
          <w:szCs w:val="14"/>
          <w:color w:val="auto"/>
        </w:rPr>
        <w:t>Additionally, many of the Company's products are subject to governmental regulations. New regulations could significantly impact sales.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Unlikely</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 has never paid cash dividends on its securities and does not intend to declare or pay cash dividends in the foreseeable future. Earnings are expected to be retained to finance and expand its business. Furthermore, the Company's revolving line of credit prohibits the payment of dividends on its Common Stock.</w:t>
      </w:r>
    </w:p>
    <w:p>
      <w:pPr>
        <w:spacing w:after="0" w:line="177"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Potential Dilutive Effect of Outstanding Options and Possible Negative Effect of Future Financing</w:t>
      </w:r>
    </w:p>
    <w:p>
      <w:pPr>
        <w:spacing w:after="0" w:line="176"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outstanding options issued under the Company's 1990 Incentive Plan and the 1998 Stock Option Plan, which includes options to purchase up to 1,900,000 shares of Common Stock granted or available for grant. Holders of these options are given an opportunity to profit from a rise in the market price of the Company's Common Stock with a resulting dilution in the interests of the other stockholders. The holders of the options may exercise them at a time when the Company might be able to obtain additional capital through a new offering of securities on terms more favorable than those provided therein.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Control by Officers and Directors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officers and directors of the Company together had beneficial ownership of approximately 27.2% of the Common Stock (including options that are currently exercisable or exercisable within sixty (60) days) of the Company as of September 1, 1999. This significant holding in the aggregate place the officers and directors in a position, when acting together, to effectively control the Company (see "Security Ownership of Certain Beneficial Owners and Management").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Collectability of Outstanding Receivables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The Company grants credit without requiring collateral to substantially all of its customers. Although the possibility of a large percentage of customers defaulting exists, the Company considers this scenario to be highly unlikely. The current default rate is less than 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has assessed the impact of the Year 2000 issue* on its information technology ("IT") and non-IT systems. $53,400 has been incurred to upgrade existing systems so that they are Year 2000 compatible. To date, the Company has identified two of its systems and some personal computers that have been upgraded. There were no significant interruptions to the business caused by the upgrade process. The Company financed the upgrades with operating income.</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Company purchased the software and hardware to upgrade its internal phone system, including the voice mail system. The system was upgraded, and associates were trained how to use the new system. The cost of this software and hardware was $49,900. The Company also upgraded its conference calling bridge. This system is essential to the Company's conference calling service. The manufacturer furnished the software to the Company at no cost, and internal costs during</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left="8" w:right="3279"/>
        <w:spacing w:after="0" w:line="243" w:lineRule="auto"/>
        <w:rPr>
          <w:sz w:val="20"/>
          <w:szCs w:val="20"/>
          <w:color w:val="auto"/>
        </w:rPr>
      </w:pPr>
      <w:r>
        <w:rPr>
          <w:rFonts w:ascii="Courier New" w:cs="Courier New" w:eastAsia="Courier New" w:hAnsi="Courier New"/>
          <w:sz w:val="15"/>
          <w:szCs w:val="15"/>
          <w:color w:val="auto"/>
        </w:rPr>
        <w:t>the upgrade process were minimal. The personal computers were upgraded by the end of April of 1999, at a cost of approximately $3,500.</w:t>
      </w:r>
    </w:p>
    <w:p>
      <w:pPr>
        <w:spacing w:after="0" w:line="176"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is in the process of determining through direct contacts whether its material vendors and suppliers, and its larger customers are Year 2000 compliant. To date, no major customer or supplier that the Company contacted has stated any Year 2000 compliance problems that would significantly impact the operations of the Company.</w:t>
      </w:r>
    </w:p>
    <w:p>
      <w:pPr>
        <w:spacing w:after="0" w:line="177"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At the present time, the Company believes that a reasonably likely worst case scenario involving a Year 2000 event would be in a non-IT system affecting the Company's manufacturing process. Such an event could result in the suspension of the affected portion of the manufacturing process until such a problem is corrected. However, the Company believes that as it continues its Year 2000 assessment the risk of such an event will decrease.</w:t>
      </w:r>
    </w:p>
    <w:p>
      <w:pPr>
        <w:spacing w:after="0" w:line="177" w:lineRule="exact"/>
        <w:rPr>
          <w:sz w:val="20"/>
          <w:szCs w:val="20"/>
          <w:color w:val="auto"/>
        </w:rPr>
      </w:pPr>
    </w:p>
    <w:p>
      <w:pPr>
        <w:ind w:left="8" w:right="3199"/>
        <w:spacing w:after="0" w:line="278" w:lineRule="auto"/>
        <w:rPr>
          <w:sz w:val="20"/>
          <w:szCs w:val="20"/>
          <w:color w:val="auto"/>
        </w:rPr>
      </w:pPr>
      <w:r>
        <w:rPr>
          <w:rFonts w:ascii="Courier New" w:cs="Courier New" w:eastAsia="Courier New" w:hAnsi="Courier New"/>
          <w:sz w:val="14"/>
          <w:szCs w:val="14"/>
          <w:color w:val="auto"/>
        </w:rPr>
        <w:t>The Company has developed contingency plans for dealing with Year 2000 issues, including the worst case scenario just described. Those plans are in place.</w:t>
      </w:r>
    </w:p>
    <w:p>
      <w:pPr>
        <w:spacing w:after="0" w:line="153"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has performed a Year 2000 compliance review of its product line. To date, the Company has addressed all existing Year 2000 compliance issues on products.</w:t>
      </w:r>
    </w:p>
    <w:p>
      <w:pPr>
        <w:spacing w:after="0" w:line="175"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costs of the projects and the dates on which the Company believes it will complete the Year 2000 upgrades are based on management's best estimates at this time, which were derived utilizing numerous assumptions of future events, including the continued availability of certain resources and other factors. However, there can be no guarantees that these estimates will be achieved, that personnel trained in this area will be available at a reasonable cost, or that we will locate and correct all relevant computer codes and similar uncertainties.</w:t>
      </w:r>
    </w:p>
    <w:p>
      <w:pPr>
        <w:spacing w:after="0" w:line="178" w:lineRule="exact"/>
        <w:rPr>
          <w:sz w:val="20"/>
          <w:szCs w:val="20"/>
          <w:color w:val="auto"/>
        </w:rPr>
      </w:pPr>
    </w:p>
    <w:p>
      <w:pPr>
        <w:ind w:left="188" w:right="3199" w:hanging="188"/>
        <w:spacing w:after="0" w:line="244" w:lineRule="auto"/>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"Year 2000 Issue" has arisen because many computer programs were written using only the last two digits to refer to a year (i.e. "98" for 1998). Therefore, these computer programs may not properly recognize the year 2000. If not corrected, many computer applications could fail or create erroneous results.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NEW ACCOUNTING PRONOUNCEMENTS</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1997, the Financial Accounting Standards Board ("FASB") issued SFAS No. 128, "Earnings per Share." SFAS 128 replaced the calculation of primary and fully diluted earnings (loss) per share with basic and diluted earnings (loss) per share. Unlike primary earnings (loss) per share, basic earnings (loss) per share excludes any dilutive effects of options, warrants and convertible securities. Diluted earnings (loss) per share is very similar to the previously reported fully diluted earnings (loss) per share. All earnings (loss) per share amounts for all periods have been presented, and where appropriate, restated to conform to the SFAS 128 requirements.</w:t>
      </w:r>
    </w:p>
    <w:p>
      <w:pPr>
        <w:spacing w:after="0" w:line="179"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established standards for reporting and display of "Comprehensive Income" which is the total of net income and all other non-owner changes in stockholders' equity and its components. SFAS 130 is effective for fiscal years beginning after December 15, 1997 with earlier application permitted. The Company adopted the standard in fiscal 1999. The Company's comprehensive income does not differ from previously reported net income as the Company presently has no additional items of comprehensive income.</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In June 1997, the FASB also issued SFAS No. 131, "Disclosures about Segments of an Enterprise and Related Information." SFAS 131, which supersedes SFAS Nos. 14, 18, 24 and 30, establishes new standards for segment reporting in which reportable segments are based on the same criteria on which management disaggregates a business for making operating decisions and assessing performance. SFAS 131 is effective for fiscal years beginning after December 15, 1997 with earlier application permitted. The Company adopted the standard in fiscal 1999 and has analyzed the impact of this standard on previously reported information. See Note 15 in the financial statements for additional segment information.</w:t>
      </w:r>
    </w:p>
    <w:p>
      <w:pPr>
        <w:spacing w:after="0" w:line="200" w:lineRule="exact"/>
        <w:rPr>
          <w:sz w:val="20"/>
          <w:szCs w:val="20"/>
          <w:color w:val="auto"/>
        </w:rPr>
      </w:pPr>
    </w:p>
    <w:p>
      <w:pPr>
        <w:spacing w:after="0" w:line="32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Index to Financial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Sheets for June 30, 1999 and 1998.</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Operations for fiscal years ended June 30, 1999, 1998, and 1997.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Cash Flows for fiscal years ended June 30, 1999, 1998, and 1997.</w:t>
      </w:r>
    </w:p>
    <w:p>
      <w:pPr>
        <w:spacing w:after="0" w:line="18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Statements of Shareholders' Equity for fiscal years ended June 30, 1999, 1998, and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We have audited the accompanying balance sheets of Gentner Communications Corporation as of June 30, 1999 and 1998, and the related statements of operations, shareholders' equity, and cash flows for each of the three years in the period ended June 30,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Gentner Communications Corporation at June 30, 1999 and 1998, and the results of its operations and its cash flows for each of the three years in the period ended June 30, 1999, in conformity with generally accepted accounting principles.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30, 1999</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3"/>
        </w:trPr>
        <w:tc>
          <w:tcPr>
            <w:tcW w:w="5540" w:type="dxa"/>
            <w:vAlign w:val="bottom"/>
          </w:tcPr>
          <w:p>
            <w:pPr>
              <w:spacing w:after="0"/>
              <w:rPr>
                <w:sz w:val="15"/>
                <w:szCs w:val="15"/>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ASSETS</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Cash and cash equivalents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$ 3,922,183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715,325</w:t>
            </w:r>
          </w:p>
        </w:tc>
      </w:tr>
      <w:tr>
        <w:trPr>
          <w:trHeight w:val="173"/>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 less allowances</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$241,000 in 1999, and $246,000 in 1998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2,242,294</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1,743,390</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Inventory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2,858,835</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3,154,983</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Deferred taxes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115,000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current assets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143,441</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174,667</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assets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9,281,753</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5,828,365</w:t>
            </w:r>
          </w:p>
        </w:tc>
      </w:tr>
      <w:tr>
        <w:trPr>
          <w:trHeight w:val="347"/>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Property and equipment, net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2,125,959</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2,320,336</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Related party note receivable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98,633</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126,505</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Other assets, net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13,069</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36,534</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assets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$11,519,414</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$ 8,311,740</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7340" w:type="dxa"/>
            <w:vAlign w:val="bottom"/>
            <w:gridSpan w:val="2"/>
          </w:tcPr>
          <w:p>
            <w:pPr>
              <w:jc w:val="right"/>
              <w:ind w:right="140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Accounts payable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   725,193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537,202</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Accrued compensation and other benefits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762,345</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486,658</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accrued expenses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791,274</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372,823</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 portion of long-term debt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285,630</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 portion of capital lease obligations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215,854</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237,109</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liabilities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2,494,666</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1,919,422</w:t>
            </w:r>
          </w:p>
        </w:tc>
      </w:tr>
      <w:tr>
        <w:trPr>
          <w:trHeight w:val="347"/>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Long-term debt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402,584</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Capital lease obligations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455,389</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752,728</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Deferred tax liability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217,000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liabilities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3,167,055</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3,074,734</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3"/>
        </w:trPr>
        <w:tc>
          <w:tcPr>
            <w:tcW w:w="5540" w:type="dxa"/>
            <w:vAlign w:val="bottom"/>
          </w:tcPr>
          <w:p>
            <w:pPr>
              <w:ind w:left="360"/>
              <w:spacing w:after="0"/>
              <w:rPr>
                <w:sz w:val="20"/>
                <w:szCs w:val="20"/>
                <w:color w:val="auto"/>
              </w:rPr>
            </w:pPr>
            <w:r>
              <w:rPr>
                <w:rFonts w:ascii="Courier New" w:cs="Courier New" w:eastAsia="Courier New" w:hAnsi="Courier New"/>
                <w:sz w:val="15"/>
                <w:szCs w:val="15"/>
                <w:color w:val="auto"/>
              </w:rPr>
              <w:t>Common stock, 50,000,000 shares authorized,</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540" w:type="dxa"/>
            <w:vAlign w:val="bottom"/>
          </w:tcPr>
          <w:p>
            <w:pPr>
              <w:ind w:left="540"/>
              <w:spacing w:after="0"/>
              <w:rPr>
                <w:sz w:val="20"/>
                <w:szCs w:val="20"/>
                <w:color w:val="auto"/>
              </w:rPr>
            </w:pPr>
            <w:r>
              <w:rPr>
                <w:rFonts w:ascii="Courier New" w:cs="Courier New" w:eastAsia="Courier New" w:hAnsi="Courier New"/>
                <w:sz w:val="15"/>
                <w:szCs w:val="15"/>
                <w:color w:val="auto"/>
              </w:rPr>
              <w:t>par value $.001, 8,129,691 and</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540" w:type="dxa"/>
            <w:vAlign w:val="bottom"/>
          </w:tcPr>
          <w:p>
            <w:pPr>
              <w:ind w:left="540"/>
              <w:spacing w:after="0"/>
              <w:rPr>
                <w:sz w:val="20"/>
                <w:szCs w:val="20"/>
                <w:color w:val="auto"/>
              </w:rPr>
            </w:pPr>
            <w:r>
              <w:rPr>
                <w:rFonts w:ascii="Courier New" w:cs="Courier New" w:eastAsia="Courier New" w:hAnsi="Courier New"/>
                <w:sz w:val="15"/>
                <w:szCs w:val="15"/>
                <w:color w:val="auto"/>
              </w:rPr>
              <w:t>7,698,523 shares issued and outstanding</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at June 30, 1999 and 1998, respectively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8,130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7,699</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 paid-in capital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5,024,858</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4,454,407</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Retained earnings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3,319,371</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774,900</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shareholders' equity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8,352,359</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5,237,006</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liabilities and shareholders' equity .........</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$11,519,414</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$ 8,311,740</w:t>
            </w:r>
          </w:p>
        </w:tc>
      </w:tr>
      <w:tr>
        <w:trPr>
          <w:trHeight w:val="173"/>
        </w:trPr>
        <w:tc>
          <w:tcPr>
            <w:tcW w:w="5540" w:type="dxa"/>
            <w:vAlign w:val="bottom"/>
          </w:tcPr>
          <w:p>
            <w:pPr>
              <w:spacing w:after="0"/>
              <w:rPr>
                <w:sz w:val="15"/>
                <w:szCs w:val="15"/>
                <w:color w:val="auto"/>
              </w:rPr>
            </w:pP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Years ended June 30,</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3"/>
        </w:trPr>
        <w:tc>
          <w:tcPr>
            <w:tcW w:w="4180" w:type="dxa"/>
            <w:vAlign w:val="bottom"/>
          </w:tcPr>
          <w:p>
            <w:pPr>
              <w:spacing w:after="0"/>
              <w:rPr>
                <w:sz w:val="15"/>
                <w:szCs w:val="15"/>
                <w:color w:val="auto"/>
              </w:rPr>
            </w:pPr>
          </w:p>
        </w:tc>
        <w:tc>
          <w:tcPr>
            <w:tcW w:w="51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780" w:type="dxa"/>
            <w:vAlign w:val="bottom"/>
          </w:tcPr>
          <w:p>
            <w:pPr>
              <w:spacing w:after="0"/>
              <w:rPr>
                <w:sz w:val="15"/>
                <w:szCs w:val="15"/>
                <w:color w:val="auto"/>
              </w:rPr>
            </w:pPr>
          </w:p>
        </w:tc>
        <w:tc>
          <w:tcPr>
            <w:tcW w:w="14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5"/>
                <w:szCs w:val="15"/>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Net sales ...................................</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$ 22,990,327</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$ 17,267,886</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$ 13,371,851</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Cost of goods sold ..........................</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9,877,687</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8,347,300</w:t>
            </w:r>
          </w:p>
        </w:tc>
        <w:tc>
          <w:tcPr>
            <w:tcW w:w="44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6,874,590</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Gross profit ............................</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13,112,640</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8,920,586</w:t>
            </w:r>
          </w:p>
        </w:tc>
        <w:tc>
          <w:tcPr>
            <w:tcW w:w="44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6,497,261</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Marketing and selling ...................</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4,929,740</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3,649,876</w:t>
            </w:r>
          </w:p>
        </w:tc>
        <w:tc>
          <w:tcPr>
            <w:tcW w:w="44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3,572,882</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 and administrative ..............</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2,544,664</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2,470,949</w:t>
            </w:r>
          </w:p>
        </w:tc>
        <w:tc>
          <w:tcPr>
            <w:tcW w:w="44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2,006,998</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Research and product development ........</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1,494,952</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1,142,605</w:t>
            </w:r>
          </w:p>
        </w:tc>
        <w:tc>
          <w:tcPr>
            <w:tcW w:w="44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1,046,757</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operating expenses ............</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8,969,356</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7,263,430</w:t>
            </w:r>
          </w:p>
        </w:tc>
        <w:tc>
          <w:tcPr>
            <w:tcW w:w="44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6,626,637</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Operating income (loss) .............</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4,143,284</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1,657,156</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(129,376)</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income .........................</w:t>
            </w:r>
          </w:p>
        </w:tc>
        <w:tc>
          <w:tcPr>
            <w:tcW w:w="32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91,411</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13,475</w:t>
            </w:r>
          </w:p>
        </w:tc>
        <w:tc>
          <w:tcPr>
            <w:tcW w:w="440" w:type="dxa"/>
            <w:vAlign w:val="bottom"/>
          </w:tcPr>
          <w:p>
            <w:pPr>
              <w:spacing w:after="0"/>
              <w:rPr>
                <w:sz w:val="15"/>
                <w:szCs w:val="15"/>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7,836</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expense ........................</w:t>
            </w:r>
          </w:p>
        </w:tc>
        <w:tc>
          <w:tcPr>
            <w:tcW w:w="3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(148,253)</w:t>
            </w:r>
          </w:p>
        </w:tc>
        <w:tc>
          <w:tcPr>
            <w:tcW w:w="780" w:type="dxa"/>
            <w:vAlign w:val="bottom"/>
          </w:tcPr>
          <w:p>
            <w:pPr>
              <w:spacing w:after="0"/>
              <w:rPr>
                <w:sz w:val="15"/>
                <w:szCs w:val="15"/>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(240,371)</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(196,176)</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net ..............................</w:t>
            </w:r>
          </w:p>
        </w:tc>
        <w:tc>
          <w:tcPr>
            <w:tcW w:w="3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(21,271)</w:t>
            </w:r>
          </w:p>
        </w:tc>
        <w:tc>
          <w:tcPr>
            <w:tcW w:w="780" w:type="dxa"/>
            <w:vAlign w:val="bottom"/>
          </w:tcPr>
          <w:p>
            <w:pPr>
              <w:spacing w:after="0"/>
              <w:rPr>
                <w:sz w:val="15"/>
                <w:szCs w:val="15"/>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13,189</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(18,282)</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other income (expense) ........</w:t>
            </w:r>
          </w:p>
        </w:tc>
        <w:tc>
          <w:tcPr>
            <w:tcW w:w="32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(78,113)</w:t>
            </w:r>
          </w:p>
        </w:tc>
        <w:tc>
          <w:tcPr>
            <w:tcW w:w="780" w:type="dxa"/>
            <w:vAlign w:val="bottom"/>
          </w:tcPr>
          <w:p>
            <w:pPr>
              <w:spacing w:after="0"/>
              <w:rPr>
                <w:sz w:val="15"/>
                <w:szCs w:val="15"/>
                <w:color w:val="auto"/>
              </w:rPr>
            </w:pP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(213,707)</w:t>
            </w: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(206,622)</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Income (loss) before income taxes ...........</w:t>
            </w:r>
          </w:p>
        </w:tc>
        <w:tc>
          <w:tcPr>
            <w:tcW w:w="32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4,065,171</w:t>
            </w:r>
          </w:p>
        </w:tc>
        <w:tc>
          <w:tcPr>
            <w:tcW w:w="780" w:type="dxa"/>
            <w:vAlign w:val="bottom"/>
          </w:tcPr>
          <w:p>
            <w:pPr>
              <w:spacing w:after="0"/>
              <w:rPr>
                <w:sz w:val="24"/>
                <w:szCs w:val="2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1,443,449</w:t>
            </w:r>
          </w:p>
        </w:tc>
        <w:tc>
          <w:tcPr>
            <w:tcW w:w="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(335,998)</w:t>
            </w:r>
          </w:p>
        </w:tc>
      </w:tr>
      <w:tr>
        <w:trPr>
          <w:trHeight w:val="347"/>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Provision for income taxes ..................</w:t>
            </w:r>
          </w:p>
        </w:tc>
        <w:tc>
          <w:tcPr>
            <w:tcW w:w="320" w:type="dxa"/>
            <w:vAlign w:val="bottom"/>
          </w:tcPr>
          <w:p>
            <w:pPr>
              <w:spacing w:after="0"/>
              <w:rPr>
                <w:sz w:val="24"/>
                <w:szCs w:val="2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1,520,700</w:t>
            </w:r>
          </w:p>
        </w:tc>
        <w:tc>
          <w:tcPr>
            <w:tcW w:w="780" w:type="dxa"/>
            <w:vAlign w:val="bottom"/>
          </w:tcPr>
          <w:p>
            <w:pPr>
              <w:spacing w:after="0"/>
              <w:rPr>
                <w:sz w:val="24"/>
                <w:szCs w:val="2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39,000</w:t>
            </w:r>
          </w:p>
        </w:tc>
        <w:tc>
          <w:tcPr>
            <w:tcW w:w="44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36,900</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income (loss) ...................</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2,544,471</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1,404,449</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(372,898)</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Basic earnings (loss) per common share ......</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0.31</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0.18</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1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Diluted earnings (loss) per common share ....</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0.18</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4180" w:type="dxa"/>
            <w:vAlign w:val="bottom"/>
          </w:tcPr>
          <w:p>
            <w:pPr>
              <w:spacing w:after="0"/>
              <w:rPr>
                <w:sz w:val="15"/>
                <w:szCs w:val="15"/>
                <w:color w:val="auto"/>
              </w:rPr>
            </w:pP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Years ended June 30,</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3"/>
        </w:trPr>
        <w:tc>
          <w:tcPr>
            <w:tcW w:w="6340" w:type="dxa"/>
            <w:vAlign w:val="bottom"/>
          </w:tcPr>
          <w:p>
            <w:pPr>
              <w:spacing w:after="0"/>
              <w:rPr>
                <w:sz w:val="15"/>
                <w:szCs w:val="15"/>
                <w:color w:val="auto"/>
              </w:rPr>
            </w:pPr>
          </w:p>
        </w:tc>
        <w:tc>
          <w:tcPr>
            <w:tcW w:w="484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spacing w:after="0"/>
              <w:rPr>
                <w:sz w:val="15"/>
                <w:szCs w:val="15"/>
                <w:color w:val="auto"/>
              </w:rPr>
            </w:pPr>
          </w:p>
        </w:tc>
        <w:tc>
          <w:tcPr>
            <w:tcW w:w="158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34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income (loss) ................................................</w:t>
            </w: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$ 2,544,471</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$ 1,404,449</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(372,898)</w:t>
            </w:r>
          </w:p>
        </w:tc>
      </w:tr>
      <w:tr>
        <w:trPr>
          <w:trHeight w:val="173"/>
        </w:trPr>
        <w:tc>
          <w:tcPr>
            <w:tcW w:w="6340" w:type="dxa"/>
            <w:vAlign w:val="bottom"/>
          </w:tcPr>
          <w:p>
            <w:pPr>
              <w:jc w:val="right"/>
              <w:ind w:right="2845"/>
              <w:spacing w:after="0"/>
              <w:rPr>
                <w:sz w:val="20"/>
                <w:szCs w:val="20"/>
                <w:color w:val="auto"/>
              </w:rPr>
            </w:pPr>
            <w:r>
              <w:rPr>
                <w:rFonts w:ascii="Courier New" w:cs="Courier New" w:eastAsia="Courier New" w:hAnsi="Courier New"/>
                <w:sz w:val="15"/>
                <w:szCs w:val="15"/>
                <w:color w:val="auto"/>
              </w:rPr>
              <w:t>Adjustments to reconcile net income</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(loss) to net cash provided by</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ind w:left="540"/>
              <w:spacing w:after="0"/>
              <w:rPr>
                <w:sz w:val="20"/>
                <w:szCs w:val="20"/>
                <w:color w:val="auto"/>
              </w:rPr>
            </w:pPr>
            <w:r>
              <w:rPr>
                <w:rFonts w:ascii="Courier New" w:cs="Courier New" w:eastAsia="Courier New" w:hAnsi="Courier New"/>
                <w:sz w:val="15"/>
                <w:szCs w:val="15"/>
                <w:color w:val="auto"/>
              </w:rPr>
              <w:t>Depreciation and amortization of</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property and equipment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660,828</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678,501</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621,024</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Amortization of other assets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27,495</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41,383</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52,654</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Deferred income tax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142,000</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(40,000)</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(Gain) loss on investments ....................................</w:t>
            </w:r>
          </w:p>
        </w:tc>
        <w:tc>
          <w:tcPr>
            <w:tcW w:w="3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(5,783)</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(1,785)</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21,378</w:t>
            </w:r>
          </w:p>
        </w:tc>
      </w:tr>
      <w:tr>
        <w:trPr>
          <w:trHeight w:val="173"/>
        </w:trPr>
        <w:tc>
          <w:tcPr>
            <w:tcW w:w="6340" w:type="dxa"/>
            <w:vAlign w:val="bottom"/>
          </w:tcPr>
          <w:p>
            <w:pPr>
              <w:ind w:left="540"/>
              <w:spacing w:after="0"/>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36,000</w:t>
            </w:r>
          </w:p>
        </w:tc>
      </w:tr>
      <w:tr>
        <w:trPr>
          <w:trHeight w:val="173"/>
        </w:trPr>
        <w:tc>
          <w:tcPr>
            <w:tcW w:w="6340" w:type="dxa"/>
            <w:vAlign w:val="bottom"/>
          </w:tcPr>
          <w:p>
            <w:pPr>
              <w:ind w:left="5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Accounts receivable ........................................</w:t>
            </w:r>
          </w:p>
        </w:tc>
        <w:tc>
          <w:tcPr>
            <w:tcW w:w="3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(498,904)</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(61,136)</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(125,818)</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Inventory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296,148</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(486,222)</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561,004</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Other current assets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31,226</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(38,490)</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(24,434)</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Accounts payable and other accrued expenses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882,129</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569,165</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29,621</w:t>
            </w:r>
          </w:p>
        </w:tc>
      </w:tr>
      <w:tr>
        <w:trPr>
          <w:trHeight w:val="173"/>
        </w:trPr>
        <w:tc>
          <w:tcPr>
            <w:tcW w:w="634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4,079,610</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2,065,865</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798,531</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Purchases of property and equipment ..............................</w:t>
            </w:r>
          </w:p>
        </w:tc>
        <w:tc>
          <w:tcPr>
            <w:tcW w:w="3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(466,451)</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(313,050)</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(623,949)</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Issuance of note receivable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(147,327)</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Repayment of note receivable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27,872</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12,495</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8,327</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Decrease (increase) in other assets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1,753</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76,251</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(108,541)</w:t>
            </w:r>
          </w:p>
        </w:tc>
      </w:tr>
      <w:tr>
        <w:trPr>
          <w:trHeight w:val="173"/>
        </w:trPr>
        <w:tc>
          <w:tcPr>
            <w:tcW w:w="634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cash used in investing activities ....................</w:t>
            </w:r>
          </w:p>
        </w:tc>
        <w:tc>
          <w:tcPr>
            <w:tcW w:w="3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(436,826)</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(224,304)</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(871,490)</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Proceeds from issuance of common stock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3,912</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3,366</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736</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Exercise of warrants and employee stock options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327,970</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27,595</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Stock option transactions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239,000</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repayments under line of credit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(722,997)</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(193,044)</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Proceeds from issuance of long-term debt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566,906</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Principal payments of capital lease obligations ..................</w:t>
            </w:r>
          </w:p>
        </w:tc>
        <w:tc>
          <w:tcPr>
            <w:tcW w:w="3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(318,594)</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(241,968)</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(238,378)</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Principal payments of long-term debt .............................</w:t>
            </w:r>
          </w:p>
        </w:tc>
        <w:tc>
          <w:tcPr>
            <w:tcW w:w="3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(688,214)</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(256,224)</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(213,032)</w:t>
            </w:r>
          </w:p>
        </w:tc>
      </w:tr>
      <w:tr>
        <w:trPr>
          <w:trHeight w:val="173"/>
        </w:trPr>
        <w:tc>
          <w:tcPr>
            <w:tcW w:w="634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Net cash used in financing activities ....................</w:t>
            </w:r>
          </w:p>
        </w:tc>
        <w:tc>
          <w:tcPr>
            <w:tcW w:w="320" w:type="dxa"/>
            <w:vAlign w:val="bottom"/>
          </w:tcPr>
          <w:p>
            <w:pPr>
              <w:spacing w:after="0"/>
              <w:rPr>
                <w:sz w:val="15"/>
                <w:szCs w:val="15"/>
                <w:color w:val="auto"/>
              </w:rPr>
            </w:pP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(435,926)</w:t>
            </w:r>
          </w:p>
        </w:tc>
        <w:tc>
          <w:tcPr>
            <w:tcW w:w="580" w:type="dxa"/>
            <w:vAlign w:val="bottom"/>
          </w:tcPr>
          <w:p>
            <w:pPr>
              <w:spacing w:after="0"/>
              <w:rPr>
                <w:sz w:val="15"/>
                <w:szCs w:val="15"/>
                <w:color w:val="auto"/>
              </w:rPr>
            </w:pP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w w:val="96"/>
              </w:rPr>
              <w:t>(1,190,228)</w:t>
            </w:r>
          </w:p>
        </w:tc>
        <w:tc>
          <w:tcPr>
            <w:tcW w:w="3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(76,812)</w:t>
            </w:r>
          </w:p>
        </w:tc>
      </w:tr>
      <w:tr>
        <w:trPr>
          <w:trHeight w:val="173"/>
        </w:trPr>
        <w:tc>
          <w:tcPr>
            <w:tcW w:w="634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Net increase (decrease) in cash .....................................</w:t>
            </w:r>
          </w:p>
        </w:tc>
        <w:tc>
          <w:tcPr>
            <w:tcW w:w="320" w:type="dxa"/>
            <w:vAlign w:val="bottom"/>
          </w:tcPr>
          <w:p>
            <w:pPr>
              <w:spacing w:after="0"/>
              <w:rPr>
                <w:sz w:val="24"/>
                <w:szCs w:val="24"/>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8"/>
              </w:rPr>
              <w:t>3,206,858</w:t>
            </w:r>
          </w:p>
        </w:tc>
        <w:tc>
          <w:tcPr>
            <w:tcW w:w="580" w:type="dxa"/>
            <w:vAlign w:val="bottom"/>
          </w:tcPr>
          <w:p>
            <w:pPr>
              <w:spacing w:after="0"/>
              <w:rPr>
                <w:sz w:val="24"/>
                <w:szCs w:val="24"/>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651,333</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(149,771)</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Cash at the beginning of the year ...................................</w:t>
            </w:r>
          </w:p>
        </w:tc>
        <w:tc>
          <w:tcPr>
            <w:tcW w:w="320" w:type="dxa"/>
            <w:vAlign w:val="bottom"/>
          </w:tcPr>
          <w:p>
            <w:pPr>
              <w:spacing w:after="0"/>
              <w:rPr>
                <w:sz w:val="15"/>
                <w:szCs w:val="15"/>
                <w:color w:val="auto"/>
              </w:rPr>
            </w:pP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715,325</w:t>
            </w:r>
          </w:p>
        </w:tc>
        <w:tc>
          <w:tcPr>
            <w:tcW w:w="580" w:type="dxa"/>
            <w:vAlign w:val="bottom"/>
          </w:tcPr>
          <w:p>
            <w:pPr>
              <w:spacing w:after="0"/>
              <w:rPr>
                <w:sz w:val="15"/>
                <w:szCs w:val="15"/>
                <w:color w:val="auto"/>
              </w:rPr>
            </w:pP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63,992</w:t>
            </w:r>
          </w:p>
        </w:tc>
        <w:tc>
          <w:tcPr>
            <w:tcW w:w="32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213,763</w:t>
            </w:r>
          </w:p>
        </w:tc>
      </w:tr>
      <w:tr>
        <w:trPr>
          <w:trHeight w:val="173"/>
        </w:trPr>
        <w:tc>
          <w:tcPr>
            <w:tcW w:w="634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Cash at the end of the year .........................................</w:t>
            </w: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$ 3,922,183</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715,325</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63,992</w:t>
            </w:r>
          </w:p>
        </w:tc>
      </w:tr>
      <w:tr>
        <w:trPr>
          <w:trHeight w:val="173"/>
        </w:trPr>
        <w:tc>
          <w:tcPr>
            <w:tcW w:w="6340" w:type="dxa"/>
            <w:vAlign w:val="bottom"/>
          </w:tcPr>
          <w:p>
            <w:pPr>
              <w:spacing w:after="0"/>
              <w:rPr>
                <w:sz w:val="15"/>
                <w:szCs w:val="15"/>
                <w:color w:val="auto"/>
              </w:rPr>
            </w:pPr>
          </w:p>
        </w:tc>
        <w:tc>
          <w:tcPr>
            <w:tcW w:w="1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3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Property and equipment financed by capital leases ................</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192,500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975,732</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Income taxes paid ................................................</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(956,827)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(28,000)</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(12,800)</w:t>
            </w:r>
          </w:p>
        </w:tc>
      </w:tr>
      <w:tr>
        <w:trPr>
          <w:trHeight w:val="173"/>
        </w:trPr>
        <w:tc>
          <w:tcPr>
            <w:tcW w:w="6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Interest paid ....................................................</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(150,072)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(241,371)</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(193,500)</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180"/>
          </w:cols>
          <w:pgMar w:left="240" w:top="291" w:right="479"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STATEMENTS OF SHAREHOLDERS' EQUITY</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Retained</w:t>
            </w:r>
          </w:p>
        </w:tc>
        <w:tc>
          <w:tcPr>
            <w:tcW w:w="1400" w:type="dxa"/>
            <w:vAlign w:val="bottom"/>
          </w:tcPr>
          <w:p>
            <w:pPr>
              <w:spacing w:after="0"/>
              <w:rPr>
                <w:sz w:val="14"/>
                <w:szCs w:val="14"/>
                <w:color w:val="auto"/>
              </w:rPr>
            </w:pPr>
          </w:p>
        </w:tc>
      </w:tr>
      <w:tr>
        <w:trPr>
          <w:trHeight w:val="173"/>
        </w:trPr>
        <w:tc>
          <w:tcPr>
            <w:tcW w:w="4000" w:type="dxa"/>
            <w:vAlign w:val="bottom"/>
          </w:tcPr>
          <w:p>
            <w:pPr>
              <w:spacing w:after="0"/>
              <w:rPr>
                <w:sz w:val="15"/>
                <w:szCs w:val="15"/>
                <w:color w:val="auto"/>
              </w:rPr>
            </w:pPr>
          </w:p>
        </w:tc>
        <w:tc>
          <w:tcPr>
            <w:tcW w:w="294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Common Stock</w:t>
            </w:r>
          </w:p>
        </w:tc>
        <w:tc>
          <w:tcPr>
            <w:tcW w:w="14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Additional</w:t>
            </w:r>
          </w:p>
        </w:tc>
        <w:tc>
          <w:tcPr>
            <w:tcW w:w="16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Earnings</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400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140" w:type="dxa"/>
            <w:vAlign w:val="bottom"/>
          </w:tcPr>
          <w:p>
            <w:pPr>
              <w:spacing w:after="0"/>
              <w:rPr>
                <w:sz w:val="15"/>
                <w:szCs w:val="15"/>
                <w:color w:val="auto"/>
              </w:rPr>
            </w:pP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Paid-In</w:t>
            </w:r>
          </w:p>
        </w:tc>
        <w:tc>
          <w:tcPr>
            <w:tcW w:w="16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(Accumulated</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3"/>
        </w:trPr>
        <w:tc>
          <w:tcPr>
            <w:tcW w:w="4000" w:type="dxa"/>
            <w:vAlign w:val="bottom"/>
          </w:tcPr>
          <w:p>
            <w:pPr>
              <w:spacing w:after="0"/>
              <w:rPr>
                <w:sz w:val="15"/>
                <w:szCs w:val="15"/>
                <w:color w:val="auto"/>
              </w:rPr>
            </w:pPr>
          </w:p>
        </w:tc>
        <w:tc>
          <w:tcPr>
            <w:tcW w:w="16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15"/>
                <w:szCs w:val="15"/>
                <w:color w:val="auto"/>
              </w:rPr>
            </w:pPr>
          </w:p>
        </w:tc>
        <w:tc>
          <w:tcPr>
            <w:tcW w:w="11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Amount</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Capital</w:t>
            </w:r>
          </w:p>
        </w:tc>
        <w:tc>
          <w:tcPr>
            <w:tcW w:w="16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Deficit)</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Equity</w:t>
            </w:r>
          </w:p>
        </w:tc>
      </w:tr>
      <w:tr>
        <w:trPr>
          <w:trHeight w:val="173"/>
        </w:trPr>
        <w:tc>
          <w:tcPr>
            <w:tcW w:w="4000" w:type="dxa"/>
            <w:vAlign w:val="bottom"/>
          </w:tcPr>
          <w:p>
            <w:pPr>
              <w:spacing w:after="0"/>
              <w:rPr>
                <w:sz w:val="15"/>
                <w:szCs w:val="15"/>
                <w:color w:val="auto"/>
              </w:rPr>
            </w:pP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Balances at June 30, 1996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7,662,375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7,662</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$ 4,422,747</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(256,651)</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$ 4,173,758</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Issuance of common stock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1,030</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735</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736</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loss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(372,898)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(372,898)</w:t>
            </w:r>
          </w:p>
        </w:tc>
      </w:tr>
      <w:tr>
        <w:trPr>
          <w:trHeight w:val="173"/>
        </w:trPr>
        <w:tc>
          <w:tcPr>
            <w:tcW w:w="4000" w:type="dxa"/>
            <w:vAlign w:val="bottom"/>
          </w:tcPr>
          <w:p>
            <w:pPr>
              <w:spacing w:after="0"/>
              <w:rPr>
                <w:sz w:val="15"/>
                <w:szCs w:val="15"/>
                <w:color w:val="auto"/>
              </w:rPr>
            </w:pP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Balances at June 30, 1997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7,663,405</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7,663</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4,423,482</w:t>
            </w:r>
          </w:p>
        </w:tc>
        <w:tc>
          <w:tcPr>
            <w:tcW w:w="1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(629,549)</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3,801,596</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of employee stock options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32,000</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27,563</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27,595</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Issuance of common stock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3,118</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3,362</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3,366</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income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1,404,449</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1,404,449</w:t>
            </w:r>
          </w:p>
        </w:tc>
      </w:tr>
      <w:tr>
        <w:trPr>
          <w:trHeight w:val="173"/>
        </w:trPr>
        <w:tc>
          <w:tcPr>
            <w:tcW w:w="4000" w:type="dxa"/>
            <w:vAlign w:val="bottom"/>
          </w:tcPr>
          <w:p>
            <w:pPr>
              <w:spacing w:after="0"/>
              <w:rPr>
                <w:sz w:val="15"/>
                <w:szCs w:val="15"/>
                <w:color w:val="auto"/>
              </w:rPr>
            </w:pP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Balances at June 30, 1998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7,698,523</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7,699</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4,454,407</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774,900</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5,237,006</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of employee stock options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429,702</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430</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327,540</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327,970</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Issuance of common stock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1,466</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3,911</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3,912</w:t>
            </w:r>
          </w:p>
        </w:tc>
      </w:tr>
      <w:tr>
        <w:trPr>
          <w:trHeight w:val="347"/>
        </w:trPr>
        <w:tc>
          <w:tcPr>
            <w:tcW w:w="400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Tax benefits allocated to</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3"/>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contributed capital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239,000</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239,000</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income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2,544,471</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2,544,471</w:t>
            </w:r>
          </w:p>
        </w:tc>
      </w:tr>
      <w:tr>
        <w:trPr>
          <w:trHeight w:val="173"/>
        </w:trPr>
        <w:tc>
          <w:tcPr>
            <w:tcW w:w="4000" w:type="dxa"/>
            <w:vAlign w:val="bottom"/>
          </w:tcPr>
          <w:p>
            <w:pPr>
              <w:spacing w:after="0"/>
              <w:rPr>
                <w:sz w:val="15"/>
                <w:szCs w:val="15"/>
                <w:color w:val="auto"/>
              </w:rPr>
            </w:pP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0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Balances at June 30, 1999 .................</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8,129,691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8,130</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$ 5,024,858</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$ 3,319,371</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$ 8,352,359</w:t>
            </w:r>
          </w:p>
        </w:tc>
      </w:tr>
      <w:tr>
        <w:trPr>
          <w:trHeight w:val="173"/>
        </w:trPr>
        <w:tc>
          <w:tcPr>
            <w:tcW w:w="4000" w:type="dxa"/>
            <w:vAlign w:val="bottom"/>
          </w:tcPr>
          <w:p>
            <w:pPr>
              <w:spacing w:after="0"/>
              <w:rPr>
                <w:sz w:val="15"/>
                <w:szCs w:val="15"/>
                <w:color w:val="auto"/>
              </w:rPr>
            </w:pP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6"/>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accompanying notes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440"/>
          </w:cols>
          <w:pgMar w:left="240" w:top="291" w:right="219"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77" w:lineRule="exact"/>
        <w:rPr>
          <w:sz w:val="20"/>
          <w:szCs w:val="20"/>
          <w:color w:val="auto"/>
        </w:rPr>
      </w:pPr>
    </w:p>
    <w:p>
      <w:pPr>
        <w:ind w:left="2348"/>
        <w:spacing w:after="0"/>
        <w:rPr>
          <w:sz w:val="20"/>
          <w:szCs w:val="20"/>
          <w:color w:val="auto"/>
        </w:rPr>
      </w:pPr>
      <w:r>
        <w:rPr>
          <w:rFonts w:ascii="Courier New" w:cs="Courier New" w:eastAsia="Courier New" w:hAnsi="Courier New"/>
          <w:sz w:val="15"/>
          <w:szCs w:val="15"/>
          <w:color w:val="auto"/>
        </w:rPr>
        <w:t>NOTES TO FINANCIAL STATEMENTS</w:t>
      </w:r>
    </w:p>
    <w:p>
      <w:pPr>
        <w:spacing w:after="0" w:line="178" w:lineRule="exact"/>
        <w:rPr>
          <w:sz w:val="20"/>
          <w:szCs w:val="20"/>
          <w:color w:val="auto"/>
        </w:rPr>
      </w:pPr>
    </w:p>
    <w:p>
      <w:pPr>
        <w:ind w:left="728" w:right="4179" w:hanging="728"/>
        <w:spacing w:after="0" w:line="488" w:lineRule="auto"/>
        <w:tabs>
          <w:tab w:leader="none" w:pos="7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SUMMARY OF SIGNIFICANT ACCOUNTING POLICIES ORGANIZATION</w:t>
      </w:r>
    </w:p>
    <w:p>
      <w:pPr>
        <w:spacing w:after="0" w:line="2" w:lineRule="exact"/>
        <w:rPr>
          <w:rFonts w:ascii="Courier New" w:cs="Courier New" w:eastAsia="Courier New" w:hAnsi="Courier New"/>
          <w:sz w:val="15"/>
          <w:szCs w:val="15"/>
          <w:color w:val="auto"/>
        </w:rPr>
      </w:pPr>
    </w:p>
    <w:p>
      <w:pPr>
        <w:ind w:left="72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Gentner Communications Corporation (the "Company"), designs and manufactures high-technology electronic equipment for the conferencing and broadcast markets and provides conference calling services. The Company provides products and services domestically and internationally. The Company grants credit without requiring collateral to most of its customers within these markets.</w:t>
      </w:r>
    </w:p>
    <w:p>
      <w:pPr>
        <w:spacing w:after="0" w:line="176" w:lineRule="exact"/>
        <w:rPr>
          <w:rFonts w:ascii="Courier New" w:cs="Courier New" w:eastAsia="Courier New" w:hAnsi="Courier New"/>
          <w:sz w:val="15"/>
          <w:szCs w:val="15"/>
          <w:color w:val="auto"/>
        </w:rPr>
      </w:pPr>
    </w:p>
    <w:p>
      <w:pPr>
        <w:ind w:left="7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7" w:lineRule="exact"/>
        <w:rPr>
          <w:rFonts w:ascii="Courier New" w:cs="Courier New" w:eastAsia="Courier New" w:hAnsi="Courier New"/>
          <w:sz w:val="15"/>
          <w:szCs w:val="15"/>
          <w:color w:val="auto"/>
        </w:rPr>
      </w:pPr>
    </w:p>
    <w:p>
      <w:pPr>
        <w:ind w:left="72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 The Company considers all highly liquid investments with a maturity of three months or less when purchased to be cash equivalents.</w:t>
      </w:r>
    </w:p>
    <w:p>
      <w:pPr>
        <w:spacing w:after="0" w:line="175" w:lineRule="exact"/>
        <w:rPr>
          <w:rFonts w:ascii="Courier New" w:cs="Courier New" w:eastAsia="Courier New" w:hAnsi="Courier New"/>
          <w:sz w:val="15"/>
          <w:szCs w:val="15"/>
          <w:color w:val="auto"/>
        </w:rPr>
      </w:pPr>
    </w:p>
    <w:p>
      <w:pPr>
        <w:ind w:left="728" w:right="355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 Inventories are stated at the lower of cost (first-in, first-out) or market.</w:t>
      </w:r>
    </w:p>
    <w:p>
      <w:pPr>
        <w:spacing w:after="0" w:line="176" w:lineRule="exact"/>
        <w:rPr>
          <w:rFonts w:ascii="Courier New" w:cs="Courier New" w:eastAsia="Courier New" w:hAnsi="Courier New"/>
          <w:sz w:val="15"/>
          <w:szCs w:val="15"/>
          <w:color w:val="auto"/>
        </w:rPr>
      </w:pPr>
    </w:p>
    <w:p>
      <w:pPr>
        <w:ind w:left="72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 - Revenue from product sales is recognized at the time product is shipped. Revenue from service sales is recognized at the time the service is rendered. The Company records reserves for sales returns and uncollectible accounts.</w:t>
      </w:r>
    </w:p>
    <w:p>
      <w:pPr>
        <w:spacing w:after="0" w:line="175" w:lineRule="exact"/>
        <w:rPr>
          <w:rFonts w:ascii="Courier New" w:cs="Courier New" w:eastAsia="Courier New" w:hAnsi="Courier New"/>
          <w:sz w:val="15"/>
          <w:szCs w:val="15"/>
          <w:color w:val="auto"/>
        </w:rPr>
      </w:pPr>
    </w:p>
    <w:p>
      <w:pPr>
        <w:ind w:left="72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 Property and equipment are stated at cost. Depreciation and amortization are provided over the estimated useful lives of the respective assets using the straight-line method. In fiscal 1997, the Company adopted the provisions of Statement of Financial Accounting Standards (FAS) No. 121, "Accounting for the Impairment of Long-Lived Assets and for Long-Lived Assets to be Disposed of" without a significant impact to operating results, financial position or cash flow.</w:t>
      </w:r>
    </w:p>
    <w:p>
      <w:pPr>
        <w:spacing w:after="0" w:line="178" w:lineRule="exact"/>
        <w:rPr>
          <w:rFonts w:ascii="Courier New" w:cs="Courier New" w:eastAsia="Courier New" w:hAnsi="Courier New"/>
          <w:sz w:val="15"/>
          <w:szCs w:val="15"/>
          <w:color w:val="auto"/>
        </w:rPr>
      </w:pPr>
    </w:p>
    <w:p>
      <w:pPr>
        <w:ind w:left="728" w:right="30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Other Assets - Other assets consist principally of deposits, capitalized software costs, purchased technology and certain other intangible assets. The Company amortizes software costs, purchased technology and intangible assets on a straight-line basis over periods ranging from three to ten years. Accumulated amortization was $237,121 and $209,626 at June 30, 1999 and 1998, respectively. The Company performs an evaluation of these amounts on a periodic basis to determine that the recorded costs are not in excess of their net realizable value.</w:t>
      </w:r>
    </w:p>
    <w:p>
      <w:pPr>
        <w:spacing w:after="0" w:line="164" w:lineRule="exact"/>
        <w:rPr>
          <w:rFonts w:ascii="Courier New" w:cs="Courier New" w:eastAsia="Courier New" w:hAnsi="Courier New"/>
          <w:sz w:val="15"/>
          <w:szCs w:val="15"/>
          <w:color w:val="auto"/>
        </w:rPr>
      </w:pPr>
    </w:p>
    <w:p>
      <w:pPr>
        <w:ind w:left="728" w:right="30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Earnings (Loss) Per Common Share - In 1997, the Financial Accounting Standards Board ("FASB") issued SFAS No. 128, "Earnings per Share." SFAS 128 replaced the calculation of primary and fully diluted earnings (loss) per share with basic and diluted earnings (loss) per share. Unlike primary earnings (loss) per share, basic earnings (loss) per share excludes any dilutive effects of options, warrants and convertible securities. Diluted earnings (loss) per share is very similar to the previously reported fully diluted earnings (loss) per share. All earnings (loss) per share amounts for all periods have been presented, and where appropriate, restated to conform to the SFAS 128 requirements.</w:t>
      </w:r>
    </w:p>
    <w:p>
      <w:pPr>
        <w:spacing w:after="0" w:line="162" w:lineRule="exact"/>
        <w:rPr>
          <w:rFonts w:ascii="Courier New" w:cs="Courier New" w:eastAsia="Courier New" w:hAnsi="Courier New"/>
          <w:sz w:val="15"/>
          <w:szCs w:val="15"/>
          <w:color w:val="auto"/>
        </w:rPr>
      </w:pPr>
    </w:p>
    <w:p>
      <w:pPr>
        <w:ind w:left="728"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computation of basic and diluted net income (loss) per share:</w:t>
      </w: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9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8"/>
              </w:rPr>
              <w:t>June 30</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4680" w:type="dxa"/>
            <w:vAlign w:val="bottom"/>
          </w:tcPr>
          <w:p>
            <w:pPr>
              <w:spacing w:after="0"/>
              <w:rPr>
                <w:sz w:val="15"/>
                <w:szCs w:val="15"/>
                <w:color w:val="auto"/>
              </w:rPr>
            </w:pPr>
          </w:p>
        </w:tc>
        <w:tc>
          <w:tcPr>
            <w:tcW w:w="48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5"/>
                <w:szCs w:val="15"/>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c>
          <w:tcPr>
            <w:tcW w:w="500" w:type="dxa"/>
            <w:vAlign w:val="bottom"/>
          </w:tcPr>
          <w:p>
            <w:pPr>
              <w:spacing w:after="0"/>
              <w:rPr>
                <w:sz w:val="15"/>
                <w:szCs w:val="15"/>
                <w:color w:val="auto"/>
              </w:rPr>
            </w:pPr>
          </w:p>
        </w:tc>
        <w:tc>
          <w:tcPr>
            <w:tcW w:w="96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680" w:type="dxa"/>
            <w:vAlign w:val="bottom"/>
          </w:tcPr>
          <w:p>
            <w:pPr>
              <w:spacing w:after="0"/>
              <w:rPr>
                <w:sz w:val="15"/>
                <w:szCs w:val="15"/>
                <w:color w:val="auto"/>
              </w:rPr>
            </w:pP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$ 2,544,471</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$ 1,404,449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(372,898)</w:t>
            </w:r>
          </w:p>
        </w:tc>
      </w:tr>
      <w:tr>
        <w:trPr>
          <w:trHeight w:val="173"/>
        </w:trPr>
        <w:tc>
          <w:tcPr>
            <w:tcW w:w="4680" w:type="dxa"/>
            <w:vAlign w:val="bottom"/>
          </w:tcPr>
          <w:p>
            <w:pPr>
              <w:spacing w:after="0"/>
              <w:rPr>
                <w:sz w:val="15"/>
                <w:szCs w:val="15"/>
                <w:color w:val="auto"/>
              </w:rPr>
            </w:pP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Denominator for basic net income (loss) per</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share - weighted average shares:</w:t>
            </w:r>
          </w:p>
        </w:tc>
        <w:tc>
          <w:tcPr>
            <w:tcW w:w="5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8,080,536</w:t>
            </w:r>
          </w:p>
        </w:tc>
        <w:tc>
          <w:tcPr>
            <w:tcW w:w="44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7,679,985</w:t>
            </w:r>
          </w:p>
        </w:tc>
        <w:tc>
          <w:tcPr>
            <w:tcW w:w="5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7,662,494</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Dilutive common stock equivalents using treasury</w:t>
            </w: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stock method:</w:t>
            </w:r>
          </w:p>
        </w:tc>
        <w:tc>
          <w:tcPr>
            <w:tcW w:w="5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388,348</w:t>
            </w:r>
          </w:p>
        </w:tc>
        <w:tc>
          <w:tcPr>
            <w:tcW w:w="44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280,267</w:t>
            </w:r>
          </w:p>
        </w:tc>
        <w:tc>
          <w:tcPr>
            <w:tcW w:w="5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630,532</w:t>
            </w:r>
          </w:p>
        </w:tc>
      </w:tr>
      <w:tr>
        <w:trPr>
          <w:trHeight w:val="173"/>
        </w:trPr>
        <w:tc>
          <w:tcPr>
            <w:tcW w:w="4680" w:type="dxa"/>
            <w:vAlign w:val="bottom"/>
          </w:tcPr>
          <w:p>
            <w:pPr>
              <w:spacing w:after="0"/>
              <w:rPr>
                <w:sz w:val="15"/>
                <w:szCs w:val="15"/>
                <w:color w:val="auto"/>
              </w:rPr>
            </w:pP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8,468,884</w:t>
            </w:r>
          </w:p>
        </w:tc>
        <w:tc>
          <w:tcPr>
            <w:tcW w:w="44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7,960,252</w:t>
            </w:r>
          </w:p>
        </w:tc>
        <w:tc>
          <w:tcPr>
            <w:tcW w:w="500" w:type="dxa"/>
            <w:vAlign w:val="bottom"/>
          </w:tcPr>
          <w:p>
            <w:pPr>
              <w:spacing w:after="0"/>
              <w:rPr>
                <w:sz w:val="15"/>
                <w:szCs w:val="15"/>
                <w:color w:val="auto"/>
              </w:rPr>
            </w:pP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8,293,026</w:t>
            </w:r>
          </w:p>
        </w:tc>
      </w:tr>
      <w:tr>
        <w:trPr>
          <w:trHeight w:val="173"/>
        </w:trPr>
        <w:tc>
          <w:tcPr>
            <w:tcW w:w="4680" w:type="dxa"/>
            <w:vAlign w:val="bottom"/>
          </w:tcPr>
          <w:p>
            <w:pPr>
              <w:spacing w:after="0"/>
              <w:rPr>
                <w:sz w:val="15"/>
                <w:szCs w:val="15"/>
                <w:color w:val="auto"/>
              </w:rPr>
            </w:pP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Basic net income (loss) per share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4680" w:type="dxa"/>
            <w:vAlign w:val="bottom"/>
          </w:tcPr>
          <w:p>
            <w:pPr>
              <w:spacing w:after="0"/>
              <w:rPr>
                <w:sz w:val="15"/>
                <w:szCs w:val="15"/>
                <w:color w:val="auto"/>
              </w:rPr>
            </w:pP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spacing w:after="0"/>
              <w:rPr>
                <w:sz w:val="20"/>
                <w:szCs w:val="20"/>
                <w:color w:val="auto"/>
              </w:rPr>
            </w:pPr>
            <w:r>
              <w:rPr>
                <w:rFonts w:ascii="Courier New" w:cs="Courier New" w:eastAsia="Courier New" w:hAnsi="Courier New"/>
                <w:sz w:val="15"/>
                <w:szCs w:val="15"/>
                <w:color w:val="auto"/>
              </w:rPr>
              <w:t>Diluted net income (loss) per share</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r>
      <w:tr>
        <w:trPr>
          <w:trHeight w:val="173"/>
        </w:trPr>
        <w:tc>
          <w:tcPr>
            <w:tcW w:w="4680" w:type="dxa"/>
            <w:vAlign w:val="bottom"/>
          </w:tcPr>
          <w:p>
            <w:pPr>
              <w:spacing w:after="0"/>
              <w:rPr>
                <w:sz w:val="15"/>
                <w:szCs w:val="15"/>
                <w:color w:val="auto"/>
              </w:rPr>
            </w:pPr>
          </w:p>
        </w:tc>
        <w:tc>
          <w:tcPr>
            <w:tcW w:w="17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460" w:right="3160"/>
        <w:spacing w:after="0" w:line="244" w:lineRule="auto"/>
        <w:rPr>
          <w:sz w:val="20"/>
          <w:szCs w:val="20"/>
          <w:color w:val="auto"/>
        </w:rPr>
      </w:pPr>
      <w:r>
        <w:rPr>
          <w:rFonts w:ascii="Courier New" w:cs="Courier New" w:eastAsia="Courier New" w:hAnsi="Courier New"/>
          <w:sz w:val="15"/>
          <w:szCs w:val="15"/>
          <w:color w:val="auto"/>
        </w:rPr>
        <w:t>Options to purchase 45,000 and 20,000 shares of common stock were outstanding as of June 30, 1999 and 1998, respectively, but were not included in the computation of diluted earnings per share as the effect would be antidilutive.</w:t>
      </w:r>
    </w:p>
    <w:p>
      <w:pPr>
        <w:spacing w:after="0" w:line="176" w:lineRule="exact"/>
        <w:rPr>
          <w:sz w:val="20"/>
          <w:szCs w:val="20"/>
          <w:color w:val="auto"/>
        </w:rPr>
      </w:pPr>
    </w:p>
    <w:p>
      <w:pPr>
        <w:ind w:left="460" w:right="4060"/>
        <w:spacing w:after="0" w:line="243" w:lineRule="auto"/>
        <w:rPr>
          <w:sz w:val="20"/>
          <w:szCs w:val="20"/>
          <w:color w:val="auto"/>
        </w:rPr>
      </w:pPr>
      <w:r>
        <w:rPr>
          <w:rFonts w:ascii="Courier New" w:cs="Courier New" w:eastAsia="Courier New" w:hAnsi="Courier New"/>
          <w:sz w:val="15"/>
          <w:szCs w:val="15"/>
          <w:color w:val="auto"/>
        </w:rPr>
        <w:t>Research and Product Development Costs - Research and product development costs are expensed as incurred.</w:t>
      </w:r>
    </w:p>
    <w:p>
      <w:pPr>
        <w:spacing w:after="0" w:line="176" w:lineRule="exact"/>
        <w:rPr>
          <w:sz w:val="20"/>
          <w:szCs w:val="20"/>
          <w:color w:val="auto"/>
        </w:rPr>
      </w:pPr>
    </w:p>
    <w:p>
      <w:pPr>
        <w:ind w:left="460" w:right="3080"/>
        <w:spacing w:after="0" w:line="244" w:lineRule="auto"/>
        <w:rPr>
          <w:sz w:val="20"/>
          <w:szCs w:val="20"/>
          <w:color w:val="auto"/>
        </w:rPr>
      </w:pPr>
      <w:r>
        <w:rPr>
          <w:rFonts w:ascii="Courier New" w:cs="Courier New" w:eastAsia="Courier New" w:hAnsi="Courier New"/>
          <w:sz w:val="15"/>
          <w:szCs w:val="15"/>
          <w:color w:val="auto"/>
        </w:rPr>
        <w:t>Software Development Costs - The Company has capitalized a portion of its software development costs in the past. Both capitalized software development costs and purchased software costs are amortized on a straight-line basis over the estimated useful life of three years or the ratio of current revenue to the total current and anticipated future revenue, whichever provides for greater amortization. Amortization generally commences when shipments of the related products begin. Amortization expense recorded during the respective years ended June 30, 1999, 1998 and 1997 was $0, $18,608 and $31,900. Unamortized costs are stated at the lower of cost or net realizable value and are included in other assets net of accumulated amortization of $95,700 in 1999, $95,700 in 1998 and $77,100 in 1997.</w:t>
      </w:r>
    </w:p>
    <w:p>
      <w:pPr>
        <w:spacing w:after="0" w:line="181" w:lineRule="exact"/>
        <w:rPr>
          <w:sz w:val="20"/>
          <w:szCs w:val="20"/>
          <w:color w:val="auto"/>
        </w:rPr>
      </w:pPr>
    </w:p>
    <w:p>
      <w:pPr>
        <w:ind w:left="460" w:right="3080"/>
        <w:spacing w:after="0" w:line="244" w:lineRule="auto"/>
        <w:rPr>
          <w:sz w:val="20"/>
          <w:szCs w:val="20"/>
          <w:color w:val="auto"/>
        </w:rPr>
      </w:pPr>
      <w:r>
        <w:rPr>
          <w:rFonts w:ascii="Courier New" w:cs="Courier New" w:eastAsia="Courier New" w:hAnsi="Courier New"/>
          <w:sz w:val="15"/>
          <w:szCs w:val="15"/>
          <w:color w:val="auto"/>
        </w:rPr>
        <w:t>Income Taxes - The Company provides for income taxes based on the liability method which requires the recognition of deferred tax assets and liabilities based on differences between financial reporting and tax bases of assets and liabilities measured using enacted tax rates and laws that are expected to be in effect when the differences are expected to reverse.</w:t>
      </w:r>
    </w:p>
    <w:p>
      <w:pPr>
        <w:spacing w:after="0" w:line="177" w:lineRule="exact"/>
        <w:rPr>
          <w:sz w:val="20"/>
          <w:szCs w:val="20"/>
          <w:color w:val="auto"/>
        </w:rPr>
      </w:pPr>
    </w:p>
    <w:p>
      <w:pPr>
        <w:ind w:left="460" w:right="3080"/>
        <w:spacing w:after="0" w:line="244"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estimates and assumptions that affect the reported amounts in the financial statements and these accompanying notes.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Actual results could differ from those estimates.</w:t>
      </w:r>
    </w:p>
    <w:p>
      <w:pPr>
        <w:spacing w:after="0" w:line="178" w:lineRule="exact"/>
        <w:rPr>
          <w:sz w:val="20"/>
          <w:szCs w:val="20"/>
          <w:color w:val="auto"/>
        </w:rPr>
      </w:pPr>
    </w:p>
    <w:p>
      <w:pPr>
        <w:ind w:left="460" w:right="3080"/>
        <w:spacing w:after="0" w:line="244" w:lineRule="auto"/>
        <w:rPr>
          <w:sz w:val="20"/>
          <w:szCs w:val="20"/>
          <w:color w:val="auto"/>
        </w:rPr>
      </w:pPr>
      <w:r>
        <w:rPr>
          <w:rFonts w:ascii="Courier New" w:cs="Courier New" w:eastAsia="Courier New" w:hAnsi="Courier New"/>
          <w:sz w:val="15"/>
          <w:szCs w:val="15"/>
          <w:color w:val="auto"/>
        </w:rPr>
        <w:t>Stock-Based Compensation - The Company adopted SFAS 123 "Accounting for Stock-Based Compensation," effective July 1, 1996. SFAS 123 defines a fair value-based method of accounting for and measuring compensation expense related to stock-based compensation plans and encourages adoption of the new standard. However, the statement allows entities to continue to measure compensation expense for stock-based plans using the intrinsic value-based method prescribed by APB Opinion No. 25, "Accounting for Stock Issued to Employees". The Company has elected to continue to account for stock-based compensation plans using the provisions of APB Opinion No. 25. Pro forma footnote disclosure of net income has been made as if the fair value based method of accounting defined in the statement had been applied.</w:t>
      </w:r>
    </w:p>
    <w:p>
      <w:pPr>
        <w:spacing w:after="0" w:line="181" w:lineRule="exact"/>
        <w:rPr>
          <w:sz w:val="20"/>
          <w:szCs w:val="20"/>
          <w:color w:val="auto"/>
        </w:rPr>
      </w:pPr>
    </w:p>
    <w:p>
      <w:pPr>
        <w:ind w:left="460" w:right="3340"/>
        <w:spacing w:after="0" w:line="244" w:lineRule="auto"/>
        <w:rPr>
          <w:sz w:val="20"/>
          <w:szCs w:val="20"/>
          <w:color w:val="auto"/>
        </w:rPr>
      </w:pPr>
      <w:r>
        <w:rPr>
          <w:rFonts w:ascii="Courier New" w:cs="Courier New" w:eastAsia="Courier New" w:hAnsi="Courier New"/>
          <w:sz w:val="15"/>
          <w:szCs w:val="15"/>
          <w:color w:val="auto"/>
        </w:rPr>
        <w:t>Advertising Expenses - Advertising expenses are expensed as incurred. Advertising expense for fiscal years 1999, 1998 and 1997 totaled $475,800, $229,600 and $598,500, respectively.</w:t>
      </w:r>
    </w:p>
    <w:p>
      <w:pPr>
        <w:spacing w:after="0" w:line="175" w:lineRule="exact"/>
        <w:rPr>
          <w:sz w:val="20"/>
          <w:szCs w:val="20"/>
          <w:color w:val="auto"/>
        </w:rPr>
      </w:pPr>
    </w:p>
    <w:p>
      <w:pPr>
        <w:ind w:left="460" w:right="3160"/>
        <w:spacing w:after="0" w:line="244" w:lineRule="auto"/>
        <w:rPr>
          <w:sz w:val="20"/>
          <w:szCs w:val="20"/>
          <w:color w:val="auto"/>
        </w:rPr>
      </w:pPr>
      <w:r>
        <w:rPr>
          <w:rFonts w:ascii="Courier New" w:cs="Courier New" w:eastAsia="Courier New" w:hAnsi="Courier New"/>
          <w:sz w:val="15"/>
          <w:szCs w:val="15"/>
          <w:color w:val="auto"/>
        </w:rPr>
        <w:t>New Accounting Pronouncements - In June 1997, the FASB issued SFAS No. 130, "Reporting Comprehensive Income", which established standards for reporting and display of "Comprehensive Income" which is the total of net income and all other non-owner changes in stockholders' equity and its components. SFAS 130 is effective for fiscal years beginning after December 15, 1997 with earlier application permitted. The Company adopted the standard in fiscal 1999. For the years ended June 30, 1999, 1998 and 1997, comprehensive income is equivalent to net income.</w:t>
      </w:r>
    </w:p>
    <w:p>
      <w:pPr>
        <w:sectPr>
          <w:pgSz w:w="11900" w:h="16838" w:orient="portrait"/>
          <w:cols w:equalWidth="0" w:num="1">
            <w:col w:w="10020"/>
          </w:cols>
          <w:pgMar w:left="500" w:top="291" w:right="1379" w:bottom="35" w:gutter="0" w:footer="0" w:header="0"/>
        </w:sectPr>
      </w:pP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020"/>
          </w:cols>
          <w:pgMar w:left="500" w:top="291" w:right="1379" w:bottom="35" w:gutter="0" w:footer="0" w:header="0"/>
          <w:type w:val="continuous"/>
        </w:sectPr>
      </w:pPr>
    </w:p>
    <w:bookmarkStart w:id="26" w:name="page27"/>
    <w:bookmarkEnd w:id="26"/>
    <w:p>
      <w:pPr>
        <w:ind w:left="268"/>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left="728" w:right="3019"/>
        <w:spacing w:after="0" w:line="244" w:lineRule="auto"/>
        <w:rPr>
          <w:sz w:val="20"/>
          <w:szCs w:val="20"/>
          <w:color w:val="auto"/>
        </w:rPr>
      </w:pPr>
      <w:r>
        <w:rPr>
          <w:rFonts w:ascii="Courier New" w:cs="Courier New" w:eastAsia="Courier New" w:hAnsi="Courier New"/>
          <w:sz w:val="15"/>
          <w:szCs w:val="15"/>
          <w:color w:val="auto"/>
        </w:rPr>
        <w:t>In June 1997, the FASB also issued SFAS No. 131, "Disclosures about Segments of an Enterprise and Related Information." SFAS 131, which supersedes SFAS Nos. 14, 18, 24 and 30, establishes new standards for segment reporting in which reportable segments are based on the same criteria on which management disaggregates a business for making operating decisions and assessing performance. SFAS 131 is effective for fiscal years beginning after December 15, 1997 with earlier application permitted. The Company adopted the standard in fiscal 1999 and has analyzed the impact of this standard on previously reported information. Segment information is presented in Note 15.</w:t>
      </w:r>
    </w:p>
    <w:p>
      <w:pPr>
        <w:spacing w:after="0" w:line="179" w:lineRule="exact"/>
        <w:rPr>
          <w:sz w:val="20"/>
          <w:szCs w:val="20"/>
          <w:color w:val="auto"/>
        </w:rPr>
      </w:pPr>
    </w:p>
    <w:p>
      <w:pPr>
        <w:ind w:left="728" w:hanging="728"/>
        <w:spacing w:after="0"/>
        <w:tabs>
          <w:tab w:leader="none" w:pos="7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CUSTOMER</w:t>
      </w:r>
    </w:p>
    <w:p>
      <w:pPr>
        <w:spacing w:after="0" w:line="177" w:lineRule="exact"/>
        <w:rPr>
          <w:rFonts w:ascii="Courier New" w:cs="Courier New" w:eastAsia="Courier New" w:hAnsi="Courier New"/>
          <w:sz w:val="15"/>
          <w:szCs w:val="15"/>
          <w:color w:val="auto"/>
        </w:rPr>
      </w:pPr>
    </w:p>
    <w:p>
      <w:pPr>
        <w:ind w:left="72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sells a substantial portion of its products to a major distributor in the telephone interface and remote control product areas. For the fiscal years ended June 30, 1999, 1998 and 1997, sales to this distributor aggregated to $1,484,439 (6%), $1,228,278 (7%) and $1,551,811 (12%), respectively. At the end of those years, amounts due from this customer were $31,909, $23,248 and $77,920, respectively.</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7" w:lineRule="exact"/>
        <w:rPr>
          <w:rFonts w:ascii="Courier New" w:cs="Courier New" w:eastAsia="Courier New" w:hAnsi="Courier New"/>
          <w:sz w:val="15"/>
          <w:szCs w:val="15"/>
          <w:color w:val="auto"/>
        </w:rPr>
      </w:pPr>
    </w:p>
    <w:p>
      <w:pPr>
        <w:ind w:left="72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carrying values of cash and cash equivalents, the note receivable, accounts receivable and payable, the Company's line of credit and accrued liabilities all approximate fair value due to the short-term maturities of these assets and liabilities. The carrying values of virtually all long-term notes payable and capital leases also approximate fair value because applicable interest rates either fluctuate based on market conditions or approximate the Company's current borrowing rate.</w:t>
      </w:r>
    </w:p>
    <w:p>
      <w:pPr>
        <w:spacing w:after="0" w:line="177"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w:t>
      </w:r>
    </w:p>
    <w:p>
      <w:pPr>
        <w:spacing w:after="0" w:line="176" w:lineRule="exact"/>
        <w:rPr>
          <w:rFonts w:ascii="Courier New" w:cs="Courier New" w:eastAsia="Courier New" w:hAnsi="Courier New"/>
          <w:sz w:val="15"/>
          <w:szCs w:val="15"/>
          <w:color w:val="auto"/>
        </w:rPr>
      </w:pPr>
    </w:p>
    <w:p>
      <w:pPr>
        <w:ind w:left="7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Inventory is summarized as follows:</w:t>
      </w:r>
    </w:p>
    <w:p>
      <w:pPr>
        <w:spacing w:after="0" w:line="200" w:lineRule="exact"/>
        <w:rPr>
          <w:sz w:val="20"/>
          <w:szCs w:val="20"/>
          <w:color w:val="auto"/>
        </w:rPr>
      </w:pPr>
    </w:p>
    <w:p>
      <w:pPr>
        <w:spacing w:after="0" w:line="324"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940" w:type="dxa"/>
            <w:vAlign w:val="bottom"/>
          </w:tcPr>
          <w:p>
            <w:pPr>
              <w:spacing w:after="0"/>
              <w:rPr>
                <w:sz w:val="14"/>
                <w:szCs w:val="14"/>
                <w:color w:val="auto"/>
              </w:rPr>
            </w:pPr>
          </w:p>
        </w:tc>
      </w:tr>
      <w:tr>
        <w:trPr>
          <w:trHeight w:val="173"/>
        </w:trPr>
        <w:tc>
          <w:tcPr>
            <w:tcW w:w="2420" w:type="dxa"/>
            <w:vAlign w:val="bottom"/>
          </w:tcPr>
          <w:p>
            <w:pPr>
              <w:spacing w:after="0"/>
              <w:rPr>
                <w:sz w:val="15"/>
                <w:szCs w:val="15"/>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15"/>
                <w:szCs w:val="15"/>
                <w:color w:val="auto"/>
              </w:rPr>
            </w:pPr>
          </w:p>
        </w:tc>
        <w:tc>
          <w:tcPr>
            <w:tcW w:w="24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2420" w:type="dxa"/>
            <w:vAlign w:val="bottom"/>
          </w:tcPr>
          <w:p>
            <w:pPr>
              <w:spacing w:after="0"/>
              <w:rPr>
                <w:sz w:val="15"/>
                <w:szCs w:val="15"/>
                <w:color w:val="auto"/>
              </w:rPr>
            </w:pPr>
          </w:p>
        </w:tc>
        <w:tc>
          <w:tcPr>
            <w:tcW w:w="2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4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$1,055,615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$1,014,732</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Work in progress</w:t>
            </w:r>
          </w:p>
        </w:tc>
        <w:tc>
          <w:tcPr>
            <w:tcW w:w="2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347,898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524,313</w:t>
            </w:r>
          </w:p>
        </w:tc>
      </w:tr>
      <w:tr>
        <w:trPr>
          <w:trHeight w:val="173"/>
        </w:trPr>
        <w:tc>
          <w:tcPr>
            <w:tcW w:w="24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1,455,322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1,615,938</w:t>
            </w:r>
          </w:p>
        </w:tc>
      </w:tr>
      <w:tr>
        <w:trPr>
          <w:trHeight w:val="173"/>
        </w:trPr>
        <w:tc>
          <w:tcPr>
            <w:tcW w:w="2420" w:type="dxa"/>
            <w:vAlign w:val="bottom"/>
          </w:tcPr>
          <w:p>
            <w:pPr>
              <w:spacing w:after="0"/>
              <w:rPr>
                <w:sz w:val="15"/>
                <w:szCs w:val="15"/>
                <w:color w:val="auto"/>
              </w:rPr>
            </w:pPr>
          </w:p>
        </w:tc>
        <w:tc>
          <w:tcPr>
            <w:tcW w:w="2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Total inventory</w:t>
            </w:r>
          </w:p>
        </w:tc>
        <w:tc>
          <w:tcPr>
            <w:tcW w:w="2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$2,858,835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$3,154,983</w:t>
            </w:r>
          </w:p>
        </w:tc>
      </w:tr>
      <w:tr>
        <w:trPr>
          <w:trHeight w:val="173"/>
        </w:trPr>
        <w:tc>
          <w:tcPr>
            <w:tcW w:w="2420" w:type="dxa"/>
            <w:vAlign w:val="bottom"/>
          </w:tcPr>
          <w:p>
            <w:pPr>
              <w:spacing w:after="0"/>
              <w:rPr>
                <w:sz w:val="15"/>
                <w:szCs w:val="15"/>
                <w:color w:val="auto"/>
              </w:rPr>
            </w:pPr>
          </w:p>
        </w:tc>
        <w:tc>
          <w:tcPr>
            <w:tcW w:w="24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728" w:hanging="728"/>
        <w:spacing w:after="0"/>
        <w:tabs>
          <w:tab w:leader="none" w:pos="7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7" w:lineRule="exact"/>
        <w:rPr>
          <w:rFonts w:ascii="Courier New" w:cs="Courier New" w:eastAsia="Courier New" w:hAnsi="Courier New"/>
          <w:sz w:val="15"/>
          <w:szCs w:val="15"/>
          <w:color w:val="auto"/>
        </w:rPr>
      </w:pPr>
    </w:p>
    <w:p>
      <w:pPr>
        <w:ind w:left="728" w:right="337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Major classifications of property and equipment and estimated useful lives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120" w:type="dxa"/>
            <w:vAlign w:val="bottom"/>
          </w:tcPr>
          <w:p>
            <w:pPr>
              <w:spacing w:after="0"/>
              <w:rPr>
                <w:sz w:val="14"/>
                <w:szCs w:val="14"/>
                <w:color w:val="auto"/>
              </w:rPr>
            </w:pPr>
          </w:p>
        </w:tc>
      </w:tr>
      <w:tr>
        <w:trPr>
          <w:trHeight w:val="173"/>
        </w:trPr>
        <w:tc>
          <w:tcPr>
            <w:tcW w:w="4860" w:type="dxa"/>
            <w:vAlign w:val="bottom"/>
          </w:tcPr>
          <w:p>
            <w:pPr>
              <w:spacing w:after="0"/>
              <w:rPr>
                <w:sz w:val="15"/>
                <w:szCs w:val="15"/>
                <w:color w:val="auto"/>
              </w:rPr>
            </w:pPr>
          </w:p>
        </w:tc>
        <w:tc>
          <w:tcPr>
            <w:tcW w:w="3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15"/>
                <w:szCs w:val="15"/>
                <w:color w:val="auto"/>
              </w:rPr>
            </w:pPr>
          </w:p>
        </w:tc>
        <w:tc>
          <w:tcPr>
            <w:tcW w:w="194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4860" w:type="dxa"/>
            <w:vAlign w:val="bottom"/>
          </w:tcPr>
          <w:p>
            <w:pPr>
              <w:spacing w:after="0"/>
              <w:rPr>
                <w:sz w:val="15"/>
                <w:szCs w:val="15"/>
                <w:color w:val="auto"/>
              </w:rPr>
            </w:pP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8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Office furniture and equipment - 5 to 10 years .....</w:t>
            </w: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$ 3,867,759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$ 3,357,347</w:t>
            </w:r>
          </w:p>
        </w:tc>
      </w:tr>
      <w:tr>
        <w:trPr>
          <w:trHeight w:val="173"/>
        </w:trPr>
        <w:tc>
          <w:tcPr>
            <w:tcW w:w="48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Manufacturing and test equipment - 5 to 10 years ...</w:t>
            </w: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1,647,823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1,708,857</w:t>
            </w:r>
          </w:p>
        </w:tc>
      </w:tr>
      <w:tr>
        <w:trPr>
          <w:trHeight w:val="173"/>
        </w:trPr>
        <w:tc>
          <w:tcPr>
            <w:tcW w:w="48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Telephone bridging equipment - 10 years ............</w:t>
            </w: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547,965</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731,750</w:t>
            </w:r>
          </w:p>
        </w:tc>
      </w:tr>
      <w:tr>
        <w:trPr>
          <w:trHeight w:val="173"/>
        </w:trPr>
        <w:tc>
          <w:tcPr>
            <w:tcW w:w="48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Vehicles - 3 to 5 years ............................</w:t>
            </w: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22,318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33,862</w:t>
            </w:r>
          </w:p>
        </w:tc>
      </w:tr>
      <w:tr>
        <w:trPr>
          <w:trHeight w:val="173"/>
        </w:trPr>
        <w:tc>
          <w:tcPr>
            <w:tcW w:w="4860" w:type="dxa"/>
            <w:vAlign w:val="bottom"/>
          </w:tcPr>
          <w:p>
            <w:pPr>
              <w:spacing w:after="0"/>
              <w:rPr>
                <w:sz w:val="15"/>
                <w:szCs w:val="15"/>
                <w:color w:val="auto"/>
              </w:rPr>
            </w:pP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spacing w:after="0"/>
              <w:rPr>
                <w:sz w:val="15"/>
                <w:szCs w:val="15"/>
                <w:color w:val="auto"/>
              </w:rPr>
            </w:pP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6,085,864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5,831,816</w:t>
            </w:r>
          </w:p>
        </w:tc>
      </w:tr>
      <w:tr>
        <w:trPr>
          <w:trHeight w:val="173"/>
        </w:trPr>
        <w:tc>
          <w:tcPr>
            <w:tcW w:w="48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9"/>
              </w:rPr>
              <w:t>Accumulated depreciation and amortization ..........</w:t>
            </w:r>
          </w:p>
        </w:tc>
        <w:tc>
          <w:tcPr>
            <w:tcW w:w="19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(3,959,905)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(3,511,480)</w:t>
            </w:r>
          </w:p>
        </w:tc>
      </w:tr>
      <w:tr>
        <w:trPr>
          <w:trHeight w:val="173"/>
        </w:trPr>
        <w:tc>
          <w:tcPr>
            <w:tcW w:w="4860" w:type="dxa"/>
            <w:vAlign w:val="bottom"/>
          </w:tcPr>
          <w:p>
            <w:pPr>
              <w:spacing w:after="0"/>
              <w:rPr>
                <w:sz w:val="15"/>
                <w:szCs w:val="15"/>
                <w:color w:val="auto"/>
              </w:rPr>
            </w:pP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property and equipment ......................</w:t>
            </w: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$ 2,125,959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$ 2,320,336</w:t>
            </w:r>
          </w:p>
        </w:tc>
      </w:tr>
      <w:tr>
        <w:trPr>
          <w:trHeight w:val="173"/>
        </w:trPr>
        <w:tc>
          <w:tcPr>
            <w:tcW w:w="4860" w:type="dxa"/>
            <w:vAlign w:val="bottom"/>
          </w:tcPr>
          <w:p>
            <w:pPr>
              <w:spacing w:after="0"/>
              <w:rPr>
                <w:sz w:val="15"/>
                <w:szCs w:val="15"/>
                <w:color w:val="auto"/>
              </w:rPr>
            </w:pPr>
          </w:p>
        </w:tc>
        <w:tc>
          <w:tcPr>
            <w:tcW w:w="194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728" w:hanging="728"/>
        <w:spacing w:after="0"/>
        <w:tabs>
          <w:tab w:leader="none" w:pos="72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7" w:lineRule="exact"/>
        <w:rPr>
          <w:rFonts w:ascii="Courier New" w:cs="Courier New" w:eastAsia="Courier New" w:hAnsi="Courier New"/>
          <w:sz w:val="15"/>
          <w:szCs w:val="15"/>
          <w:color w:val="auto"/>
        </w:rPr>
      </w:pPr>
    </w:p>
    <w:p>
      <w:pPr>
        <w:ind w:left="72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a revolving line of credit (no outstanding balance on $5.0 million available at June 30, 1999, and no outstanding balance on $2.0 million available at June 30, 1998) with a commercial bank that expires December 22, 2000 and which the Company anticipates renewing beyond that date. The interest rate on the line of credit is a variable interest rate (250 basis points over the London Interbank Offered Rate (LIBOR) or prime less 0.25%, whichever the Company</w:t>
      </w:r>
    </w:p>
    <w:p>
      <w:pPr>
        <w:sectPr>
          <w:pgSz w:w="11900" w:h="16838" w:orient="portrait"/>
          <w:cols w:equalWidth="0" w:num="1">
            <w:col w:w="10227"/>
          </w:cols>
          <w:pgMar w:left="232" w:top="291" w:right="1440" w:bottom="555" w:gutter="0" w:footer="0" w:header="0"/>
        </w:sectPr>
      </w:pP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291" w:right="1440" w:bottom="555" w:gutter="0" w:footer="0" w:header="0"/>
          <w:type w:val="continuous"/>
        </w:sectPr>
      </w:pPr>
    </w:p>
    <w:bookmarkStart w:id="27" w:name="page28"/>
    <w:bookmarkEnd w:id="27"/>
    <w:p>
      <w:pPr>
        <w:ind w:left="268"/>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left="728" w:right="3019"/>
        <w:spacing w:after="0" w:line="244" w:lineRule="auto"/>
        <w:rPr>
          <w:sz w:val="20"/>
          <w:szCs w:val="20"/>
          <w:color w:val="auto"/>
        </w:rPr>
      </w:pPr>
      <w:r>
        <w:rPr>
          <w:rFonts w:ascii="Courier New" w:cs="Courier New" w:eastAsia="Courier New" w:hAnsi="Courier New"/>
          <w:sz w:val="15"/>
          <w:szCs w:val="15"/>
          <w:color w:val="auto"/>
        </w:rPr>
        <w:t>chooses). The borrowing rate was 7.56% as of June 30, 1999. The weighted average interest rate for the years ended June 30, 1999, 1998 and 1997, respectively, was 8.1%, 10.8% and 11.0%. The terms of the line of credit prohibit the payment of dividends and require the Company to maintain other defined financial ratios and restrictive covenants. No compensating balance arrangements are required.</w:t>
      </w:r>
    </w:p>
    <w:p>
      <w:pPr>
        <w:spacing w:after="0" w:line="176" w:lineRule="exact"/>
        <w:rPr>
          <w:sz w:val="20"/>
          <w:szCs w:val="20"/>
          <w:color w:val="auto"/>
        </w:rPr>
      </w:pPr>
    </w:p>
    <w:p>
      <w:pPr>
        <w:ind w:left="728" w:hanging="728"/>
        <w:spacing w:after="0"/>
        <w:tabs>
          <w:tab w:leader="none" w:pos="7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6" w:lineRule="exact"/>
        <w:rPr>
          <w:rFonts w:ascii="Courier New" w:cs="Courier New" w:eastAsia="Courier New" w:hAnsi="Courier New"/>
          <w:sz w:val="15"/>
          <w:szCs w:val="15"/>
          <w:color w:val="auto"/>
        </w:rPr>
      </w:pPr>
    </w:p>
    <w:p>
      <w:pPr>
        <w:ind w:left="7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consists of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r>
      <w:tr>
        <w:trPr>
          <w:trHeight w:val="173"/>
        </w:trPr>
        <w:tc>
          <w:tcPr>
            <w:tcW w:w="4600" w:type="dxa"/>
            <w:vAlign w:val="bottom"/>
          </w:tcPr>
          <w:p>
            <w:pPr>
              <w:spacing w:after="0"/>
              <w:rPr>
                <w:sz w:val="15"/>
                <w:szCs w:val="15"/>
                <w:color w:val="auto"/>
              </w:rPr>
            </w:pPr>
          </w:p>
        </w:tc>
        <w:tc>
          <w:tcPr>
            <w:tcW w:w="252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1999</w:t>
            </w:r>
          </w:p>
        </w:tc>
        <w:tc>
          <w:tcPr>
            <w:tcW w:w="76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46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1.5% over prime (at June 30, 1998, the interest</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rate was 10.7%) note due to a financial</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institution, with monthly payments of</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$5,846, secured generally by manufacturing</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and test equipment (paid in February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82,809</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9.25% note to a financial institution, with</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monthly payments of $8,069, secured generally</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by equipment, furniture and other assets</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(paid in February 1999)</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220,073</w:t>
            </w:r>
          </w:p>
        </w:tc>
      </w:tr>
      <w:tr>
        <w:trPr>
          <w:trHeight w:val="347"/>
        </w:trPr>
        <w:tc>
          <w:tcPr>
            <w:tcW w:w="4600" w:type="dxa"/>
            <w:vAlign w:val="bottom"/>
          </w:tcPr>
          <w:p>
            <w:pPr>
              <w:spacing w:after="0"/>
              <w:rPr>
                <w:sz w:val="20"/>
                <w:szCs w:val="20"/>
                <w:color w:val="auto"/>
              </w:rPr>
            </w:pPr>
            <w:r>
              <w:rPr>
                <w:rFonts w:ascii="Courier New" w:cs="Courier New" w:eastAsia="Courier New" w:hAnsi="Courier New"/>
                <w:sz w:val="15"/>
                <w:szCs w:val="15"/>
                <w:color w:val="auto"/>
              </w:rPr>
              <w:t>11.5% note due to a financial institution,</w:t>
            </w: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with monthly payments of $14,851, secured</w:t>
            </w: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generally by furniture (paid in February 1999)</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385,332</w:t>
            </w:r>
          </w:p>
        </w:tc>
      </w:tr>
      <w:tr>
        <w:trPr>
          <w:trHeight w:val="173"/>
        </w:trPr>
        <w:tc>
          <w:tcPr>
            <w:tcW w:w="46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688,214</w:t>
            </w:r>
          </w:p>
        </w:tc>
      </w:tr>
      <w:tr>
        <w:trPr>
          <w:trHeight w:val="173"/>
        </w:trPr>
        <w:tc>
          <w:tcPr>
            <w:tcW w:w="4600" w:type="dxa"/>
            <w:vAlign w:val="bottom"/>
          </w:tcPr>
          <w:p>
            <w:pPr>
              <w:spacing w:after="0"/>
              <w:rPr>
                <w:sz w:val="20"/>
                <w:szCs w:val="20"/>
                <w:color w:val="auto"/>
              </w:rPr>
            </w:pPr>
            <w:r>
              <w:rPr>
                <w:rFonts w:ascii="Courier New" w:cs="Courier New" w:eastAsia="Courier New" w:hAnsi="Courier New"/>
                <w:sz w:val="15"/>
                <w:szCs w:val="15"/>
                <w:color w:val="auto"/>
              </w:rPr>
              <w:t>Less current portion</w:t>
            </w:r>
          </w:p>
        </w:tc>
        <w:tc>
          <w:tcPr>
            <w:tcW w:w="4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(285,630)</w:t>
            </w:r>
          </w:p>
        </w:tc>
      </w:tr>
      <w:tr>
        <w:trPr>
          <w:trHeight w:val="173"/>
        </w:trPr>
        <w:tc>
          <w:tcPr>
            <w:tcW w:w="46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Total long-term debt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402,584</w:t>
            </w:r>
          </w:p>
        </w:tc>
      </w:tr>
      <w:tr>
        <w:trPr>
          <w:trHeight w:val="173"/>
        </w:trPr>
        <w:tc>
          <w:tcPr>
            <w:tcW w:w="46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728" w:hanging="728"/>
        <w:spacing w:after="0"/>
        <w:tabs>
          <w:tab w:leader="none" w:pos="72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7" w:lineRule="exact"/>
        <w:rPr>
          <w:rFonts w:ascii="Courier New" w:cs="Courier New" w:eastAsia="Courier New" w:hAnsi="Courier New"/>
          <w:sz w:val="15"/>
          <w:szCs w:val="15"/>
          <w:color w:val="auto"/>
        </w:rPr>
      </w:pPr>
    </w:p>
    <w:p>
      <w:pPr>
        <w:jc w:val="both"/>
        <w:ind w:left="728" w:right="327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entered into capital leases with finance companies to finance the purchase of certain furniture and equipment. Property and equipment under capital leases are as follows:</w:t>
      </w:r>
    </w:p>
    <w:p>
      <w:pPr>
        <w:spacing w:after="0" w:line="200" w:lineRule="exact"/>
        <w:rPr>
          <w:sz w:val="20"/>
          <w:szCs w:val="20"/>
          <w:color w:val="auto"/>
        </w:rPr>
      </w:pPr>
    </w:p>
    <w:p>
      <w:pPr>
        <w:spacing w:after="0" w:line="321"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3"/>
        </w:trPr>
        <w:tc>
          <w:tcPr>
            <w:tcW w:w="5140" w:type="dxa"/>
            <w:vAlign w:val="bottom"/>
          </w:tcPr>
          <w:p>
            <w:pPr>
              <w:spacing w:after="0"/>
              <w:rPr>
                <w:sz w:val="15"/>
                <w:szCs w:val="15"/>
                <w:color w:val="auto"/>
              </w:rPr>
            </w:pPr>
          </w:p>
        </w:tc>
        <w:tc>
          <w:tcPr>
            <w:tcW w:w="2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965"/>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5140" w:type="dxa"/>
            <w:vAlign w:val="bottom"/>
          </w:tcPr>
          <w:p>
            <w:pPr>
              <w:spacing w:after="0"/>
              <w:rPr>
                <w:sz w:val="15"/>
                <w:szCs w:val="15"/>
                <w:color w:val="auto"/>
              </w:rPr>
            </w:pPr>
          </w:p>
        </w:tc>
        <w:tc>
          <w:tcPr>
            <w:tcW w:w="18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Office furniture and equipment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781,289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890,360</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Manufacturing and test equipment .......................</w:t>
            </w:r>
          </w:p>
        </w:tc>
        <w:tc>
          <w:tcPr>
            <w:tcW w:w="180" w:type="dxa"/>
            <w:vAlign w:val="bottom"/>
          </w:tcPr>
          <w:p>
            <w:pPr>
              <w:spacing w:after="0"/>
              <w:rPr>
                <w:sz w:val="15"/>
                <w:szCs w:val="15"/>
                <w:color w:val="auto"/>
              </w:rPr>
            </w:pP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439,111</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524,917</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Telephone bridging equipment ...........................</w:t>
            </w:r>
          </w:p>
        </w:tc>
        <w:tc>
          <w:tcPr>
            <w:tcW w:w="180" w:type="dxa"/>
            <w:vAlign w:val="bottom"/>
          </w:tcPr>
          <w:p>
            <w:pPr>
              <w:spacing w:after="0"/>
              <w:rPr>
                <w:sz w:val="15"/>
                <w:szCs w:val="15"/>
                <w:color w:val="auto"/>
              </w:rPr>
            </w:pP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418,593</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600,250</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Vehicles ...............................................</w:t>
            </w:r>
          </w:p>
        </w:tc>
        <w:tc>
          <w:tcPr>
            <w:tcW w:w="180" w:type="dxa"/>
            <w:vAlign w:val="bottom"/>
          </w:tcPr>
          <w:p>
            <w:pPr>
              <w:spacing w:after="0"/>
              <w:rPr>
                <w:sz w:val="15"/>
                <w:szCs w:val="15"/>
                <w:color w:val="auto"/>
              </w:rPr>
            </w:pP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22,318</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33,862</w:t>
            </w:r>
          </w:p>
        </w:tc>
      </w:tr>
      <w:tr>
        <w:trPr>
          <w:trHeight w:val="173"/>
        </w:trPr>
        <w:tc>
          <w:tcPr>
            <w:tcW w:w="5140" w:type="dxa"/>
            <w:vAlign w:val="bottom"/>
          </w:tcPr>
          <w:p>
            <w:pPr>
              <w:spacing w:after="0"/>
              <w:rPr>
                <w:sz w:val="15"/>
                <w:szCs w:val="15"/>
                <w:color w:val="auto"/>
              </w:rPr>
            </w:pPr>
          </w:p>
        </w:tc>
        <w:tc>
          <w:tcPr>
            <w:tcW w:w="18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1,661,311</w:t>
            </w:r>
          </w:p>
        </w:tc>
        <w:tc>
          <w:tcPr>
            <w:tcW w:w="14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2,049,389</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Accumulated depreciation and amortization ..............</w:t>
            </w:r>
          </w:p>
        </w:tc>
        <w:tc>
          <w:tcPr>
            <w:tcW w:w="180" w:type="dxa"/>
            <w:vAlign w:val="bottom"/>
          </w:tcPr>
          <w:p>
            <w:pPr>
              <w:spacing w:after="0"/>
              <w:rPr>
                <w:sz w:val="15"/>
                <w:szCs w:val="15"/>
                <w:color w:val="auto"/>
              </w:rPr>
            </w:pPr>
          </w:p>
        </w:tc>
        <w:tc>
          <w:tcPr>
            <w:tcW w:w="166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6"/>
              </w:rPr>
              <w:t>(1,394,843)</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(1,099,093)</w:t>
            </w:r>
          </w:p>
        </w:tc>
      </w:tr>
      <w:tr>
        <w:trPr>
          <w:trHeight w:val="173"/>
        </w:trPr>
        <w:tc>
          <w:tcPr>
            <w:tcW w:w="5140" w:type="dxa"/>
            <w:vAlign w:val="bottom"/>
          </w:tcPr>
          <w:p>
            <w:pPr>
              <w:spacing w:after="0"/>
              <w:rPr>
                <w:sz w:val="15"/>
                <w:szCs w:val="15"/>
                <w:color w:val="auto"/>
              </w:rPr>
            </w:pPr>
          </w:p>
        </w:tc>
        <w:tc>
          <w:tcPr>
            <w:tcW w:w="18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1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property and equipment under capital leases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266,468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950,296</w:t>
            </w:r>
          </w:p>
        </w:tc>
      </w:tr>
      <w:tr>
        <w:trPr>
          <w:trHeight w:val="173"/>
        </w:trPr>
        <w:tc>
          <w:tcPr>
            <w:tcW w:w="5140" w:type="dxa"/>
            <w:vAlign w:val="bottom"/>
          </w:tcPr>
          <w:p>
            <w:pPr>
              <w:spacing w:after="0"/>
              <w:rPr>
                <w:sz w:val="15"/>
                <w:szCs w:val="15"/>
                <w:color w:val="auto"/>
              </w:rPr>
            </w:pPr>
          </w:p>
        </w:tc>
        <w:tc>
          <w:tcPr>
            <w:tcW w:w="184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728" w:right="3099"/>
        <w:spacing w:after="0" w:line="243" w:lineRule="auto"/>
        <w:rPr>
          <w:sz w:val="20"/>
          <w:szCs w:val="20"/>
          <w:color w:val="auto"/>
        </w:rPr>
      </w:pPr>
      <w:r>
        <w:rPr>
          <w:rFonts w:ascii="Courier New" w:cs="Courier New" w:eastAsia="Courier New" w:hAnsi="Courier New"/>
          <w:sz w:val="15"/>
          <w:szCs w:val="15"/>
          <w:color w:val="auto"/>
        </w:rPr>
        <w:t>Future minimum lease payments under capital leases and noncancelable operating leases with initial terms of one year or more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w:t>
            </w:r>
          </w:p>
        </w:tc>
      </w:tr>
      <w:tr>
        <w:trPr>
          <w:trHeight w:val="173"/>
        </w:trPr>
        <w:tc>
          <w:tcPr>
            <w:tcW w:w="5040" w:type="dxa"/>
            <w:vAlign w:val="bottom"/>
          </w:tcPr>
          <w:p>
            <w:pPr>
              <w:spacing w:after="0"/>
              <w:rPr>
                <w:sz w:val="15"/>
                <w:szCs w:val="15"/>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040" w:type="dxa"/>
            <w:vAlign w:val="bottom"/>
          </w:tcPr>
          <w:p>
            <w:pPr>
              <w:jc w:val="right"/>
              <w:ind w:right="2725"/>
              <w:spacing w:after="0"/>
              <w:rPr>
                <w:sz w:val="20"/>
                <w:szCs w:val="20"/>
                <w:color w:val="auto"/>
              </w:rPr>
            </w:pPr>
            <w:r>
              <w:rPr>
                <w:rFonts w:ascii="Courier New" w:cs="Courier New" w:eastAsia="Courier New" w:hAnsi="Courier New"/>
                <w:sz w:val="15"/>
                <w:szCs w:val="15"/>
                <w:color w:val="auto"/>
                <w:w w:val="98"/>
              </w:rPr>
              <w:t>For years ending June 30:</w:t>
            </w: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2000 ...............................................</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296,449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582,957</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2001 ...............................................</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306,192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595,278</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2002 ...............................................</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201,446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577,302</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2003 ...............................................</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29,325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455,541</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2004 ...............................................</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355,225</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Thereafter .........................................</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1,056,450</w:t>
            </w:r>
          </w:p>
        </w:tc>
      </w:tr>
      <w:tr>
        <w:trPr>
          <w:trHeight w:val="173"/>
        </w:trPr>
        <w:tc>
          <w:tcPr>
            <w:tcW w:w="5040" w:type="dxa"/>
            <w:vAlign w:val="bottom"/>
          </w:tcPr>
          <w:p>
            <w:pPr>
              <w:spacing w:after="0"/>
              <w:rPr>
                <w:sz w:val="15"/>
                <w:szCs w:val="15"/>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minimum lease payments ....................</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833,412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$3,622,753</w:t>
            </w:r>
          </w:p>
        </w:tc>
      </w:tr>
      <w:tr>
        <w:trPr>
          <w:trHeight w:val="173"/>
        </w:trPr>
        <w:tc>
          <w:tcPr>
            <w:tcW w:w="5040" w:type="dxa"/>
            <w:vAlign w:val="bottom"/>
          </w:tcPr>
          <w:p>
            <w:pPr>
              <w:spacing w:after="0"/>
              <w:rPr>
                <w:sz w:val="15"/>
                <w:szCs w:val="15"/>
                <w:color w:val="auto"/>
              </w:rPr>
            </w:pP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Less use taxes ........................................</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(49,762)</w:t>
            </w:r>
          </w:p>
        </w:tc>
        <w:tc>
          <w:tcPr>
            <w:tcW w:w="1260" w:type="dxa"/>
            <w:vAlign w:val="bottom"/>
          </w:tcPr>
          <w:p>
            <w:pPr>
              <w:spacing w:after="0"/>
              <w:rPr>
                <w:sz w:val="15"/>
                <w:szCs w:val="15"/>
                <w:color w:val="auto"/>
              </w:rPr>
            </w:pP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minimum lease payments ......................</w:t>
            </w:r>
          </w:p>
        </w:tc>
        <w:tc>
          <w:tcPr>
            <w:tcW w:w="1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783,650</w:t>
            </w:r>
          </w:p>
        </w:tc>
        <w:tc>
          <w:tcPr>
            <w:tcW w:w="1260" w:type="dxa"/>
            <w:vAlign w:val="bottom"/>
          </w:tcPr>
          <w:p>
            <w:pPr>
              <w:spacing w:after="0"/>
              <w:rPr>
                <w:sz w:val="15"/>
                <w:szCs w:val="15"/>
                <w:color w:val="auto"/>
              </w:rPr>
            </w:pP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Less amount representing interest .....................</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(112,407)</w:t>
            </w:r>
          </w:p>
        </w:tc>
        <w:tc>
          <w:tcPr>
            <w:tcW w:w="126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27"/>
          </w:cols>
          <w:pgMar w:left="232" w:top="291" w:right="1440" w:bottom="0" w:gutter="0" w:footer="0" w:header="0"/>
        </w:sectPr>
      </w:pPr>
    </w:p>
    <w:p>
      <w:pPr>
        <w:spacing w:after="0" w:line="200" w:lineRule="exact"/>
        <w:rPr>
          <w:sz w:val="20"/>
          <w:szCs w:val="20"/>
          <w:color w:val="auto"/>
        </w:rPr>
      </w:pPr>
    </w:p>
    <w:p>
      <w:pPr>
        <w:spacing w:after="0" w:line="29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291" w:right="1440" w:bottom="0" w:gutter="0" w:footer="0" w:header="0"/>
          <w:type w:val="continuous"/>
        </w:sectPr>
      </w:pPr>
    </w:p>
    <w:bookmarkStart w:id="28" w:name="page29"/>
    <w:bookmarkEnd w:id="28"/>
    <w:p>
      <w:pPr>
        <w:ind w:left="268"/>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Present value of net minimum lease payments .....</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671,243</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Less current portion ..................................</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(215,854)</w:t>
            </w:r>
          </w:p>
        </w:tc>
      </w:tr>
      <w:tr>
        <w:trPr>
          <w:trHeight w:val="173"/>
        </w:trPr>
        <w:tc>
          <w:tcPr>
            <w:tcW w:w="50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lease obligation ........................</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455,389</w:t>
            </w:r>
          </w:p>
        </w:tc>
      </w:tr>
      <w:tr>
        <w:trPr>
          <w:trHeight w:val="173"/>
        </w:trPr>
        <w:tc>
          <w:tcPr>
            <w:tcW w:w="504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Certain operating leases contain escalation clauses based on the</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consumer price index. Rental expense, which was composed of minimum</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rentals under operating lease obligations, was $511,836, $362,888 and</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$245,996 for the years ended June 30, 1999, 1998 and 1997, respectively.</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The Company's operating lease on its facility, which expires 2007,</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provides for renewal options extending the terms an additional ten</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years. Rates charged would be at prevailing market rates at the time of</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renewal.</w:t>
      </w:r>
    </w:p>
    <w:p>
      <w:pPr>
        <w:spacing w:after="0" w:line="177" w:lineRule="exact"/>
        <w:rPr>
          <w:sz w:val="20"/>
          <w:szCs w:val="20"/>
          <w:color w:val="auto"/>
        </w:rPr>
      </w:pPr>
    </w:p>
    <w:p>
      <w:pPr>
        <w:ind w:left="728" w:hanging="728"/>
        <w:spacing w:after="0"/>
        <w:tabs>
          <w:tab w:leader="none" w:pos="72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ROYALTY AGREEMENTS</w:t>
      </w:r>
    </w:p>
    <w:p>
      <w:pPr>
        <w:spacing w:after="0" w:line="177" w:lineRule="exact"/>
        <w:rPr>
          <w:rFonts w:ascii="Courier New" w:cs="Courier New" w:eastAsia="Courier New" w:hAnsi="Courier New"/>
          <w:sz w:val="15"/>
          <w:szCs w:val="15"/>
          <w:color w:val="auto"/>
        </w:rPr>
      </w:pPr>
    </w:p>
    <w:p>
      <w:pPr>
        <w:ind w:left="72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general partner in two limited partnerships, Gentner Research Ltd. ("GRL") and Gentner Research II, Ltd. ("GR2L"), both related parties. GRL sold the proprietary interest in a remote control product line to the Company in exchange for royalty agreements in 1987 and 1988. Royalty expense under the agreements with GRL for the years ended June 30, 1999, 1998 and 1997, was $39,900, $43,500 and $45,100, respectively. In fiscal 1997, GR2L sold the proprietary interest in a new remote control product to the Company in exchange for a royalty agreement. Royalty expense under this agreement with GR2L for the years ended June 30, 1999, 1998 and 1997 was $82,989, $54,810 and $36,588, respectively. As of June 30, 1999, 1998 and 1997, GR2L owed the Company $98,633, $126,505 and $139,000, respectively, which is a note receivable from the partnership to the Company. The terms of the note are such that 50% of all the royalty proceeds will be applied to the payment of the note's principal and interest first. The note is payable in full on April 30, 2001, and the interest rate on the note is equal to the Company's cost of short term funds.</w:t>
      </w:r>
    </w:p>
    <w:p>
      <w:pPr>
        <w:spacing w:after="0" w:line="183"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7" w:lineRule="exact"/>
        <w:rPr>
          <w:rFonts w:ascii="Courier New" w:cs="Courier New" w:eastAsia="Courier New" w:hAnsi="Courier New"/>
          <w:sz w:val="15"/>
          <w:szCs w:val="15"/>
          <w:color w:val="auto"/>
        </w:rPr>
      </w:pPr>
    </w:p>
    <w:p>
      <w:pPr>
        <w:ind w:left="72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liabilities and assets are as follows:</w:t>
      </w:r>
    </w:p>
    <w:p>
      <w:pPr>
        <w:spacing w:after="0" w:line="200" w:lineRule="exact"/>
        <w:rPr>
          <w:sz w:val="20"/>
          <w:szCs w:val="20"/>
          <w:color w:val="auto"/>
        </w:rPr>
      </w:pPr>
    </w:p>
    <w:p>
      <w:pPr>
        <w:spacing w:after="0" w:line="323"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4780" w:type="dxa"/>
            <w:vAlign w:val="bottom"/>
          </w:tcPr>
          <w:p>
            <w:pPr>
              <w:spacing w:after="0"/>
              <w:rPr>
                <w:sz w:val="15"/>
                <w:szCs w:val="15"/>
                <w:color w:val="auto"/>
              </w:rPr>
            </w:pP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 over book depreciation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246,000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$ 229,000</w:t>
            </w:r>
          </w:p>
        </w:tc>
      </w:tr>
      <w:tr>
        <w:trPr>
          <w:trHeight w:val="347"/>
        </w:trPr>
        <w:tc>
          <w:tcPr>
            <w:tcW w:w="47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Unamortized software costs ......................</w:t>
            </w:r>
          </w:p>
        </w:tc>
        <w:tc>
          <w:tcPr>
            <w:tcW w:w="18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11,000</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 and other reserves ..........</w:t>
            </w:r>
          </w:p>
        </w:tc>
        <w:tc>
          <w:tcPr>
            <w:tcW w:w="18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69,000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70,000</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Inventory reserves ..............................</w:t>
            </w:r>
          </w:p>
        </w:tc>
        <w:tc>
          <w:tcPr>
            <w:tcW w:w="18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35,000</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Product warranty accruals .......................</w:t>
            </w:r>
          </w:p>
        </w:tc>
        <w:tc>
          <w:tcPr>
            <w:tcW w:w="18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8,000</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 credit carryforwards ........................</w:t>
            </w:r>
          </w:p>
        </w:tc>
        <w:tc>
          <w:tcPr>
            <w:tcW w:w="18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304,000</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deferred tax assets ....................</w:t>
            </w:r>
          </w:p>
        </w:tc>
        <w:tc>
          <w:tcPr>
            <w:tcW w:w="18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144,000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428,000</w:t>
            </w:r>
          </w:p>
        </w:tc>
      </w:tr>
      <w:tr>
        <w:trPr>
          <w:trHeight w:val="173"/>
        </w:trPr>
        <w:tc>
          <w:tcPr>
            <w:tcW w:w="4780" w:type="dxa"/>
            <w:vAlign w:val="bottom"/>
          </w:tcPr>
          <w:p>
            <w:pPr>
              <w:spacing w:after="0"/>
              <w:rPr>
                <w:sz w:val="15"/>
                <w:szCs w:val="15"/>
                <w:color w:val="auto"/>
              </w:rPr>
            </w:pP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Valuation allowance for deferred tax assets .....</w:t>
            </w:r>
          </w:p>
        </w:tc>
        <w:tc>
          <w:tcPr>
            <w:tcW w:w="18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(159,000)</w:t>
            </w:r>
          </w:p>
        </w:tc>
      </w:tr>
      <w:tr>
        <w:trPr>
          <w:trHeight w:val="173"/>
        </w:trPr>
        <w:tc>
          <w:tcPr>
            <w:tcW w:w="4780" w:type="dxa"/>
            <w:vAlign w:val="bottom"/>
          </w:tcPr>
          <w:p>
            <w:pPr>
              <w:spacing w:after="0"/>
              <w:rPr>
                <w:sz w:val="15"/>
                <w:szCs w:val="15"/>
                <w:color w:val="auto"/>
              </w:rPr>
            </w:pP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deferred tax assets ......................</w:t>
            </w:r>
          </w:p>
        </w:tc>
        <w:tc>
          <w:tcPr>
            <w:tcW w:w="18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144,000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269,000</w:t>
            </w:r>
          </w:p>
        </w:tc>
      </w:tr>
      <w:tr>
        <w:trPr>
          <w:trHeight w:val="173"/>
        </w:trPr>
        <w:tc>
          <w:tcPr>
            <w:tcW w:w="4780" w:type="dxa"/>
            <w:vAlign w:val="bottom"/>
          </w:tcPr>
          <w:p>
            <w:pPr>
              <w:spacing w:after="0"/>
              <w:rPr>
                <w:sz w:val="15"/>
                <w:szCs w:val="15"/>
                <w:color w:val="auto"/>
              </w:rPr>
            </w:pP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deferred taxes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(102,000)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40,000</w:t>
            </w:r>
          </w:p>
        </w:tc>
      </w:tr>
      <w:tr>
        <w:trPr>
          <w:trHeight w:val="173"/>
        </w:trPr>
        <w:tc>
          <w:tcPr>
            <w:tcW w:w="4780" w:type="dxa"/>
            <w:vAlign w:val="bottom"/>
          </w:tcPr>
          <w:p>
            <w:pPr>
              <w:spacing w:after="0"/>
              <w:rPr>
                <w:sz w:val="15"/>
                <w:szCs w:val="15"/>
                <w:color w:val="auto"/>
              </w:rPr>
            </w:pPr>
          </w:p>
        </w:tc>
        <w:tc>
          <w:tcPr>
            <w:tcW w:w="134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Significant components of the provision for income taxes are as follows:</w:t>
      </w:r>
    </w:p>
    <w:p>
      <w:pPr>
        <w:spacing w:after="0" w:line="3"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Years Ended June 30,</w:t>
      </w:r>
    </w:p>
    <w:p>
      <w:pPr>
        <w:spacing w:after="0" w:line="200" w:lineRule="exact"/>
        <w:rPr>
          <w:sz w:val="20"/>
          <w:szCs w:val="20"/>
          <w:color w:val="auto"/>
        </w:rPr>
      </w:pPr>
    </w:p>
    <w:p>
      <w:pPr>
        <w:spacing w:after="0" w:line="324"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spacing w:after="0"/>
              <w:rPr>
                <w:sz w:val="14"/>
                <w:szCs w:val="14"/>
                <w:color w:val="auto"/>
              </w:rPr>
            </w:pPr>
          </w:p>
        </w:tc>
        <w:tc>
          <w:tcPr>
            <w:tcW w:w="11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960" w:type="dxa"/>
            <w:vAlign w:val="bottom"/>
          </w:tcPr>
          <w:p>
            <w:pPr>
              <w:spacing w:after="0"/>
              <w:rPr>
                <w:sz w:val="15"/>
                <w:szCs w:val="15"/>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957,000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69,000</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 .............................................</w:t>
            </w: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182,700</w:t>
            </w:r>
          </w:p>
        </w:tc>
        <w:tc>
          <w:tcPr>
            <w:tcW w:w="54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6,000</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 benefits allocated to contributed capital .....</w:t>
            </w: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239,000</w:t>
            </w:r>
          </w:p>
        </w:tc>
        <w:tc>
          <w:tcPr>
            <w:tcW w:w="54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4,000</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spacing w:after="0"/>
              <w:rPr>
                <w:sz w:val="15"/>
                <w:szCs w:val="15"/>
                <w:color w:val="auto"/>
              </w:rPr>
            </w:pP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w:t>
            </w:r>
          </w:p>
        </w:tc>
        <w:tc>
          <w:tcPr>
            <w:tcW w:w="18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1,378,700</w:t>
            </w:r>
          </w:p>
        </w:tc>
        <w:tc>
          <w:tcPr>
            <w:tcW w:w="54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79,000</w:t>
            </w:r>
          </w:p>
        </w:tc>
        <w:tc>
          <w:tcPr>
            <w:tcW w:w="5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r>
      <w:tr>
        <w:trPr>
          <w:trHeight w:val="347"/>
        </w:trPr>
        <w:tc>
          <w:tcPr>
            <w:tcW w:w="49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128,000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(36,500)</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r>
    </w:tbl>
    <w:p>
      <w:pPr>
        <w:sectPr>
          <w:pgSz w:w="11900" w:h="16838" w:orient="portrait"/>
          <w:cols w:equalWidth="0" w:num="1">
            <w:col w:w="10227"/>
          </w:cols>
          <w:pgMar w:left="232" w:top="291" w:right="1440" w:bottom="382" w:gutter="0" w:footer="0" w:header="0"/>
        </w:sectPr>
      </w:pPr>
    </w:p>
    <w:bookmarkStart w:id="29" w:name="page30"/>
    <w:bookmarkEnd w:id="29"/>
    <w:p>
      <w:pPr>
        <w:ind w:left="23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019"/>
          </w:cols>
          <w:pgMar w:left="1440" w:top="314" w:right="1440" w:bottom="1440" w:gutter="0" w:footer="0" w:header="0"/>
        </w:sectPr>
      </w:pPr>
    </w:p>
    <w:bookmarkStart w:id="30" w:name="page31"/>
    <w:bookmarkEnd w:id="30"/>
    <w:p>
      <w:pPr>
        <w:ind w:left="268"/>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24"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3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7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47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47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State .............................................</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14,000</w:t>
            </w:r>
          </w:p>
        </w:tc>
        <w:tc>
          <w:tcPr>
            <w:tcW w:w="1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3"/>
        </w:trPr>
        <w:tc>
          <w:tcPr>
            <w:tcW w:w="47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7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deferred .................................</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142,000</w:t>
            </w:r>
          </w:p>
        </w:tc>
        <w:tc>
          <w:tcPr>
            <w:tcW w:w="17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36,000</w:t>
            </w:r>
          </w:p>
        </w:tc>
      </w:tr>
      <w:tr>
        <w:trPr>
          <w:trHeight w:val="173"/>
        </w:trPr>
        <w:tc>
          <w:tcPr>
            <w:tcW w:w="47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7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$1,520,700</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39,000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36,900</w:t>
            </w:r>
          </w:p>
        </w:tc>
      </w:tr>
      <w:tr>
        <w:trPr>
          <w:trHeight w:val="173"/>
        </w:trPr>
        <w:tc>
          <w:tcPr>
            <w:tcW w:w="4700" w:type="dxa"/>
            <w:vAlign w:val="bottom"/>
          </w:tcPr>
          <w:p>
            <w:pPr>
              <w:spacing w:after="0"/>
              <w:rPr>
                <w:sz w:val="15"/>
                <w:szCs w:val="15"/>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1" w:lineRule="exact"/>
        <w:rPr>
          <w:sz w:val="20"/>
          <w:szCs w:val="20"/>
          <w:color w:val="auto"/>
        </w:rPr>
      </w:pPr>
    </w:p>
    <w:p>
      <w:pPr>
        <w:ind w:left="728" w:right="3800"/>
        <w:spacing w:after="0" w:line="244" w:lineRule="auto"/>
        <w:rPr>
          <w:sz w:val="20"/>
          <w:szCs w:val="20"/>
          <w:color w:val="auto"/>
        </w:rPr>
      </w:pPr>
      <w:r>
        <w:rPr>
          <w:rFonts w:ascii="Courier New" w:cs="Courier New" w:eastAsia="Courier New" w:hAnsi="Courier New"/>
          <w:sz w:val="15"/>
          <w:szCs w:val="15"/>
          <w:color w:val="auto"/>
        </w:rPr>
        <w:t>The provision for federal income taxes was reduced due to the use of approximately $1,300,000 and $1,000,000 in net operating loss benefits in 1998 and 1997, respectively.</w:t>
      </w:r>
    </w:p>
    <w:p>
      <w:pPr>
        <w:spacing w:after="0" w:line="175" w:lineRule="exact"/>
        <w:rPr>
          <w:sz w:val="20"/>
          <w:szCs w:val="20"/>
          <w:color w:val="auto"/>
        </w:rPr>
      </w:pPr>
    </w:p>
    <w:p>
      <w:pPr>
        <w:ind w:left="728" w:right="3700"/>
        <w:spacing w:after="0" w:line="243" w:lineRule="auto"/>
        <w:rPr>
          <w:sz w:val="20"/>
          <w:szCs w:val="20"/>
          <w:color w:val="auto"/>
        </w:rPr>
      </w:pPr>
      <w:r>
        <w:rPr>
          <w:rFonts w:ascii="Courier New" w:cs="Courier New" w:eastAsia="Courier New" w:hAnsi="Courier New"/>
          <w:sz w:val="15"/>
          <w:szCs w:val="15"/>
          <w:color w:val="auto"/>
        </w:rPr>
        <w:t>The reconciliation of income tax computed at the U.S. federal statutory tax rates to income tax expense is as follows:</w:t>
      </w:r>
    </w:p>
    <w:p>
      <w:pPr>
        <w:spacing w:after="0" w:line="200" w:lineRule="exact"/>
        <w:rPr>
          <w:sz w:val="20"/>
          <w:szCs w:val="20"/>
          <w:color w:val="auto"/>
        </w:rPr>
      </w:pPr>
    </w:p>
    <w:p>
      <w:pPr>
        <w:spacing w:after="0" w:line="322"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Years Ended June 30,</w:t>
            </w:r>
          </w:p>
        </w:tc>
        <w:tc>
          <w:tcPr>
            <w:tcW w:w="860" w:type="dxa"/>
            <w:vAlign w:val="bottom"/>
          </w:tcPr>
          <w:p>
            <w:pPr>
              <w:spacing w:after="0"/>
              <w:rPr>
                <w:sz w:val="14"/>
                <w:szCs w:val="14"/>
                <w:color w:val="auto"/>
              </w:rPr>
            </w:pPr>
          </w:p>
        </w:tc>
      </w:tr>
      <w:tr>
        <w:trPr>
          <w:trHeight w:val="173"/>
        </w:trPr>
        <w:tc>
          <w:tcPr>
            <w:tcW w:w="6120" w:type="dxa"/>
            <w:vAlign w:val="bottom"/>
          </w:tcPr>
          <w:p>
            <w:pPr>
              <w:spacing w:after="0"/>
              <w:rPr>
                <w:sz w:val="15"/>
                <w:szCs w:val="15"/>
                <w:color w:val="auto"/>
              </w:rPr>
            </w:pPr>
          </w:p>
        </w:tc>
        <w:tc>
          <w:tcPr>
            <w:tcW w:w="39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20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1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7"/>
        </w:trPr>
        <w:tc>
          <w:tcPr>
            <w:tcW w:w="6120" w:type="dxa"/>
            <w:vAlign w:val="bottom"/>
          </w:tcPr>
          <w:p>
            <w:pPr>
              <w:spacing w:after="0"/>
              <w:rPr>
                <w:sz w:val="20"/>
                <w:szCs w:val="20"/>
                <w:color w:val="auto"/>
              </w:rPr>
            </w:pPr>
            <w:r>
              <w:rPr>
                <w:rFonts w:ascii="Courier New" w:cs="Courier New" w:eastAsia="Courier New" w:hAnsi="Courier New"/>
                <w:sz w:val="15"/>
                <w:szCs w:val="15"/>
                <w:color w:val="auto"/>
              </w:rPr>
              <w:t>Tax at federal statutory rate</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w:t>
            </w:r>
          </w:p>
        </w:tc>
        <w:tc>
          <w:tcPr>
            <w:tcW w:w="2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34.0%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Increase (reduction) in computed tax rate resulting from:</w:t>
            </w:r>
          </w:p>
        </w:tc>
        <w:tc>
          <w:tcPr>
            <w:tcW w:w="10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State income tax, net of federal effect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204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3.3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w:t>
            </w:r>
          </w:p>
        </w:tc>
        <w:tc>
          <w:tcPr>
            <w:tcW w:w="2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(33.9)</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45.8</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Nondeductible entertainment expenses and life insurance premiums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w:t>
            </w:r>
          </w:p>
        </w:tc>
        <w:tc>
          <w:tcPr>
            <w:tcW w:w="204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0.3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173"/>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2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w:t>
            </w:r>
          </w:p>
        </w:tc>
      </w:tr>
      <w:tr>
        <w:trPr>
          <w:trHeight w:val="173"/>
        </w:trPr>
        <w:tc>
          <w:tcPr>
            <w:tcW w:w="61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612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37.4%</w:t>
            </w:r>
          </w:p>
        </w:tc>
        <w:tc>
          <w:tcPr>
            <w:tcW w:w="20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w:t>
            </w:r>
          </w:p>
        </w:tc>
      </w:tr>
      <w:tr>
        <w:trPr>
          <w:trHeight w:val="173"/>
        </w:trPr>
        <w:tc>
          <w:tcPr>
            <w:tcW w:w="612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7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728" w:hanging="728"/>
        <w:spacing w:after="0"/>
        <w:tabs>
          <w:tab w:leader="none" w:pos="72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w:t>
      </w:r>
    </w:p>
    <w:p>
      <w:pPr>
        <w:spacing w:after="0" w:line="177" w:lineRule="exact"/>
        <w:rPr>
          <w:rFonts w:ascii="Courier New" w:cs="Courier New" w:eastAsia="Courier New" w:hAnsi="Courier New"/>
          <w:sz w:val="15"/>
          <w:szCs w:val="15"/>
          <w:color w:val="auto"/>
        </w:rPr>
      </w:pPr>
    </w:p>
    <w:p>
      <w:pPr>
        <w:ind w:left="728" w:right="3620"/>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1990 Incentive Plan ("1990 Plan") has shares of common stock available for issuance to employees and directors. Provisions of the 1990 Plan include the granting of stock options. Generally, stock options vest over a five year period at 10%, 15%, 20%, 25% and 30% per year over years one through five. Certain other stock options vest in full after eight years (2004). The Company also has a 1998 Stock Option Plan ("1998 Plan"). Provisions of the 1998 Plan include the granting of stock options. Currently options will vest based on earnings per share goals through 2003 but cliff vest after 9.75 years if earnings per share goals are not met. Under the 1998 Plan, there are 1,700,000 shares available. The 1998 Plan expires June 10, 2008, or when all the shares available under the plan have been issued. Information for the fiscal years 1996 through 1998 with respect to the Plans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ind w:left="420"/>
              <w:spacing w:after="0"/>
              <w:rPr>
                <w:sz w:val="20"/>
                <w:szCs w:val="20"/>
                <w:color w:val="auto"/>
              </w:rPr>
            </w:pPr>
            <w:r>
              <w:rPr>
                <w:rFonts w:ascii="Courier New" w:cs="Courier New" w:eastAsia="Courier New" w:hAnsi="Courier New"/>
                <w:sz w:val="15"/>
                <w:szCs w:val="15"/>
                <w:color w:val="auto"/>
              </w:rPr>
              <w:t>Weighted</w:t>
            </w:r>
          </w:p>
        </w:tc>
      </w:tr>
      <w:tr>
        <w:trPr>
          <w:trHeight w:val="173"/>
        </w:trPr>
        <w:tc>
          <w:tcPr>
            <w:tcW w:w="2880" w:type="dxa"/>
            <w:vAlign w:val="bottom"/>
          </w:tcPr>
          <w:p>
            <w:pPr>
              <w:spacing w:after="0"/>
              <w:rPr>
                <w:sz w:val="15"/>
                <w:szCs w:val="15"/>
                <w:color w:val="auto"/>
              </w:rPr>
            </w:pP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 of</w:t>
            </w:r>
          </w:p>
        </w:tc>
        <w:tc>
          <w:tcPr>
            <w:tcW w:w="1400" w:type="dxa"/>
            <w:vAlign w:val="bottom"/>
          </w:tcPr>
          <w:p>
            <w:pPr>
              <w:ind w:left="420"/>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14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Outstanding at June 30, 1996</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$0.80</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605,000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0.79</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Options expired and canceled</w:t>
            </w:r>
          </w:p>
        </w:tc>
        <w:tc>
          <w:tcPr>
            <w:tcW w:w="1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0.72</w:t>
            </w:r>
          </w:p>
        </w:tc>
      </w:tr>
      <w:tr>
        <w:trPr>
          <w:trHeight w:val="173"/>
        </w:trPr>
        <w:tc>
          <w:tcPr>
            <w:tcW w:w="2880" w:type="dxa"/>
            <w:vAlign w:val="bottom"/>
          </w:tcPr>
          <w:p>
            <w:pPr>
              <w:spacing w:after="0"/>
              <w:rPr>
                <w:sz w:val="15"/>
                <w:szCs w:val="15"/>
                <w:color w:val="auto"/>
              </w:rPr>
            </w:pP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Outstanding at June 30, 1997</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0.80</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1,193,000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2.05</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Options expired and canceled</w:t>
            </w:r>
          </w:p>
        </w:tc>
        <w:tc>
          <w:tcPr>
            <w:tcW w:w="1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(258,000)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0.80</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0.74</w:t>
            </w:r>
          </w:p>
        </w:tc>
      </w:tr>
      <w:tr>
        <w:trPr>
          <w:trHeight w:val="173"/>
        </w:trPr>
        <w:tc>
          <w:tcPr>
            <w:tcW w:w="2880" w:type="dxa"/>
            <w:vAlign w:val="bottom"/>
          </w:tcPr>
          <w:p>
            <w:pPr>
              <w:spacing w:after="0"/>
              <w:rPr>
                <w:sz w:val="15"/>
                <w:szCs w:val="15"/>
                <w:color w:val="auto"/>
              </w:rPr>
            </w:pP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347"/>
        </w:trPr>
        <w:tc>
          <w:tcPr>
            <w:tcW w:w="2880" w:type="dxa"/>
            <w:vAlign w:val="bottom"/>
          </w:tcPr>
          <w:p>
            <w:pPr>
              <w:spacing w:after="0"/>
              <w:rPr>
                <w:sz w:val="20"/>
                <w:szCs w:val="20"/>
                <w:color w:val="auto"/>
              </w:rPr>
            </w:pPr>
            <w:r>
              <w:rPr>
                <w:rFonts w:ascii="Courier New" w:cs="Courier New" w:eastAsia="Courier New" w:hAnsi="Courier New"/>
                <w:sz w:val="15"/>
                <w:szCs w:val="15"/>
                <w:color w:val="auto"/>
              </w:rPr>
              <w:t>Outstanding at June 30, 1998</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1,853,000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1.61</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Options granted</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100,000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3.38</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Options expired and canceled</w:t>
            </w:r>
          </w:p>
        </w:tc>
        <w:tc>
          <w:tcPr>
            <w:tcW w:w="1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(115,250)</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2.25</w:t>
            </w: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(429,702)</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0.75</w:t>
            </w:r>
          </w:p>
        </w:tc>
      </w:tr>
      <w:tr>
        <w:trPr>
          <w:trHeight w:val="173"/>
        </w:trPr>
        <w:tc>
          <w:tcPr>
            <w:tcW w:w="2880" w:type="dxa"/>
            <w:vAlign w:val="bottom"/>
          </w:tcPr>
          <w:p>
            <w:pPr>
              <w:spacing w:after="0"/>
              <w:rPr>
                <w:sz w:val="15"/>
                <w:szCs w:val="15"/>
                <w:color w:val="auto"/>
              </w:rPr>
            </w:pP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r>
        <w:trPr>
          <w:trHeight w:val="173"/>
        </w:trPr>
        <w:tc>
          <w:tcPr>
            <w:tcW w:w="2880" w:type="dxa"/>
            <w:vAlign w:val="bottom"/>
          </w:tcPr>
          <w:p>
            <w:pPr>
              <w:spacing w:after="0"/>
              <w:rPr>
                <w:sz w:val="20"/>
                <w:szCs w:val="20"/>
                <w:color w:val="auto"/>
              </w:rPr>
            </w:pPr>
            <w:r>
              <w:rPr>
                <w:rFonts w:ascii="Courier New" w:cs="Courier New" w:eastAsia="Courier New" w:hAnsi="Courier New"/>
                <w:sz w:val="15"/>
                <w:szCs w:val="15"/>
                <w:color w:val="auto"/>
              </w:rPr>
              <w:t>Outstanding at June 30, 1999</w:t>
            </w: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1,408,048</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$1.94</w:t>
            </w:r>
          </w:p>
        </w:tc>
      </w:tr>
      <w:tr>
        <w:trPr>
          <w:trHeight w:val="173"/>
        </w:trPr>
        <w:tc>
          <w:tcPr>
            <w:tcW w:w="2880" w:type="dxa"/>
            <w:vAlign w:val="bottom"/>
          </w:tcPr>
          <w:p>
            <w:pPr>
              <w:spacing w:after="0"/>
              <w:rPr>
                <w:sz w:val="15"/>
                <w:szCs w:val="15"/>
                <w:color w:val="auto"/>
              </w:rPr>
            </w:pPr>
          </w:p>
        </w:tc>
        <w:tc>
          <w:tcPr>
            <w:tcW w:w="1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5"/>
                <w:szCs w:val="15"/>
                <w:color w:val="auto"/>
              </w:rPr>
            </w:pPr>
          </w:p>
        </w:tc>
      </w:tr>
    </w:tbl>
    <w:p>
      <w:pPr>
        <w:spacing w:after="0" w:line="351" w:lineRule="exact"/>
        <w:rPr>
          <w:sz w:val="20"/>
          <w:szCs w:val="20"/>
          <w:color w:val="auto"/>
        </w:rPr>
      </w:pPr>
    </w:p>
    <w:p>
      <w:pPr>
        <w:ind w:left="728" w:right="4520"/>
        <w:spacing w:after="0" w:line="243"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at June 30, 1999 under the Plans:</w:t>
      </w:r>
    </w:p>
    <w:p>
      <w:pPr>
        <w:sectPr>
          <w:pgSz w:w="11900" w:h="16838" w:orient="portrait"/>
          <w:cols w:equalWidth="0" w:num="1">
            <w:col w:w="10828"/>
          </w:cols>
          <w:pgMar w:left="232" w:top="291" w:right="839" w:bottom="555" w:gutter="0" w:footer="0" w:header="0"/>
        </w:sectPr>
      </w:pPr>
    </w:p>
    <w:p>
      <w:pPr>
        <w:spacing w:after="0" w:line="200" w:lineRule="exact"/>
        <w:rPr>
          <w:sz w:val="20"/>
          <w:szCs w:val="20"/>
          <w:color w:val="auto"/>
        </w:rPr>
      </w:pPr>
    </w:p>
    <w:p>
      <w:pPr>
        <w:spacing w:after="0" w:line="322"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828"/>
          </w:cols>
          <w:pgMar w:left="232" w:top="291" w:right="839" w:bottom="555" w:gutter="0" w:footer="0" w:header="0"/>
          <w:type w:val="continuous"/>
        </w:sectPr>
      </w:pPr>
    </w:p>
    <w:bookmarkStart w:id="31" w:name="page32"/>
    <w:bookmarkEnd w:id="31"/>
    <w:p>
      <w:pPr>
        <w:ind w:left="268"/>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24"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Options Outstanding</w:t>
            </w:r>
          </w:p>
        </w:tc>
        <w:tc>
          <w:tcPr>
            <w:tcW w:w="680" w:type="dxa"/>
            <w:vAlign w:val="bottom"/>
          </w:tcPr>
          <w:p>
            <w:pPr>
              <w:spacing w:after="0"/>
              <w:rPr>
                <w:sz w:val="14"/>
                <w:szCs w:val="14"/>
                <w:color w:val="auto"/>
              </w:rPr>
            </w:pPr>
          </w:p>
        </w:tc>
        <w:tc>
          <w:tcPr>
            <w:tcW w:w="298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Options Exercisable</w:t>
            </w:r>
          </w:p>
        </w:tc>
      </w:tr>
      <w:tr>
        <w:trPr>
          <w:trHeight w:val="173"/>
        </w:trPr>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Courier New" w:cs="Courier New" w:eastAsia="Courier New" w:hAnsi="Courier New"/>
                <w:sz w:val="10"/>
                <w:szCs w:val="10"/>
                <w:color w:val="auto"/>
                <w:w w:val="73"/>
              </w:rPr>
              <w:t>--------------------------------</w:t>
            </w: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Weighted</w:t>
            </w: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Weighted</w:t>
            </w:r>
          </w:p>
        </w:tc>
      </w:tr>
      <w:tr>
        <w:trPr>
          <w:trHeight w:val="173"/>
        </w:trPr>
        <w:tc>
          <w:tcPr>
            <w:tcW w:w="1580" w:type="dxa"/>
            <w:vAlign w:val="bottom"/>
          </w:tcPr>
          <w:p>
            <w:pPr>
              <w:spacing w:after="0"/>
              <w:rPr>
                <w:sz w:val="15"/>
                <w:szCs w:val="15"/>
                <w:color w:val="auto"/>
              </w:rPr>
            </w:pPr>
          </w:p>
        </w:tc>
        <w:tc>
          <w:tcPr>
            <w:tcW w:w="16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Options</w:t>
            </w:r>
          </w:p>
        </w:tc>
        <w:tc>
          <w:tcPr>
            <w:tcW w:w="16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Average</w:t>
            </w:r>
          </w:p>
        </w:tc>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Weighted</w:t>
            </w:r>
          </w:p>
        </w:tc>
        <w:tc>
          <w:tcPr>
            <w:tcW w:w="17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Options</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Average</w:t>
            </w:r>
          </w:p>
        </w:tc>
      </w:tr>
      <w:tr>
        <w:trPr>
          <w:trHeight w:val="173"/>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Exercise</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Outstanding at</w:t>
            </w:r>
          </w:p>
        </w:tc>
        <w:tc>
          <w:tcPr>
            <w:tcW w:w="16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Contractual</w:t>
            </w:r>
          </w:p>
        </w:tc>
        <w:tc>
          <w:tcPr>
            <w:tcW w:w="1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Average</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Exercisable at</w:t>
            </w:r>
          </w:p>
        </w:tc>
        <w:tc>
          <w:tcPr>
            <w:tcW w:w="360" w:type="dxa"/>
            <w:vAlign w:val="bottom"/>
          </w:tcPr>
          <w:p>
            <w:pPr>
              <w:spacing w:after="0"/>
              <w:rPr>
                <w:sz w:val="15"/>
                <w:szCs w:val="15"/>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Exercise</w:t>
            </w:r>
          </w:p>
        </w:tc>
      </w:tr>
      <w:tr>
        <w:trPr>
          <w:trHeight w:val="173"/>
        </w:trPr>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Price Range</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 1999</w:t>
            </w:r>
          </w:p>
        </w:tc>
        <w:tc>
          <w:tcPr>
            <w:tcW w:w="1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Remaining Life</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Exercise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Price</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June 30, 1999</w:t>
            </w:r>
          </w:p>
        </w:tc>
        <w:tc>
          <w:tcPr>
            <w:tcW w:w="360" w:type="dxa"/>
            <w:vAlign w:val="bottom"/>
          </w:tcPr>
          <w:p>
            <w:pPr>
              <w:spacing w:after="0"/>
              <w:rPr>
                <w:sz w:val="15"/>
                <w:szCs w:val="15"/>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Price</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580" w:type="dxa"/>
            <w:vAlign w:val="bottom"/>
          </w:tcPr>
          <w:p>
            <w:pPr>
              <w:spacing w:after="0"/>
              <w:rPr>
                <w:sz w:val="20"/>
                <w:szCs w:val="20"/>
                <w:color w:val="auto"/>
              </w:rPr>
            </w:pPr>
            <w:r>
              <w:rPr>
                <w:rFonts w:ascii="Courier New" w:cs="Courier New" w:eastAsia="Courier New" w:hAnsi="Courier New"/>
                <w:sz w:val="15"/>
                <w:szCs w:val="15"/>
                <w:color w:val="auto"/>
              </w:rPr>
              <w:t>$0.69 to $0.84</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568,048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0.77</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321,548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0.76</w:t>
            </w:r>
          </w:p>
        </w:tc>
      </w:tr>
      <w:tr>
        <w:trPr>
          <w:trHeight w:val="173"/>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$1.81</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1.81</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r>
      <w:tr>
        <w:trPr>
          <w:trHeight w:val="173"/>
        </w:trPr>
        <w:tc>
          <w:tcPr>
            <w:tcW w:w="1580" w:type="dxa"/>
            <w:vAlign w:val="bottom"/>
          </w:tcPr>
          <w:p>
            <w:pPr>
              <w:spacing w:after="0"/>
              <w:rPr>
                <w:sz w:val="20"/>
                <w:szCs w:val="20"/>
                <w:color w:val="auto"/>
              </w:rPr>
            </w:pPr>
            <w:r>
              <w:rPr>
                <w:rFonts w:ascii="Courier New" w:cs="Courier New" w:eastAsia="Courier New" w:hAnsi="Courier New"/>
                <w:sz w:val="15"/>
                <w:szCs w:val="15"/>
                <w:color w:val="auto"/>
              </w:rPr>
              <w:t>$2.66 to $2.88</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775,000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2.68</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$3.94</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9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3.94</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580" w:type="dxa"/>
            <w:vAlign w:val="bottom"/>
          </w:tcPr>
          <w:p>
            <w:pPr>
              <w:spacing w:after="0"/>
              <w:rPr>
                <w:sz w:val="15"/>
                <w:szCs w:val="15"/>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1,408,048</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341,548</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1580" w:type="dxa"/>
            <w:vAlign w:val="bottom"/>
          </w:tcPr>
          <w:p>
            <w:pPr>
              <w:spacing w:after="0"/>
              <w:rPr>
                <w:sz w:val="15"/>
                <w:szCs w:val="15"/>
                <w:color w:val="auto"/>
              </w:rPr>
            </w:pP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351" w:lineRule="exact"/>
        <w:rPr>
          <w:sz w:val="20"/>
          <w:szCs w:val="20"/>
          <w:color w:val="auto"/>
        </w:rPr>
      </w:pPr>
    </w:p>
    <w:p>
      <w:pPr>
        <w:ind w:left="728" w:right="3099"/>
        <w:spacing w:after="0" w:line="244" w:lineRule="auto"/>
        <w:rPr>
          <w:sz w:val="20"/>
          <w:szCs w:val="20"/>
          <w:color w:val="auto"/>
        </w:rPr>
      </w:pPr>
      <w:r>
        <w:rPr>
          <w:rFonts w:ascii="Courier New" w:cs="Courier New" w:eastAsia="Courier New" w:hAnsi="Courier New"/>
          <w:sz w:val="15"/>
          <w:szCs w:val="15"/>
          <w:color w:val="auto"/>
        </w:rPr>
        <w:t>There were 1,075,000 options available for future grant at June 30, 1999. The following are the options exercisable at the corresponding weighted average exercise price at June 30, 1999, 1998 and 1997, respectively: 341,548 at $0.82; 600,500 at $0.79; and 284,000 at $0.78.</w:t>
      </w:r>
    </w:p>
    <w:p>
      <w:pPr>
        <w:spacing w:after="0" w:line="176" w:lineRule="exact"/>
        <w:rPr>
          <w:sz w:val="20"/>
          <w:szCs w:val="20"/>
          <w:color w:val="auto"/>
        </w:rPr>
      </w:pPr>
    </w:p>
    <w:p>
      <w:pPr>
        <w:ind w:left="728" w:right="3099"/>
        <w:spacing w:after="0" w:line="244" w:lineRule="auto"/>
        <w:rPr>
          <w:sz w:val="20"/>
          <w:szCs w:val="20"/>
          <w:color w:val="auto"/>
        </w:rPr>
      </w:pPr>
      <w:r>
        <w:rPr>
          <w:rFonts w:ascii="Courier New" w:cs="Courier New" w:eastAsia="Courier New" w:hAnsi="Courier New"/>
          <w:sz w:val="15"/>
          <w:szCs w:val="15"/>
          <w:color w:val="auto"/>
        </w:rPr>
        <w:t>On May 12, 1999 the Company registered with the Securities and Exchange Commission all shares of common stock previously issued or issuable under the 1998 Plan.</w:t>
      </w:r>
    </w:p>
    <w:p>
      <w:pPr>
        <w:spacing w:after="0" w:line="175" w:lineRule="exact"/>
        <w:rPr>
          <w:sz w:val="20"/>
          <w:szCs w:val="20"/>
          <w:color w:val="auto"/>
        </w:rPr>
      </w:pPr>
    </w:p>
    <w:p>
      <w:pPr>
        <w:ind w:left="728" w:right="3099"/>
        <w:spacing w:after="0" w:line="244" w:lineRule="auto"/>
        <w:rPr>
          <w:sz w:val="20"/>
          <w:szCs w:val="20"/>
          <w:color w:val="auto"/>
        </w:rPr>
      </w:pPr>
      <w:r>
        <w:rPr>
          <w:rFonts w:ascii="Courier New" w:cs="Courier New" w:eastAsia="Courier New" w:hAnsi="Courier New"/>
          <w:sz w:val="15"/>
          <w:szCs w:val="15"/>
          <w:color w:val="auto"/>
        </w:rPr>
        <w:t>The Company applies Accounting Principles Board Opinion No. 25 "Accounting for Stock Issued to Employees" and related interpretations in accounting for its plan. No compensation expense has been recognized for the stock option plan because the exercise price of the options equals the market price of the underlying stock on the date of the grant. If compensation expense for the Company's stock-based compensation plan had been determined consistent with SFAS 123 "Accounting and Disclosure of Stock-based Compensation", the Company's net income would have been the pro forma amount indicated below:</w:t>
      </w:r>
    </w:p>
    <w:p>
      <w:pPr>
        <w:spacing w:after="0" w:line="200" w:lineRule="exact"/>
        <w:rPr>
          <w:sz w:val="20"/>
          <w:szCs w:val="20"/>
          <w:color w:val="auto"/>
        </w:rPr>
      </w:pPr>
    </w:p>
    <w:p>
      <w:pPr>
        <w:spacing w:after="0" w:line="325"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Fiscal Year</w:t>
            </w:r>
          </w:p>
        </w:tc>
        <w:tc>
          <w:tcPr>
            <w:tcW w:w="44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Fiscal Year</w:t>
            </w:r>
          </w:p>
        </w:tc>
      </w:tr>
      <w:tr>
        <w:trPr>
          <w:trHeight w:val="173"/>
        </w:trPr>
        <w:tc>
          <w:tcPr>
            <w:tcW w:w="2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5"/>
                <w:szCs w:val="15"/>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2700" w:type="dxa"/>
            <w:vAlign w:val="bottom"/>
          </w:tcPr>
          <w:p>
            <w:pPr>
              <w:spacing w:after="0"/>
              <w:rPr>
                <w:sz w:val="15"/>
                <w:szCs w:val="15"/>
                <w:color w:val="auto"/>
              </w:rPr>
            </w:pPr>
          </w:p>
        </w:tc>
        <w:tc>
          <w:tcPr>
            <w:tcW w:w="19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2,544,471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1,404,449</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0.30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r>
      <w:tr>
        <w:trPr>
          <w:trHeight w:val="347"/>
        </w:trPr>
        <w:tc>
          <w:tcPr>
            <w:tcW w:w="270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1,865,777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1,223,317</w:t>
            </w:r>
          </w:p>
        </w:tc>
      </w:tr>
      <w:tr>
        <w:trPr>
          <w:trHeight w:val="173"/>
        </w:trPr>
        <w:tc>
          <w:tcPr>
            <w:tcW w:w="27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bl>
    <w:p>
      <w:pPr>
        <w:spacing w:after="0" w:line="351" w:lineRule="exact"/>
        <w:rPr>
          <w:sz w:val="20"/>
          <w:szCs w:val="20"/>
          <w:color w:val="auto"/>
        </w:rPr>
      </w:pPr>
    </w:p>
    <w:p>
      <w:pPr>
        <w:ind w:left="728" w:right="3099"/>
        <w:spacing w:after="0" w:line="244" w:lineRule="auto"/>
        <w:rPr>
          <w:sz w:val="20"/>
          <w:szCs w:val="20"/>
          <w:color w:val="auto"/>
        </w:rPr>
      </w:pPr>
      <w:r>
        <w:rPr>
          <w:rFonts w:ascii="Courier New" w:cs="Courier New" w:eastAsia="Courier New" w:hAnsi="Courier New"/>
          <w:sz w:val="15"/>
          <w:szCs w:val="15"/>
          <w:color w:val="auto"/>
        </w:rPr>
        <w:t>The pro forma results above are not likely to be representative of the effects of applying SFAS 123 on reported net income for future years as these amounts only reflect the expense from two years.</w:t>
      </w:r>
    </w:p>
    <w:p>
      <w:pPr>
        <w:spacing w:after="0" w:line="175" w:lineRule="exact"/>
        <w:rPr>
          <w:sz w:val="20"/>
          <w:szCs w:val="20"/>
          <w:color w:val="auto"/>
        </w:rPr>
      </w:pPr>
    </w:p>
    <w:p>
      <w:pPr>
        <w:ind w:left="728" w:right="3099"/>
        <w:spacing w:after="0" w:line="244" w:lineRule="auto"/>
        <w:rPr>
          <w:sz w:val="20"/>
          <w:szCs w:val="20"/>
          <w:color w:val="auto"/>
        </w:rPr>
      </w:pPr>
      <w:r>
        <w:rPr>
          <w:rFonts w:ascii="Courier New" w:cs="Courier New" w:eastAsia="Courier New" w:hAnsi="Courier New"/>
          <w:sz w:val="15"/>
          <w:szCs w:val="15"/>
          <w:color w:val="auto"/>
        </w:rPr>
        <w:t>The weighted average fair value as defined by SFAS 123 of each option granted in fiscal 1999, 1998 and 1997 is estimated as $1.97, $1.24 and $0.43, respectively, on the date of grant using the Black-Scholes model with the following weighted average assumptions: expected dividend yield, 0%; risk-free interest rate, 4.75%; expected price volatility, 57.9%; and expected life of options, 6 years.</w:t>
      </w:r>
    </w:p>
    <w:p>
      <w:pPr>
        <w:spacing w:after="0" w:line="176" w:lineRule="exact"/>
        <w:rPr>
          <w:sz w:val="20"/>
          <w:szCs w:val="20"/>
          <w:color w:val="auto"/>
        </w:rPr>
      </w:pPr>
    </w:p>
    <w:p>
      <w:pPr>
        <w:ind w:left="728" w:hanging="728"/>
        <w:spacing w:after="0"/>
        <w:tabs>
          <w:tab w:leader="none" w:pos="72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SALES</w:t>
      </w:r>
    </w:p>
    <w:p>
      <w:pPr>
        <w:spacing w:after="0" w:line="177" w:lineRule="exact"/>
        <w:rPr>
          <w:rFonts w:ascii="Courier New" w:cs="Courier New" w:eastAsia="Courier New" w:hAnsi="Courier New"/>
          <w:sz w:val="15"/>
          <w:szCs w:val="15"/>
          <w:color w:val="auto"/>
        </w:rPr>
      </w:pPr>
    </w:p>
    <w:p>
      <w:pPr>
        <w:ind w:left="728" w:right="301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provides products to the broadcast and conferencing markets. These products are all distributed from, and designed, manufactured, and serviced at the Company's facilities in Salt Lake City, Utah. The Company uses either master distributors or international dealers to facilitate its international sales. Currently, the Company's products are distributed to at least thirty-five different countries.</w:t>
      </w:r>
    </w:p>
    <w:p>
      <w:pPr>
        <w:spacing w:after="0" w:line="162" w:lineRule="exact"/>
        <w:rPr>
          <w:rFonts w:ascii="Courier New" w:cs="Courier New" w:eastAsia="Courier New" w:hAnsi="Courier New"/>
          <w:sz w:val="15"/>
          <w:szCs w:val="15"/>
          <w:color w:val="auto"/>
        </w:rPr>
      </w:pPr>
    </w:p>
    <w:p>
      <w:pPr>
        <w:ind w:left="728" w:right="301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ships products to unaffiliated distributors in worldwide markets. In fiscal 1999, 1998 and 1997, such international sales were $2,512,900, $2,581,700 and $2,183,000, respectively, and accounted for 11%, 15% and 15% of total sales. During those years, the Company shipped the following amounts to the following areas: Canada - $1,070,800,</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91" w:right="1440" w:bottom="1440" w:gutter="0" w:footer="0" w:header="0"/>
          <w:type w:val="continuous"/>
        </w:sectPr>
      </w:pPr>
    </w:p>
    <w:bookmarkStart w:id="32" w:name="page33"/>
    <w:bookmarkEnd w:id="32"/>
    <w:p>
      <w:pPr>
        <w:ind w:left="268"/>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left="728" w:right="3099"/>
        <w:spacing w:after="0" w:line="244" w:lineRule="auto"/>
        <w:rPr>
          <w:sz w:val="20"/>
          <w:szCs w:val="20"/>
          <w:color w:val="auto"/>
        </w:rPr>
      </w:pPr>
      <w:r>
        <w:rPr>
          <w:rFonts w:ascii="Courier New" w:cs="Courier New" w:eastAsia="Courier New" w:hAnsi="Courier New"/>
          <w:sz w:val="15"/>
          <w:szCs w:val="15"/>
          <w:color w:val="auto"/>
        </w:rPr>
        <w:t>$798,800 and $724,000; Asia - $355,500, $513,300 and $451,400; Europe - $634,200, $817,400 and $580,600; Latin America - $88,900, $252,100 and $158,800; Other Areas - $363,500, $200,100 and $268,200.</w:t>
      </w:r>
    </w:p>
    <w:p>
      <w:pPr>
        <w:spacing w:after="0" w:line="175" w:lineRule="exact"/>
        <w:rPr>
          <w:sz w:val="20"/>
          <w:szCs w:val="20"/>
          <w:color w:val="auto"/>
        </w:rPr>
      </w:pPr>
    </w:p>
    <w:p>
      <w:pPr>
        <w:ind w:left="728" w:hanging="728"/>
        <w:spacing w:after="0"/>
        <w:tabs>
          <w:tab w:leader="none" w:pos="7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SAVINGS AND PROFIT SHARING PLAN</w:t>
      </w:r>
    </w:p>
    <w:p>
      <w:pPr>
        <w:spacing w:after="0" w:line="177" w:lineRule="exact"/>
        <w:rPr>
          <w:rFonts w:ascii="Courier New" w:cs="Courier New" w:eastAsia="Courier New" w:hAnsi="Courier New"/>
          <w:sz w:val="15"/>
          <w:szCs w:val="15"/>
          <w:color w:val="auto"/>
        </w:rPr>
      </w:pPr>
    </w:p>
    <w:p>
      <w:pPr>
        <w:ind w:left="72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 401(k) retirement savings and profit sharing plan to which it makes discretionary matching contributions, as authorized by the Board of Directors. All full-time employees who are at least 21 years of age and have a minimum of six months of service with the Company at the plan date are eligible to participate in the plan. Matching contributions, if made, are based upon amounts participating employees contribute to the plan. The Company's retirement plan contribution expense for the 1999, 1998 and 1997 fiscal years totaled $69,000, $31,000 and $0, respectively.</w:t>
      </w:r>
    </w:p>
    <w:p>
      <w:pPr>
        <w:spacing w:after="0" w:line="178"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7" w:lineRule="exact"/>
        <w:rPr>
          <w:rFonts w:ascii="Courier New" w:cs="Courier New" w:eastAsia="Courier New" w:hAnsi="Courier New"/>
          <w:sz w:val="15"/>
          <w:szCs w:val="15"/>
          <w:color w:val="auto"/>
        </w:rPr>
      </w:pPr>
    </w:p>
    <w:p>
      <w:pPr>
        <w:ind w:left="728"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entered into an agreement to purchase 300 videoconference engines. The remaining cost of this commitment is approximately $252,000 at June 30, 1999. The Company has entered into this agreement in order to secure parts for the new video product line and expects to purchase the remaining units in fiscal 2000.</w:t>
      </w:r>
    </w:p>
    <w:p>
      <w:pPr>
        <w:spacing w:after="0" w:line="175"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REPORTING</w:t>
      </w:r>
    </w:p>
    <w:p>
      <w:pPr>
        <w:spacing w:after="0" w:line="177" w:lineRule="exact"/>
        <w:rPr>
          <w:rFonts w:ascii="Courier New" w:cs="Courier New" w:eastAsia="Courier New" w:hAnsi="Courier New"/>
          <w:sz w:val="15"/>
          <w:szCs w:val="15"/>
          <w:color w:val="auto"/>
        </w:rPr>
      </w:pPr>
    </w:p>
    <w:p>
      <w:pPr>
        <w:ind w:left="72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three reportable segments: Remote Facilities Management (RFM), Conferencing and Other. The RFM segment consists of telephone interface and remote site control products. These products are designed to monitor and control processes and equipment from a single source to many locations. In addition to monitoring and controlling equipment and processes, this segment also consists of products designed to facilitate the interface between regular telephone lines and the broadcast world allowing callers to speak live on radio airwaves to millions of listeners. The Conferencing segment consists of a full line of room system conferencing products and conference calling services, targeting an organization's need to communicate any form of collateral over distance. This consists of installed audio- and videoconferencing products, audio-, video- and document conferencing services and the addition of professional training and collaborative services. The major distributor referred to in Note 2 accounted for net sales in the RFM segment of 21%, 17% and 15% for fiscal years 1999, 1998 and 1997, respectively.</w:t>
      </w:r>
    </w:p>
    <w:p>
      <w:pPr>
        <w:spacing w:after="0" w:line="184" w:lineRule="exact"/>
        <w:rPr>
          <w:rFonts w:ascii="Courier New" w:cs="Courier New" w:eastAsia="Courier New" w:hAnsi="Courier New"/>
          <w:sz w:val="15"/>
          <w:szCs w:val="15"/>
          <w:color w:val="auto"/>
        </w:rPr>
      </w:pPr>
    </w:p>
    <w:p>
      <w:pPr>
        <w:ind w:left="728"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policies of the reportable segments are the same as those described in the summary of significant accounting policies. The Company evaluates the performance of these business segments based upon a measure of gross profit since general and administrative costs are not allocated to each segment.</w:t>
      </w:r>
    </w:p>
    <w:p>
      <w:pPr>
        <w:spacing w:after="0" w:line="176" w:lineRule="exact"/>
        <w:rPr>
          <w:rFonts w:ascii="Courier New" w:cs="Courier New" w:eastAsia="Courier New" w:hAnsi="Courier New"/>
          <w:sz w:val="15"/>
          <w:szCs w:val="15"/>
          <w:color w:val="auto"/>
        </w:rPr>
      </w:pPr>
    </w:p>
    <w:p>
      <w:pPr>
        <w:ind w:left="728"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reportable segments are strategic business units that offer products and services to different customer needs. They are managed separately because each segment requires focus and attention on their market and distribution channel.</w:t>
      </w:r>
    </w:p>
    <w:p>
      <w:pPr>
        <w:spacing w:after="0" w:line="175" w:lineRule="exact"/>
        <w:rPr>
          <w:rFonts w:ascii="Courier New" w:cs="Courier New" w:eastAsia="Courier New" w:hAnsi="Courier New"/>
          <w:sz w:val="15"/>
          <w:szCs w:val="15"/>
          <w:color w:val="auto"/>
        </w:rPr>
      </w:pPr>
    </w:p>
    <w:p>
      <w:pPr>
        <w:ind w:left="7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the segment information:</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7"/>
          </w:cols>
          <w:pgMar w:left="232" w:top="291"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70"/>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33</w:t>
            </w: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4"/>
        </w:trPr>
        <w:tc>
          <w:tcPr>
            <w:tcW w:w="3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Company</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RFM</w:t>
            </w:r>
          </w:p>
        </w:tc>
        <w:tc>
          <w:tcPr>
            <w:tcW w:w="186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Conferencing</w:t>
            </w:r>
          </w:p>
        </w:tc>
        <w:tc>
          <w:tcPr>
            <w:tcW w:w="440" w:type="dxa"/>
            <w:vAlign w:val="bottom"/>
          </w:tcPr>
          <w:p>
            <w:pPr>
              <w:spacing w:after="0"/>
              <w:rPr>
                <w:sz w:val="15"/>
                <w:szCs w:val="15"/>
                <w:color w:val="auto"/>
              </w:rPr>
            </w:pPr>
          </w:p>
        </w:tc>
        <w:tc>
          <w:tcPr>
            <w:tcW w:w="13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All Other</w:t>
            </w:r>
          </w:p>
        </w:tc>
        <w:tc>
          <w:tcPr>
            <w:tcW w:w="50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Totals</w:t>
            </w:r>
          </w:p>
        </w:tc>
      </w:tr>
      <w:tr>
        <w:trPr>
          <w:trHeight w:val="173"/>
        </w:trPr>
        <w:tc>
          <w:tcPr>
            <w:tcW w:w="3240" w:type="dxa"/>
            <w:vAlign w:val="bottom"/>
          </w:tcPr>
          <w:p>
            <w:pPr>
              <w:spacing w:after="0"/>
              <w:rPr>
                <w:sz w:val="15"/>
                <w:szCs w:val="15"/>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6,888,827</w:t>
            </w:r>
          </w:p>
        </w:tc>
        <w:tc>
          <w:tcPr>
            <w:tcW w:w="18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$ 14,070,705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2,030,795</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$ 22,990,327</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2,685,769</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6,160,027</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1,031,891</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9,877,687</w:t>
            </w:r>
          </w:p>
        </w:tc>
      </w:tr>
      <w:tr>
        <w:trPr>
          <w:trHeight w:val="173"/>
        </w:trPr>
        <w:tc>
          <w:tcPr>
            <w:tcW w:w="3240" w:type="dxa"/>
            <w:vAlign w:val="bottom"/>
          </w:tcPr>
          <w:p>
            <w:pPr>
              <w:spacing w:after="0"/>
              <w:rPr>
                <w:sz w:val="15"/>
                <w:szCs w:val="15"/>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4,203,058</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7,910,678</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998,904</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13,112,640</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5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1,374,240</w:t>
            </w:r>
          </w:p>
        </w:tc>
        <w:tc>
          <w:tcPr>
            <w:tcW w:w="600" w:type="dxa"/>
            <w:vAlign w:val="bottom"/>
          </w:tcPr>
          <w:p>
            <w:pPr>
              <w:spacing w:after="0"/>
              <w:rPr>
                <w:sz w:val="24"/>
                <w:szCs w:val="2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3,281,300</w:t>
            </w:r>
          </w:p>
        </w:tc>
        <w:tc>
          <w:tcPr>
            <w:tcW w:w="440" w:type="dxa"/>
            <w:vAlign w:val="bottom"/>
          </w:tcPr>
          <w:p>
            <w:pPr>
              <w:spacing w:after="0"/>
              <w:rPr>
                <w:sz w:val="24"/>
                <w:szCs w:val="2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274,200</w:t>
            </w: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4,929,740</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486,667</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989,678</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18,607</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1,494,952</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2,544,664</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8,969,356</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4,143,284</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items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(78,113)</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4,065,171</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(1,520,700)</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2,544,471</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Year ended June 30, 1998:</w:t>
            </w: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6,256,039</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8,727,768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2,284,079</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$ 17,267,886</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2,650,033</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4,250,096</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1,447,171</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8,347,300</w:t>
            </w:r>
          </w:p>
        </w:tc>
      </w:tr>
      <w:tr>
        <w:trPr>
          <w:trHeight w:val="173"/>
        </w:trPr>
        <w:tc>
          <w:tcPr>
            <w:tcW w:w="3240" w:type="dxa"/>
            <w:vAlign w:val="bottom"/>
          </w:tcPr>
          <w:p>
            <w:pPr>
              <w:spacing w:after="0"/>
              <w:rPr>
                <w:sz w:val="15"/>
                <w:szCs w:val="15"/>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3,606,006</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4,477,672</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836,908</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8,920,586</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5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1,213,475</w:t>
            </w:r>
          </w:p>
        </w:tc>
        <w:tc>
          <w:tcPr>
            <w:tcW w:w="600" w:type="dxa"/>
            <w:vAlign w:val="bottom"/>
          </w:tcPr>
          <w:p>
            <w:pPr>
              <w:spacing w:after="0"/>
              <w:rPr>
                <w:sz w:val="24"/>
                <w:szCs w:val="2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2,109,216</w:t>
            </w:r>
          </w:p>
        </w:tc>
        <w:tc>
          <w:tcPr>
            <w:tcW w:w="440" w:type="dxa"/>
            <w:vAlign w:val="bottom"/>
          </w:tcPr>
          <w:p>
            <w:pPr>
              <w:spacing w:after="0"/>
              <w:rPr>
                <w:sz w:val="24"/>
                <w:szCs w:val="2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327,185</w:t>
            </w: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3,649,876</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393,410</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744,430</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4,765</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1,142,605</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2,470,949</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7,263,430</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1,657,156</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items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(213,707)</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1,443,449</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(39,000)</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1,404,449</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Year ended June 30, 1997:</w:t>
            </w: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5,870,460</w:t>
            </w:r>
          </w:p>
        </w:tc>
        <w:tc>
          <w:tcPr>
            <w:tcW w:w="60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5,321,870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2,179,521</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$ 13,371,851</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2,715,820</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2,832,000</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1,326,770</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6,874,590</w:t>
            </w:r>
          </w:p>
        </w:tc>
      </w:tr>
      <w:tr>
        <w:trPr>
          <w:trHeight w:val="173"/>
        </w:trPr>
        <w:tc>
          <w:tcPr>
            <w:tcW w:w="3240" w:type="dxa"/>
            <w:vAlign w:val="bottom"/>
          </w:tcPr>
          <w:p>
            <w:pPr>
              <w:spacing w:after="0"/>
              <w:rPr>
                <w:sz w:val="15"/>
                <w:szCs w:val="15"/>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3,154,640</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2,489,870</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852,751</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6,497,261</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540" w:type="dxa"/>
            <w:vAlign w:val="bottom"/>
          </w:tcPr>
          <w:p>
            <w:pPr>
              <w:spacing w:after="0"/>
              <w:rPr>
                <w:sz w:val="24"/>
                <w:szCs w:val="24"/>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1,165,649</w:t>
            </w:r>
          </w:p>
        </w:tc>
        <w:tc>
          <w:tcPr>
            <w:tcW w:w="600" w:type="dxa"/>
            <w:vAlign w:val="bottom"/>
          </w:tcPr>
          <w:p>
            <w:pPr>
              <w:spacing w:after="0"/>
              <w:rPr>
                <w:sz w:val="24"/>
                <w:szCs w:val="24"/>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2,010,067</w:t>
            </w:r>
          </w:p>
        </w:tc>
        <w:tc>
          <w:tcPr>
            <w:tcW w:w="440" w:type="dxa"/>
            <w:vAlign w:val="bottom"/>
          </w:tcPr>
          <w:p>
            <w:pPr>
              <w:spacing w:after="0"/>
              <w:rPr>
                <w:sz w:val="24"/>
                <w:szCs w:val="24"/>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397,166</w:t>
            </w:r>
          </w:p>
        </w:tc>
        <w:tc>
          <w:tcPr>
            <w:tcW w:w="50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3,572,882</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540" w:type="dxa"/>
            <w:vAlign w:val="bottom"/>
          </w:tcPr>
          <w:p>
            <w:pPr>
              <w:spacing w:after="0"/>
              <w:rPr>
                <w:sz w:val="15"/>
                <w:szCs w:val="15"/>
                <w:color w:val="auto"/>
              </w:rPr>
            </w:pP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538,628</w:t>
            </w:r>
          </w:p>
        </w:tc>
        <w:tc>
          <w:tcPr>
            <w:tcW w:w="600" w:type="dxa"/>
            <w:vAlign w:val="bottom"/>
          </w:tcPr>
          <w:p>
            <w:pPr>
              <w:spacing w:after="0"/>
              <w:rPr>
                <w:sz w:val="15"/>
                <w:szCs w:val="15"/>
                <w:color w:val="auto"/>
              </w:rPr>
            </w:pPr>
          </w:p>
        </w:tc>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473,942</w:t>
            </w:r>
          </w:p>
        </w:tc>
        <w:tc>
          <w:tcPr>
            <w:tcW w:w="440" w:type="dxa"/>
            <w:vAlign w:val="bottom"/>
          </w:tcPr>
          <w:p>
            <w:pPr>
              <w:spacing w:after="0"/>
              <w:rPr>
                <w:sz w:val="15"/>
                <w:szCs w:val="15"/>
                <w:color w:val="auto"/>
              </w:rPr>
            </w:pPr>
          </w:p>
        </w:tc>
        <w:tc>
          <w:tcPr>
            <w:tcW w:w="13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34,187</w:t>
            </w: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1,046,757</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2,006,998</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6,626,637</w:t>
            </w:r>
          </w:p>
        </w:tc>
      </w:tr>
      <w:tr>
        <w:trPr>
          <w:trHeight w:val="347"/>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loss</w:t>
            </w: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(129,376)</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items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(206,622)</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Loss before taxes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(335,998)</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(36,900)</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(372,898)</w:t>
            </w:r>
          </w:p>
        </w:tc>
      </w:tr>
      <w:tr>
        <w:trPr>
          <w:trHeight w:val="173"/>
        </w:trPr>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80"/>
          </w:cols>
          <w:pgMar w:left="240" w:top="291" w:right="137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80"/>
          </w:cols>
          <w:pgMar w:left="240" w:top="291" w:right="1379"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left="720" w:right="3819" w:hanging="720"/>
        <w:spacing w:after="0" w:line="243" w:lineRule="auto"/>
        <w:rPr>
          <w:sz w:val="20"/>
          <w:szCs w:val="20"/>
          <w:color w:val="auto"/>
        </w:rPr>
      </w:pPr>
      <w:r>
        <w:rPr>
          <w:rFonts w:ascii="Courier New" w:cs="Courier New" w:eastAsia="Courier New" w:hAnsi="Courier New"/>
          <w:sz w:val="15"/>
          <w:szCs w:val="15"/>
          <w:color w:val="auto"/>
        </w:rPr>
        <w:t>ITEM 8.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 exist.</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PART III</w:t>
      </w:r>
    </w:p>
    <w:p>
      <w:pPr>
        <w:spacing w:after="0" w:line="178" w:lineRule="exact"/>
        <w:rPr>
          <w:sz w:val="20"/>
          <w:szCs w:val="20"/>
          <w:color w:val="auto"/>
        </w:rPr>
      </w:pPr>
    </w:p>
    <w:p>
      <w:pPr>
        <w:ind w:left="720" w:right="3019" w:hanging="720"/>
        <w:spacing w:after="0" w:line="243" w:lineRule="auto"/>
        <w:rPr>
          <w:sz w:val="20"/>
          <w:szCs w:val="20"/>
          <w:color w:val="auto"/>
        </w:rPr>
      </w:pPr>
      <w:r>
        <w:rPr>
          <w:rFonts w:ascii="Courier New" w:cs="Courier New" w:eastAsia="Courier New" w:hAnsi="Courier New"/>
          <w:sz w:val="15"/>
          <w:szCs w:val="15"/>
          <w:color w:val="auto"/>
        </w:rPr>
        <w:t>ITEM 9. DIRECTORS, EXECUTIVE OFFICERS, PROMOTERS AND CONTROL PERSONS; COMPLIANCE WITH SECTION 16(a) OF THE EXCHANGE 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individuals are currently directors of the Company:</w:t>
      </w:r>
    </w:p>
    <w:p>
      <w:pPr>
        <w:spacing w:after="0" w:line="200" w:lineRule="exact"/>
        <w:rPr>
          <w:sz w:val="20"/>
          <w:szCs w:val="20"/>
          <w:color w:val="auto"/>
        </w:rPr>
      </w:pPr>
    </w:p>
    <w:p>
      <w:pPr>
        <w:spacing w:after="0" w:line="324"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Director</w:t>
            </w:r>
          </w:p>
        </w:tc>
      </w:tr>
      <w:tr>
        <w:trPr>
          <w:trHeight w:val="173"/>
        </w:trPr>
        <w:tc>
          <w:tcPr>
            <w:tcW w:w="2200" w:type="dxa"/>
            <w:vAlign w:val="bottom"/>
          </w:tcPr>
          <w:p>
            <w:pPr>
              <w:ind w:left="620"/>
              <w:spacing w:after="0"/>
              <w:rPr>
                <w:sz w:val="20"/>
                <w:szCs w:val="20"/>
                <w:color w:val="auto"/>
              </w:rPr>
            </w:pPr>
            <w:r>
              <w:rPr>
                <w:rFonts w:ascii="Courier New" w:cs="Courier New" w:eastAsia="Courier New" w:hAnsi="Courier New"/>
                <w:sz w:val="15"/>
                <w:szCs w:val="15"/>
                <w:color w:val="auto"/>
              </w:rPr>
              <w:t>Name</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Age</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Principal Occupation</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Since</w:t>
            </w:r>
          </w:p>
        </w:tc>
      </w:tr>
      <w:tr>
        <w:trPr>
          <w:trHeight w:val="173"/>
        </w:trPr>
        <w:tc>
          <w:tcPr>
            <w:tcW w:w="220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Edward Dallin Bagley*</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61</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Attorney</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Edward N. Bagley*</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87</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of Smith</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Barney and Director of</w:t>
            </w:r>
          </w:p>
        </w:tc>
        <w:tc>
          <w:tcPr>
            <w:tcW w:w="8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Mining Services</w:t>
            </w:r>
          </w:p>
        </w:tc>
        <w:tc>
          <w:tcPr>
            <w:tcW w:w="8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International</w:t>
            </w:r>
          </w:p>
        </w:tc>
        <w:tc>
          <w:tcPr>
            <w:tcW w:w="820" w:type="dxa"/>
            <w:vAlign w:val="bottom"/>
          </w:tcPr>
          <w:p>
            <w:pPr>
              <w:spacing w:after="0"/>
              <w:rPr>
                <w:sz w:val="15"/>
                <w:szCs w:val="15"/>
                <w:color w:val="auto"/>
              </w:rPr>
            </w:pP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Brad R. Baldwin</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44</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President and Chief</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1988</w:t>
            </w: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Executive Officer of Bank</w:t>
            </w:r>
          </w:p>
        </w:tc>
        <w:tc>
          <w:tcPr>
            <w:tcW w:w="8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One, Utah</w:t>
            </w:r>
          </w:p>
        </w:tc>
        <w:tc>
          <w:tcPr>
            <w:tcW w:w="820" w:type="dxa"/>
            <w:vAlign w:val="bottom"/>
          </w:tcPr>
          <w:p>
            <w:pPr>
              <w:spacing w:after="0"/>
              <w:rPr>
                <w:sz w:val="15"/>
                <w:szCs w:val="15"/>
                <w:color w:val="auto"/>
              </w:rPr>
            </w:pP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Dwight H. Egan</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46</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of Sales and Marketing</w:t>
            </w:r>
          </w:p>
        </w:tc>
        <w:tc>
          <w:tcPr>
            <w:tcW w:w="8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of Data Broadcasting</w:t>
            </w:r>
          </w:p>
        </w:tc>
        <w:tc>
          <w:tcPr>
            <w:tcW w:w="8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Corporation</w:t>
            </w:r>
          </w:p>
        </w:tc>
        <w:tc>
          <w:tcPr>
            <w:tcW w:w="820" w:type="dxa"/>
            <w:vAlign w:val="bottom"/>
          </w:tcPr>
          <w:p>
            <w:pPr>
              <w:spacing w:after="0"/>
              <w:rPr>
                <w:sz w:val="15"/>
                <w:szCs w:val="15"/>
                <w:color w:val="auto"/>
              </w:rPr>
            </w:pPr>
          </w:p>
        </w:tc>
      </w:tr>
      <w:tr>
        <w:trPr>
          <w:trHeight w:val="52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43</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Chief Executive Officer</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and President</w:t>
            </w:r>
          </w:p>
        </w:tc>
        <w:tc>
          <w:tcPr>
            <w:tcW w:w="820" w:type="dxa"/>
            <w:vAlign w:val="bottom"/>
          </w:tcPr>
          <w:p>
            <w:pPr>
              <w:spacing w:after="0"/>
              <w:rPr>
                <w:sz w:val="15"/>
                <w:szCs w:val="15"/>
                <w:color w:val="auto"/>
              </w:rPr>
            </w:pP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K. Bradford Romney</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43</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Business Unit Manager,</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Small Business Networking</w:t>
            </w:r>
          </w:p>
        </w:tc>
        <w:tc>
          <w:tcPr>
            <w:tcW w:w="8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Operation, Intel</w:t>
            </w:r>
          </w:p>
        </w:tc>
        <w:tc>
          <w:tcPr>
            <w:tcW w:w="8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Corporation</w:t>
            </w:r>
          </w:p>
        </w:tc>
        <w:tc>
          <w:tcPr>
            <w:tcW w:w="820" w:type="dxa"/>
            <w:vAlign w:val="bottom"/>
          </w:tcPr>
          <w:p>
            <w:pPr>
              <w:spacing w:after="0"/>
              <w:rPr>
                <w:sz w:val="15"/>
                <w:szCs w:val="15"/>
                <w:color w:val="auto"/>
              </w:rPr>
            </w:pPr>
          </w:p>
        </w:tc>
      </w:tr>
      <w:tr>
        <w:trPr>
          <w:trHeight w:val="347"/>
        </w:trPr>
        <w:tc>
          <w:tcPr>
            <w:tcW w:w="220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46</w:t>
            </w: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President of East</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Cincinnati Running</w:t>
            </w:r>
          </w:p>
        </w:tc>
        <w:tc>
          <w:tcPr>
            <w:tcW w:w="820" w:type="dxa"/>
            <w:vAlign w:val="bottom"/>
          </w:tcPr>
          <w:p>
            <w:pPr>
              <w:spacing w:after="0"/>
              <w:rPr>
                <w:sz w:val="15"/>
                <w:szCs w:val="15"/>
                <w:color w:val="auto"/>
              </w:rPr>
            </w:pPr>
          </w:p>
        </w:tc>
      </w:tr>
      <w:tr>
        <w:trPr>
          <w:trHeight w:val="173"/>
        </w:trPr>
        <w:tc>
          <w:tcPr>
            <w:tcW w:w="2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60" w:type="dxa"/>
            <w:vAlign w:val="bottom"/>
          </w:tcPr>
          <w:p>
            <w:pPr>
              <w:ind w:left="220"/>
              <w:spacing w:after="0"/>
              <w:rPr>
                <w:sz w:val="20"/>
                <w:szCs w:val="20"/>
                <w:color w:val="auto"/>
              </w:rPr>
            </w:pPr>
            <w:r>
              <w:rPr>
                <w:rFonts w:ascii="Courier New" w:cs="Courier New" w:eastAsia="Courier New" w:hAnsi="Courier New"/>
                <w:sz w:val="15"/>
                <w:szCs w:val="15"/>
                <w:color w:val="auto"/>
              </w:rPr>
              <w:t>Company, Inc.</w:t>
            </w:r>
          </w:p>
        </w:tc>
        <w:tc>
          <w:tcPr>
            <w:tcW w:w="820" w:type="dxa"/>
            <w:vAlign w:val="bottom"/>
          </w:tcPr>
          <w:p>
            <w:pPr>
              <w:spacing w:after="0"/>
              <w:rPr>
                <w:sz w:val="15"/>
                <w:szCs w:val="15"/>
                <w:color w:val="auto"/>
              </w:rPr>
            </w:pP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Edward N. Bagley and Edward Dallin Bagley are father and son, respectively.</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Edward Dallin Bagley has been a Director of the Company since April 1994. Previously, Mr. Bagley served as a Director of the Company from April 1987 to July 1991. Mr. Bagley began practicing law in 1965. During the past six years, Mr. Bagley has served as Vice President of National Financial, a computer back-up accounting firm for health clubs. Mr. Bagley is also currently a director of Tunex International, a chain of automotive engine performance and service centers and</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8" w:lineRule="exact"/>
        <w:rPr>
          <w:sz w:val="20"/>
          <w:szCs w:val="20"/>
          <w:color w:val="auto"/>
        </w:rPr>
      </w:pPr>
    </w:p>
    <w:p>
      <w:pPr>
        <w:ind w:right="3819"/>
        <w:spacing w:after="0" w:line="243" w:lineRule="auto"/>
        <w:rPr>
          <w:sz w:val="20"/>
          <w:szCs w:val="20"/>
          <w:color w:val="auto"/>
        </w:rPr>
      </w:pPr>
      <w:r>
        <w:rPr>
          <w:rFonts w:ascii="Courier New" w:cs="Courier New" w:eastAsia="Courier New" w:hAnsi="Courier New"/>
          <w:sz w:val="15"/>
          <w:szCs w:val="15"/>
          <w:color w:val="auto"/>
        </w:rPr>
        <w:t>of National Environmental Services Company. Mr. Bagley received a Juris Doctorate in 1965 from the University of Utah College of Law.</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Edward N. Bagley has been a Director of the Company since January 1993. Mr. Bagley is currently Vice President of Salomon Smith Barney, with whom he has been associated since 1971. Mr. Bagley has worked in the investment industry since 1934. Mr. Bagley is also a member of the Board of Directors of Mining Services International, a publicly held developer of explosives technology and suppliers of chemicals to the mining industry, located in Salt Lake City, Utah. He received a bachelor's degree from Utah State University in 1933.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Brad R. Baldwin has been a Director of the Company since September 1988. Since October 1, 1994, Mr. Baldwin has served as President and Chief Executive Officer of Bank One, Utah, a commercial bank headquartered in Salt Lake City, Utah. Mr. Baldwin served as Senior Vice President and General Counsel of Bank One from 1988 until his appointment as President and CEO. From 1981 to 1988, Mr. Baldwin was engaged in the general practice of law at the firm of Biele, Haslam &amp; Hatch in Salt Lake City, Utah. Mr. Baldwin received a Juris Doctorate in 1980 from the University of Washington.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Dwight H. Egan has been a Director of the Company since November 1994. Mr. Egan is currently Executive Vice-President of Sales and Marketing as well as a Board member of Data Broadcasting Corporation which is the leading provider of real-time market data to the individual trader and investor. From November 1985 to August 1999, Mr. Egan was the President and Chief Executive Officer of Broadcast International, Inc., a satellite communications and business information company located in Midvale, Utah. Broadcast International, Inc. is a subsidiary of Data Broadcasting Corporation.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Frances M. Flood has been a Director of the Company since June of 1998. Ms. Flood joined the Company in October 1996 as Vice-President of Sales and Marketing. She was named President in December 1997 and Chief Executive Officer in June 1998. Prior to joining the Company, Ms. Flood was Area Director of Sales and Marketing for Ernst &amp; Young, LLP, an international accounting and consulting firm. Ms. Flood has over twenty-five years experience in sales, marketing, change management, international business and finance.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K. Bradford Romney has been a Director of the Company since November 1994. He currently serves as Business Unit Manager of the Small Business Networking Operation for Intel Corporation. From 1991 until its sale to Intel Corporation in October 1997, Mr. Romney served as President and Chief Executive Officer of Dayna Communications, Inc., a small business computer networking company based in Salt Lake City, Utah. Prior to that, he served as Executive Vice President of Dayna, beginning in 1986. From 1982 to 1986, Mr. Romney was Executive Vice-President of Keith Romney Associates. The former chairman of the Utah Information Technologies Association, Mr. Romney received a Juris Doctorate and a Masters of Business Administration degree from Brigham Young University in 1982.</w:t>
      </w:r>
    </w:p>
    <w:p>
      <w:pPr>
        <w:spacing w:after="0" w:line="180"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Randall J. Wichinski has been a Director of the Company since June 1999. He is currently President of East Cincinnati Running Company, Inc. From April 1983 to March 1999, Mr. Wichinski was employed at Ernst &amp; Young LLP, an international accounting and consulting firm, serving as a Tax Partner for ten years. He received a bachelor's degree in 1977 and a Masters of Business Administration degree in 1982 from the University of Wisconsin-Madison.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 and Committees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All directors serve until their successors are elected and have qualified. The Company paid each director $650 per month for services provided as a director. Employee directors receive no additional compensation for serving on the Board.</w:t>
      </w:r>
    </w:p>
    <w:p>
      <w:pPr>
        <w:spacing w:after="0" w:line="175"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Board of Directors has three committees, the Executive, Audit and Compensation Committees. The Executive Committee is composed of Ms. Frances M. Flood, Mr. Brad R. Baldwin and Mr. Dwight H. Egan. The Audit Committee is currently composed of Mr. Edward Dallin Bagley, Mr. Edward N. Bagley, Mr. Brad R. Baldwin, Mr. Dwight H. Egan, Mr. K. Bradford Romney and Mr. Randall J. Wichinski. The Compensation Committee is currently composed of Mr. Edward Dallin Bagley, Mr. Edward N. Bagley, Mr. Brad R. Baldwin, Mr. Dwight H. Egan, Mr. K. Bradford Romney and Mr. Randall J. Wichinski. The Executive Committee exercises all the powers and authority of the Board of Directors in the management of the business and affairs of the Company except those which by statute, Articles of Incorporation or By-laws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1"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are reserved to the Board of Directors. The Audit Committee is authorized to review proposals of the Company's auditors regarding annual audits, recommend the engagement or discharge of the Company's auditors, review recommendations of such auditors concerning accounting principles and the adequacy of internal controls and accounting procedures and practices, to review the scope of the annual audit,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incentive plans for directors, officers and key employees.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 and Committees</w:t>
      </w:r>
    </w:p>
    <w:p>
      <w:pPr>
        <w:spacing w:after="0" w:line="178" w:lineRule="exact"/>
        <w:rPr>
          <w:sz w:val="20"/>
          <w:szCs w:val="20"/>
          <w:color w:val="auto"/>
        </w:rPr>
      </w:pPr>
    </w:p>
    <w:p>
      <w:pPr>
        <w:ind w:right="3379"/>
        <w:spacing w:after="0" w:line="267" w:lineRule="auto"/>
        <w:rPr>
          <w:sz w:val="20"/>
          <w:szCs w:val="20"/>
          <w:color w:val="auto"/>
        </w:rPr>
      </w:pPr>
      <w:r>
        <w:rPr>
          <w:rFonts w:ascii="Courier New" w:cs="Courier New" w:eastAsia="Courier New" w:hAnsi="Courier New"/>
          <w:sz w:val="14"/>
          <w:szCs w:val="14"/>
          <w:color w:val="auto"/>
        </w:rPr>
        <w:t>The Board of Directors held six meetings during the last fiscal year. The Executive Committee held no formal meetings during the last fiscal year. The Audit Committee held one formal meeting during the last fiscal year. The Compensation Committee held no formal meetings during the last fiscal year.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executive officers of the Company are as follows: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40" w:type="dxa"/>
            <w:vAlign w:val="bottom"/>
          </w:tcPr>
          <w:p>
            <w:pPr>
              <w:spacing w:after="0"/>
              <w:rPr>
                <w:sz w:val="14"/>
                <w:szCs w:val="14"/>
                <w:color w:val="auto"/>
              </w:rPr>
            </w:pP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Age</w:t>
            </w:r>
          </w:p>
        </w:tc>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Position</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spacing w:after="0"/>
              <w:rPr>
                <w:sz w:val="15"/>
                <w:szCs w:val="15"/>
                <w:color w:val="auto"/>
              </w:rPr>
            </w:pPr>
          </w:p>
        </w:tc>
        <w:tc>
          <w:tcPr>
            <w:tcW w:w="140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3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r>
      <w:tr>
        <w:trPr>
          <w:trHeight w:val="347"/>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Frances M. Flood</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43</w:t>
            </w:r>
          </w:p>
        </w:tc>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w w:val="99"/>
              </w:rPr>
              <w:t>President and Chief Executive Officer</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Brooks</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Gibbs</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40</w:t>
            </w:r>
          </w:p>
        </w:tc>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Chief Technology Officer</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Curtis</w:t>
            </w:r>
          </w:p>
        </w:tc>
        <w:tc>
          <w:tcPr>
            <w:tcW w:w="1440" w:type="dxa"/>
            <w:vAlign w:val="bottom"/>
          </w:tcPr>
          <w:p>
            <w:pPr>
              <w:ind w:left="40"/>
              <w:spacing w:after="0"/>
              <w:rPr>
                <w:sz w:val="20"/>
                <w:szCs w:val="20"/>
                <w:color w:val="auto"/>
              </w:rPr>
            </w:pPr>
            <w:r>
              <w:rPr>
                <w:rFonts w:ascii="Courier New" w:cs="Courier New" w:eastAsia="Courier New" w:hAnsi="Courier New"/>
                <w:sz w:val="15"/>
                <w:szCs w:val="15"/>
                <w:color w:val="auto"/>
              </w:rPr>
              <w:t>Hewitson</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35</w:t>
            </w:r>
          </w:p>
        </w:tc>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Vice President of Human Resources</w:t>
            </w:r>
          </w:p>
        </w:tc>
      </w:tr>
      <w:tr>
        <w:trPr>
          <w:trHeight w:val="173"/>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Susie S. Strohm</w:t>
            </w:r>
          </w:p>
        </w:tc>
        <w:tc>
          <w:tcPr>
            <w:tcW w:w="1400" w:type="dxa"/>
            <w:vAlign w:val="bottom"/>
          </w:tcPr>
          <w:p>
            <w:pPr>
              <w:ind w:left="500"/>
              <w:spacing w:after="0"/>
              <w:rPr>
                <w:sz w:val="20"/>
                <w:szCs w:val="20"/>
                <w:color w:val="auto"/>
              </w:rPr>
            </w:pPr>
            <w:r>
              <w:rPr>
                <w:rFonts w:ascii="Courier New" w:cs="Courier New" w:eastAsia="Courier New" w:hAnsi="Courier New"/>
                <w:sz w:val="15"/>
                <w:szCs w:val="15"/>
                <w:color w:val="auto"/>
              </w:rPr>
              <w:t>39</w:t>
            </w:r>
          </w:p>
        </w:tc>
        <w:tc>
          <w:tcPr>
            <w:tcW w:w="3780" w:type="dxa"/>
            <w:vAlign w:val="bottom"/>
          </w:tcPr>
          <w:p>
            <w:pPr>
              <w:ind w:left="440"/>
              <w:spacing w:after="0"/>
              <w:rPr>
                <w:sz w:val="20"/>
                <w:szCs w:val="20"/>
                <w:color w:val="auto"/>
              </w:rPr>
            </w:pPr>
            <w:r>
              <w:rPr>
                <w:rFonts w:ascii="Courier New" w:cs="Courier New" w:eastAsia="Courier New" w:hAnsi="Courier New"/>
                <w:sz w:val="15"/>
                <w:szCs w:val="15"/>
                <w:color w:val="auto"/>
              </w:rPr>
              <w:t>Vice President of Finance and Chief</w:t>
            </w:r>
          </w:p>
        </w:tc>
      </w:tr>
      <w:tr>
        <w:trPr>
          <w:trHeight w:val="173"/>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Financial Officer</w:t>
            </w:r>
          </w:p>
        </w:tc>
        <w:tc>
          <w:tcPr>
            <w:tcW w:w="1400" w:type="dxa"/>
            <w:vAlign w:val="bottom"/>
          </w:tcPr>
          <w:p>
            <w:pPr>
              <w:spacing w:after="0"/>
              <w:rPr>
                <w:sz w:val="15"/>
                <w:szCs w:val="15"/>
                <w:color w:val="auto"/>
              </w:rPr>
            </w:pPr>
          </w:p>
        </w:tc>
        <w:tc>
          <w:tcPr>
            <w:tcW w:w="3780" w:type="dxa"/>
            <w:vAlign w:val="bottom"/>
          </w:tcPr>
          <w:p>
            <w:pPr>
              <w:spacing w:after="0"/>
              <w:rPr>
                <w:sz w:val="15"/>
                <w:szCs w:val="15"/>
                <w:color w:val="auto"/>
              </w:rPr>
            </w:pPr>
          </w:p>
        </w:tc>
      </w:tr>
    </w:tbl>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biography of Ms. Flood, see "Directors."</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Brooks Gibbs was named Chief Technology Officer for Gentner Communications in November of 1998. He has been with Gentner for 11 years serving in Engineering, Manufacturing, Product Management, Sales, Marketing and Customer Service areas. He is responsible for coordination of the Company's strategic technical direction. Prior to joining the Company, Mr. Gibbs was a lead project design engineer for Centro Corporation, a systems design and integration company. Mr. Gibbs has over 19 years of communications product development and product management experience.</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Curtis Hewitson was named Vice President of Human Resources for Gentner Communications in November 1998. He has been with Gentner since December 1994 serving in Human Resources. He is responsible for all aspects of Human Resources and office administration. Prior to joining the Company, Mr. Hewitson worked in the telecommunications industry for nine years. In 1989, Mr. Hewitson received a Bachelor of Science degree from the University of Utah.</w:t>
      </w:r>
    </w:p>
    <w:p>
      <w:pPr>
        <w:spacing w:after="0" w:line="177"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4"/>
          <w:szCs w:val="14"/>
          <w:color w:val="auto"/>
        </w:rPr>
        <w:t>Susie S. Strohm became Vice President of Finance in 1997, and was named CFO during 1998. In 1996, Ms. Strohm joined the Company as its Controller. She is responsible for all the Company's accounting, financial and tax planning, financial and management reporting, and Securities and Exchange Commission filings. Prior to joining the Company, Ms. Strohm was the Controller for Newspaper Agency Corporation in Salt Lake City, Utah. She graduated from the University of Utah with a Bachelor of Science degree in Accounting, and received her Masters of Business Administration degree from Westminster College.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COMPLIANCE WITH SECTION 16(a) OF THE SECURITIES EXCHANGE ACT</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 To the Company's knowledge, persons as defined above have complied with all applicable section 16(a) requirements during the preceding fiscal year.</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1" w:right="1440" w:bottom="1440" w:gutter="0" w:footer="0" w:header="0"/>
          <w:type w:val="continuous"/>
        </w:sectPr>
      </w:pPr>
    </w:p>
    <w:bookmarkStart w:id="37" w:name="page38"/>
    <w:bookmarkEnd w:id="37"/>
    <w:p>
      <w:pPr>
        <w:ind w:left="268"/>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10. EXECUTIVE COMPENSATION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COMPENSATION</w:t>
      </w:r>
    </w:p>
    <w:p>
      <w:pPr>
        <w:spacing w:after="0" w:line="178" w:lineRule="exact"/>
        <w:rPr>
          <w:sz w:val="20"/>
          <w:szCs w:val="20"/>
          <w:color w:val="auto"/>
        </w:rPr>
      </w:pPr>
    </w:p>
    <w:p>
      <w:pPr>
        <w:ind w:left="8" w:right="4320"/>
        <w:spacing w:after="0" w:line="244"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of the Company and the other most highly compensated executive officers of the Company for each of the Company's last three fiscal years whose total salary and bonus for the year ended June 30, 1999 exceeded $100,000, for services rendered in all capacities to the Company during such fiscal years.</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266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SUMMARY COMPENSATION TABLE</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94"/>
        </w:trPr>
        <w:tc>
          <w:tcPr>
            <w:tcW w:w="2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60" w:type="dxa"/>
            <w:vAlign w:val="bottom"/>
            <w:gridSpan w:val="3"/>
          </w:tcPr>
          <w:p>
            <w:pPr>
              <w:ind w:left="780"/>
              <w:spacing w:after="0"/>
              <w:rPr>
                <w:sz w:val="20"/>
                <w:szCs w:val="20"/>
                <w:color w:val="auto"/>
              </w:rPr>
            </w:pPr>
            <w:r>
              <w:rPr>
                <w:rFonts w:ascii="Courier New" w:cs="Courier New" w:eastAsia="Courier New" w:hAnsi="Courier New"/>
                <w:sz w:val="15"/>
                <w:szCs w:val="15"/>
                <w:color w:val="auto"/>
              </w:rPr>
              <w:t>Annual Compensation</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Long-Term Compensation</w:t>
            </w:r>
          </w:p>
        </w:tc>
      </w:tr>
      <w:tr>
        <w:trPr>
          <w:trHeight w:val="173"/>
        </w:trPr>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Awards</w:t>
            </w:r>
          </w:p>
        </w:tc>
        <w:tc>
          <w:tcPr>
            <w:tcW w:w="94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Payouts</w:t>
            </w:r>
          </w:p>
        </w:tc>
        <w:tc>
          <w:tcPr>
            <w:tcW w:w="580" w:type="dxa"/>
            <w:vAlign w:val="bottom"/>
          </w:tcPr>
          <w:p>
            <w:pPr>
              <w:spacing w:after="0"/>
              <w:rPr>
                <w:sz w:val="15"/>
                <w:szCs w:val="15"/>
                <w:color w:val="auto"/>
              </w:rPr>
            </w:pPr>
          </w:p>
        </w:tc>
      </w:tr>
      <w:tr>
        <w:trPr>
          <w:trHeight w:val="173"/>
        </w:trPr>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16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Securities</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Restric-</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Under-</w:t>
            </w:r>
          </w:p>
        </w:tc>
        <w:tc>
          <w:tcPr>
            <w:tcW w:w="1040" w:type="dxa"/>
            <w:vAlign w:val="bottom"/>
          </w:tcPr>
          <w:p>
            <w:pPr>
              <w:spacing w:after="0"/>
              <w:rPr>
                <w:sz w:val="15"/>
                <w:szCs w:val="15"/>
                <w:color w:val="auto"/>
              </w:rPr>
            </w:pPr>
          </w:p>
        </w:tc>
        <w:tc>
          <w:tcPr>
            <w:tcW w:w="9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All</w:t>
            </w:r>
          </w:p>
        </w:tc>
      </w:tr>
      <w:tr>
        <w:trPr>
          <w:trHeight w:val="173"/>
        </w:trPr>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Annual</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ted</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lying</w:t>
            </w:r>
          </w:p>
        </w:tc>
        <w:tc>
          <w:tcPr>
            <w:tcW w:w="1040" w:type="dxa"/>
            <w:vAlign w:val="bottom"/>
          </w:tcPr>
          <w:p>
            <w:pPr>
              <w:spacing w:after="0"/>
              <w:rPr>
                <w:sz w:val="15"/>
                <w:szCs w:val="15"/>
                <w:color w:val="auto"/>
              </w:rPr>
            </w:pPr>
          </w:p>
        </w:tc>
        <w:tc>
          <w:tcPr>
            <w:tcW w:w="98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Other</w:t>
            </w:r>
          </w:p>
        </w:tc>
      </w:tr>
      <w:tr>
        <w:trPr>
          <w:trHeight w:val="173"/>
        </w:trPr>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rPr>
              <w:t>Compen-</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Stock</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LTIP</w:t>
            </w:r>
          </w:p>
        </w:tc>
        <w:tc>
          <w:tcPr>
            <w:tcW w:w="9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Compen-</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1300" w:type="dxa"/>
            <w:vAlign w:val="bottom"/>
          </w:tcPr>
          <w:p>
            <w:pPr>
              <w:ind w:left="440"/>
              <w:spacing w:after="0"/>
              <w:rPr>
                <w:sz w:val="20"/>
                <w:szCs w:val="20"/>
                <w:color w:val="auto"/>
              </w:rPr>
            </w:pPr>
            <w:r>
              <w:rPr>
                <w:rFonts w:ascii="Courier New" w:cs="Courier New" w:eastAsia="Courier New" w:hAnsi="Courier New"/>
                <w:sz w:val="15"/>
                <w:szCs w:val="15"/>
                <w:color w:val="auto"/>
              </w:rPr>
              <w:t>Year</w:t>
            </w:r>
          </w:p>
        </w:tc>
        <w:tc>
          <w:tcPr>
            <w:tcW w:w="320" w:type="dxa"/>
            <w:vAlign w:val="bottom"/>
          </w:tcPr>
          <w:p>
            <w:pPr>
              <w:spacing w:after="0"/>
              <w:rPr>
                <w:sz w:val="15"/>
                <w:szCs w:val="15"/>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Salary</w:t>
            </w:r>
          </w:p>
        </w:tc>
        <w:tc>
          <w:tcPr>
            <w:tcW w:w="320" w:type="dxa"/>
            <w:vAlign w:val="bottom"/>
          </w:tcPr>
          <w:p>
            <w:pPr>
              <w:spacing w:after="0"/>
              <w:rPr>
                <w:sz w:val="15"/>
                <w:szCs w:val="15"/>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3"/>
              </w:rPr>
              <w:t>Bonus</w:t>
            </w:r>
          </w:p>
        </w:tc>
        <w:tc>
          <w:tcPr>
            <w:tcW w:w="12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Awards</w:t>
            </w:r>
          </w:p>
        </w:tc>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/SARS</w:t>
            </w: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Payouts</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sation(1)</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c>
          <w:tcPr>
            <w:tcW w:w="1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34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Fiscal</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CEO &amp; President(2)</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98-99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104,912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66,064</w:t>
            </w:r>
          </w:p>
        </w:tc>
        <w:tc>
          <w:tcPr>
            <w:tcW w:w="12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None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None</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None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2,022</w:t>
            </w:r>
          </w:p>
        </w:tc>
      </w:tr>
      <w:tr>
        <w:trPr>
          <w:trHeight w:val="347"/>
        </w:trPr>
        <w:tc>
          <w:tcPr>
            <w:tcW w:w="2340" w:type="dxa"/>
            <w:vAlign w:val="bottom"/>
          </w:tcPr>
          <w:p>
            <w:pPr>
              <w:spacing w:after="0"/>
              <w:rPr>
                <w:sz w:val="24"/>
                <w:szCs w:val="2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Fiscal</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2340" w:type="dxa"/>
            <w:vAlign w:val="bottom"/>
          </w:tcPr>
          <w:p>
            <w:pPr>
              <w:spacing w:after="0"/>
              <w:rPr>
                <w:sz w:val="15"/>
                <w:szCs w:val="15"/>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97-98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117,310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16,649</w:t>
            </w:r>
          </w:p>
        </w:tc>
        <w:tc>
          <w:tcPr>
            <w:tcW w:w="12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None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None</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None</w:t>
            </w:r>
          </w:p>
        </w:tc>
        <w:tc>
          <w:tcPr>
            <w:tcW w:w="400" w:type="dxa"/>
            <w:vAlign w:val="bottom"/>
          </w:tcPr>
          <w:p>
            <w:pPr>
              <w:spacing w:after="0"/>
              <w:rPr>
                <w:sz w:val="15"/>
                <w:szCs w:val="15"/>
                <w:color w:val="auto"/>
              </w:rPr>
            </w:pPr>
          </w:p>
        </w:tc>
        <w:tc>
          <w:tcPr>
            <w:tcW w:w="5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None</w:t>
            </w:r>
          </w:p>
        </w:tc>
      </w:tr>
      <w:tr>
        <w:trPr>
          <w:trHeight w:val="347"/>
        </w:trPr>
        <w:tc>
          <w:tcPr>
            <w:tcW w:w="2340" w:type="dxa"/>
            <w:vAlign w:val="bottom"/>
          </w:tcPr>
          <w:p>
            <w:pPr>
              <w:spacing w:after="0"/>
              <w:rPr>
                <w:sz w:val="24"/>
                <w:szCs w:val="24"/>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Fiscal</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2340" w:type="dxa"/>
            <w:vAlign w:val="bottom"/>
          </w:tcPr>
          <w:p>
            <w:pPr>
              <w:spacing w:after="0"/>
              <w:rPr>
                <w:sz w:val="15"/>
                <w:szCs w:val="15"/>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96-97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70,657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8,903</w:t>
            </w:r>
          </w:p>
        </w:tc>
        <w:tc>
          <w:tcPr>
            <w:tcW w:w="12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None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None</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None</w:t>
            </w:r>
          </w:p>
        </w:tc>
        <w:tc>
          <w:tcPr>
            <w:tcW w:w="400" w:type="dxa"/>
            <w:vAlign w:val="bottom"/>
          </w:tcPr>
          <w:p>
            <w:pPr>
              <w:spacing w:after="0"/>
              <w:rPr>
                <w:sz w:val="15"/>
                <w:szCs w:val="15"/>
                <w:color w:val="auto"/>
              </w:rPr>
            </w:pPr>
          </w:p>
        </w:tc>
        <w:tc>
          <w:tcPr>
            <w:tcW w:w="5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None</w:t>
            </w:r>
          </w:p>
        </w:tc>
      </w:tr>
      <w:tr>
        <w:trPr>
          <w:trHeight w:val="347"/>
        </w:trPr>
        <w:tc>
          <w:tcPr>
            <w:tcW w:w="2340" w:type="dxa"/>
            <w:vAlign w:val="bottom"/>
          </w:tcPr>
          <w:p>
            <w:pPr>
              <w:spacing w:after="0"/>
              <w:rPr>
                <w:sz w:val="20"/>
                <w:szCs w:val="20"/>
                <w:color w:val="auto"/>
              </w:rPr>
            </w:pPr>
            <w:r>
              <w:rPr>
                <w:rFonts w:ascii="Courier New" w:cs="Courier New" w:eastAsia="Courier New" w:hAnsi="Courier New"/>
                <w:sz w:val="15"/>
                <w:szCs w:val="15"/>
                <w:color w:val="auto"/>
              </w:rPr>
              <w:t>Russell D. Gentner</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Fiscal</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Former Chairman,</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97-98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122,950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18,711</w:t>
            </w: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rPr>
              <w:t>$96,403(3)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None</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None</w:t>
            </w:r>
          </w:p>
        </w:tc>
        <w:tc>
          <w:tcPr>
            <w:tcW w:w="400" w:type="dxa"/>
            <w:vAlign w:val="bottom"/>
          </w:tcPr>
          <w:p>
            <w:pPr>
              <w:spacing w:after="0"/>
              <w:rPr>
                <w:sz w:val="15"/>
                <w:szCs w:val="15"/>
                <w:color w:val="auto"/>
              </w:rPr>
            </w:pPr>
          </w:p>
        </w:tc>
        <w:tc>
          <w:tcPr>
            <w:tcW w:w="5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None</w:t>
            </w: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CEO, &amp; President</w:t>
            </w: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2340" w:type="dxa"/>
            <w:vAlign w:val="bottom"/>
          </w:tcPr>
          <w:p>
            <w:pPr>
              <w:spacing w:after="0"/>
              <w:rPr>
                <w:sz w:val="15"/>
                <w:szCs w:val="15"/>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Fiscal</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73"/>
        </w:trPr>
        <w:tc>
          <w:tcPr>
            <w:tcW w:w="2340" w:type="dxa"/>
            <w:vAlign w:val="bottom"/>
          </w:tcPr>
          <w:p>
            <w:pPr>
              <w:spacing w:after="0"/>
              <w:rPr>
                <w:sz w:val="15"/>
                <w:szCs w:val="15"/>
                <w:color w:val="auto"/>
              </w:rPr>
            </w:pP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96-97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162,240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11,760</w:t>
            </w:r>
          </w:p>
        </w:tc>
        <w:tc>
          <w:tcPr>
            <w:tcW w:w="12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None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None</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None</w:t>
            </w:r>
          </w:p>
        </w:tc>
        <w:tc>
          <w:tcPr>
            <w:tcW w:w="400" w:type="dxa"/>
            <w:vAlign w:val="bottom"/>
          </w:tcPr>
          <w:p>
            <w:pPr>
              <w:spacing w:after="0"/>
              <w:rPr>
                <w:sz w:val="15"/>
                <w:szCs w:val="15"/>
                <w:color w:val="auto"/>
              </w:rPr>
            </w:pPr>
          </w:p>
        </w:tc>
        <w:tc>
          <w:tcPr>
            <w:tcW w:w="5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None</w:t>
            </w:r>
          </w:p>
        </w:tc>
      </w:tr>
      <w:tr>
        <w:trPr>
          <w:trHeight w:val="347"/>
        </w:trPr>
        <w:tc>
          <w:tcPr>
            <w:tcW w:w="234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Fiscal</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3"/>
        </w:trPr>
        <w:tc>
          <w:tcPr>
            <w:tcW w:w="2340" w:type="dxa"/>
            <w:vAlign w:val="bottom"/>
          </w:tcPr>
          <w:p>
            <w:pPr>
              <w:spacing w:after="0"/>
              <w:rPr>
                <w:sz w:val="20"/>
                <w:szCs w:val="20"/>
                <w:color w:val="auto"/>
              </w:rPr>
            </w:pPr>
            <w:r>
              <w:rPr>
                <w:rFonts w:ascii="Courier New" w:cs="Courier New" w:eastAsia="Courier New" w:hAnsi="Courier New"/>
                <w:sz w:val="15"/>
                <w:szCs w:val="15"/>
                <w:color w:val="auto"/>
              </w:rPr>
              <w:t>CFO &amp; Vice President(4)</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98-99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72,716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44,414</w:t>
            </w:r>
          </w:p>
        </w:tc>
        <w:tc>
          <w:tcPr>
            <w:tcW w:w="12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None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None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None</w:t>
            </w:r>
          </w:p>
        </w:tc>
        <w:tc>
          <w:tcPr>
            <w:tcW w:w="1040" w:type="dxa"/>
            <w:vAlign w:val="bottom"/>
          </w:tcPr>
          <w:p>
            <w:pPr>
              <w:ind w:left="320"/>
              <w:spacing w:after="0"/>
              <w:rPr>
                <w:sz w:val="20"/>
                <w:szCs w:val="20"/>
                <w:color w:val="auto"/>
              </w:rPr>
            </w:pPr>
            <w:r>
              <w:rPr>
                <w:rFonts w:ascii="Courier New" w:cs="Courier New" w:eastAsia="Courier New" w:hAnsi="Courier New"/>
                <w:sz w:val="15"/>
                <w:szCs w:val="15"/>
                <w:color w:val="auto"/>
              </w:rPr>
              <w:t>None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1,721</w:t>
            </w:r>
          </w:p>
        </w:tc>
      </w:tr>
    </w:tbl>
    <w:p>
      <w:pPr>
        <w:spacing w:after="0" w:line="351" w:lineRule="exact"/>
        <w:rPr>
          <w:sz w:val="20"/>
          <w:szCs w:val="20"/>
          <w:color w:val="auto"/>
        </w:rPr>
      </w:pPr>
    </w:p>
    <w:p>
      <w:pPr>
        <w:ind w:left="728" w:right="4940" w:hanging="728"/>
        <w:spacing w:after="0" w:line="243" w:lineRule="auto"/>
        <w:tabs>
          <w:tab w:leader="none" w:pos="7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reflect the Company's contributions to the deferred compensation plan (401(k) plan).</w:t>
      </w:r>
    </w:p>
    <w:p>
      <w:pPr>
        <w:spacing w:after="0" w:line="175"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Flood did not join the Company until fiscal 96-97.</w:t>
      </w:r>
    </w:p>
    <w:p>
      <w:pPr>
        <w:spacing w:after="0" w:line="176"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includes a severance package.</w:t>
      </w:r>
    </w:p>
    <w:p>
      <w:pPr>
        <w:spacing w:after="0" w:line="177" w:lineRule="exact"/>
        <w:rPr>
          <w:rFonts w:ascii="Courier New" w:cs="Courier New" w:eastAsia="Courier New" w:hAnsi="Courier New"/>
          <w:sz w:val="15"/>
          <w:szCs w:val="15"/>
          <w:color w:val="auto"/>
        </w:rPr>
      </w:pPr>
    </w:p>
    <w:p>
      <w:pPr>
        <w:ind w:left="728" w:right="4580" w:hanging="728"/>
        <w:spacing w:after="0" w:line="243" w:lineRule="auto"/>
        <w:tabs>
          <w:tab w:leader="none" w:pos="72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Strohm did not meet the compensation constraint until fiscal year 1999.</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OPTIONS/SARS</w:t>
      </w:r>
    </w:p>
    <w:p>
      <w:pPr>
        <w:spacing w:after="0" w:line="178" w:lineRule="exact"/>
        <w:rPr>
          <w:sz w:val="20"/>
          <w:szCs w:val="20"/>
          <w:color w:val="auto"/>
        </w:rPr>
      </w:pPr>
    </w:p>
    <w:p>
      <w:pPr>
        <w:ind w:left="8" w:right="4400"/>
        <w:spacing w:after="0" w:line="243" w:lineRule="auto"/>
        <w:rPr>
          <w:sz w:val="20"/>
          <w:szCs w:val="20"/>
          <w:color w:val="auto"/>
        </w:rPr>
      </w:pPr>
      <w:r>
        <w:rPr>
          <w:rFonts w:ascii="Courier New" w:cs="Courier New" w:eastAsia="Courier New" w:hAnsi="Courier New"/>
          <w:sz w:val="15"/>
          <w:szCs w:val="15"/>
          <w:color w:val="auto"/>
        </w:rPr>
        <w:t>No stock options or SAR grants were made to any named executive officers during the last fiscal year.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AGGREGATED STOCK OPTION/SAR EXERCISES</w:t>
      </w:r>
    </w:p>
    <w:p>
      <w:pPr>
        <w:spacing w:after="0" w:line="178" w:lineRule="exact"/>
        <w:rPr>
          <w:sz w:val="20"/>
          <w:szCs w:val="20"/>
          <w:color w:val="auto"/>
        </w:rPr>
      </w:pPr>
    </w:p>
    <w:p>
      <w:pPr>
        <w:ind w:left="8" w:right="4500"/>
        <w:spacing w:after="0" w:line="244" w:lineRule="auto"/>
        <w:rPr>
          <w:sz w:val="20"/>
          <w:szCs w:val="20"/>
          <w:color w:val="auto"/>
        </w:rPr>
      </w:pPr>
      <w:r>
        <w:rPr>
          <w:rFonts w:ascii="Courier New" w:cs="Courier New" w:eastAsia="Courier New" w:hAnsi="Courier New"/>
          <w:sz w:val="15"/>
          <w:szCs w:val="15"/>
          <w:color w:val="auto"/>
        </w:rPr>
        <w:t>The following table sets forth the aggregated stock options and SARs exercised by the named executive officers in fiscal 1999 and the year-end value of unexercised options and SARs:</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1528"/>
          </w:cols>
          <w:pgMar w:left="232" w:top="291" w:right="139" w:bottom="1440" w:gutter="0" w:footer="0" w:header="0"/>
        </w:sectPr>
      </w:pPr>
    </w:p>
    <w:bookmarkStart w:id="38" w:name="page39"/>
    <w:bookmarkEnd w:id="38"/>
    <w:p>
      <w:pPr>
        <w:ind w:left="268"/>
        <w:spacing w:after="0"/>
        <w:rPr>
          <w:sz w:val="20"/>
          <w:szCs w:val="20"/>
          <w:color w:val="auto"/>
        </w:rPr>
      </w:pPr>
      <w:r>
        <w:rPr>
          <w:rFonts w:ascii="Courier New" w:cs="Courier New" w:eastAsia="Courier New" w:hAnsi="Courier New"/>
          <w:sz w:val="15"/>
          <w:szCs w:val="15"/>
          <w:color w:val="auto"/>
        </w:rPr>
        <w:t>38</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AGGREGATED OPTION/SAR EXERCISES IN FISCAL YEAR ENDED JUNE 30, 1999</w:t>
      </w:r>
    </w:p>
    <w:p>
      <w:pPr>
        <w:spacing w:after="0" w:line="3"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AND FISCAL YEAR-END OPTION/SAR VALUES</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spacing w:after="0"/>
              <w:rPr>
                <w:sz w:val="14"/>
                <w:szCs w:val="14"/>
                <w:color w:val="auto"/>
              </w:rPr>
            </w:pPr>
          </w:p>
        </w:tc>
      </w:tr>
      <w:tr>
        <w:trPr>
          <w:trHeight w:val="173"/>
        </w:trPr>
        <w:tc>
          <w:tcPr>
            <w:tcW w:w="1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Securities</w:t>
            </w:r>
          </w:p>
        </w:tc>
        <w:tc>
          <w:tcPr>
            <w:tcW w:w="1880" w:type="dxa"/>
            <w:vAlign w:val="bottom"/>
          </w:tcPr>
          <w:p>
            <w:pPr>
              <w:ind w:left="540"/>
              <w:spacing w:after="0"/>
              <w:rPr>
                <w:sz w:val="20"/>
                <w:szCs w:val="20"/>
                <w:color w:val="auto"/>
              </w:rPr>
            </w:pPr>
            <w:r>
              <w:rPr>
                <w:rFonts w:ascii="Courier New" w:cs="Courier New" w:eastAsia="Courier New" w:hAnsi="Courier New"/>
                <w:sz w:val="15"/>
                <w:szCs w:val="15"/>
                <w:color w:val="auto"/>
              </w:rPr>
              <w:t>Value of</w:t>
            </w:r>
          </w:p>
        </w:tc>
      </w:tr>
      <w:tr>
        <w:trPr>
          <w:trHeight w:val="173"/>
        </w:trPr>
        <w:tc>
          <w:tcPr>
            <w:tcW w:w="1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Underlying</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rPr>
              <w:t>Unexercised</w:t>
            </w:r>
          </w:p>
        </w:tc>
      </w:tr>
      <w:tr>
        <w:trPr>
          <w:trHeight w:val="173"/>
        </w:trPr>
        <w:tc>
          <w:tcPr>
            <w:tcW w:w="1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Unexercised</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In-The-Money</w:t>
            </w:r>
          </w:p>
        </w:tc>
      </w:tr>
      <w:tr>
        <w:trPr>
          <w:trHeight w:val="173"/>
        </w:trPr>
        <w:tc>
          <w:tcPr>
            <w:tcW w:w="1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Options/SARs</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rPr>
              <w:t>Options/SARs</w:t>
            </w:r>
          </w:p>
        </w:tc>
      </w:tr>
      <w:tr>
        <w:trPr>
          <w:trHeight w:val="173"/>
        </w:trPr>
        <w:tc>
          <w:tcPr>
            <w:tcW w:w="1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at FY-End (#)</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at FY-End ($)</w:t>
            </w:r>
          </w:p>
        </w:tc>
      </w:tr>
      <w:tr>
        <w:trPr>
          <w:trHeight w:val="173"/>
        </w:trPr>
        <w:tc>
          <w:tcPr>
            <w:tcW w:w="1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19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3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73"/>
        </w:trPr>
        <w:tc>
          <w:tcPr>
            <w:tcW w:w="19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Acquired</w:t>
            </w:r>
          </w:p>
        </w:tc>
        <w:tc>
          <w:tcPr>
            <w:tcW w:w="136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Value</w:t>
            </w: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Exercisable/</w:t>
            </w:r>
          </w:p>
        </w:tc>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Exercisable/</w:t>
            </w:r>
          </w:p>
        </w:tc>
      </w:tr>
      <w:tr>
        <w:trPr>
          <w:trHeight w:val="1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 and Position</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on Exercise(#)</w:t>
            </w:r>
          </w:p>
        </w:tc>
        <w:tc>
          <w:tcPr>
            <w:tcW w:w="136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Realized($)</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Unexercisable</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Unexercisable</w:t>
            </w:r>
          </w:p>
        </w:tc>
      </w:tr>
      <w:tr>
        <w:trPr>
          <w:trHeight w:val="1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60"/>
              <w:spacing w:after="0"/>
              <w:rPr>
                <w:sz w:val="20"/>
                <w:szCs w:val="20"/>
                <w:color w:val="auto"/>
              </w:rPr>
            </w:pPr>
            <w:r>
              <w:rPr>
                <w:rFonts w:ascii="Courier New" w:cs="Courier New" w:eastAsia="Courier New" w:hAnsi="Courier New"/>
                <w:sz w:val="15"/>
                <w:szCs w:val="15"/>
                <w:color w:val="auto"/>
                <w:w w:val="98"/>
              </w:rPr>
              <w:t>-----------------</w:t>
            </w:r>
          </w:p>
        </w:tc>
      </w:tr>
      <w:tr>
        <w:trPr>
          <w:trHeight w:val="347"/>
        </w:trPr>
        <w:tc>
          <w:tcPr>
            <w:tcW w:w="198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CEO &amp; President</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28,666</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$56,368</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55,334/217,000</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$240,592/$753,835</w:t>
            </w:r>
          </w:p>
        </w:tc>
      </w:tr>
      <w:tr>
        <w:trPr>
          <w:trHeight w:val="347"/>
        </w:trPr>
        <w:tc>
          <w:tcPr>
            <w:tcW w:w="198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CFO &amp; Vice President</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21,536</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$42,378</w:t>
            </w:r>
          </w:p>
        </w:tc>
        <w:tc>
          <w:tcPr>
            <w:tcW w:w="1760" w:type="dxa"/>
            <w:vAlign w:val="bottom"/>
          </w:tcPr>
          <w:p>
            <w:pPr>
              <w:ind w:left="140"/>
              <w:spacing w:after="0"/>
              <w:rPr>
                <w:sz w:val="20"/>
                <w:szCs w:val="20"/>
                <w:color w:val="auto"/>
              </w:rPr>
            </w:pPr>
            <w:r>
              <w:rPr>
                <w:rFonts w:ascii="Courier New" w:cs="Courier New" w:eastAsia="Courier New" w:hAnsi="Courier New"/>
                <w:sz w:val="15"/>
                <w:szCs w:val="15"/>
                <w:color w:val="auto"/>
              </w:rPr>
              <w:t>25,964/142,500</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$113,498/$432,334</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11. SECURITY OWNERSHIP OF CERTAIN BENEFICIAL OWNERS AND MANAGEMENT</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following table sets forth certain information regarding ownership of the Common Stock of the Company as of September 1, 1999 by (i) each person known to the Company to be the beneficial owner of more than 5% of the outstanding Common Stock of the Company, (ii) each director of the Company, (iii) the Chief Executive Officer and each other executive officer of the Company whose salary and bonus for the year ended June 30, 1999 exceeded $100,000, and (iv) all executive officers and directors of the Company as a group. Each person has sole investment and voting power with respect to the shares indicated, subject to community property laws where applicable, except as otherwise indicated below. The address for each beneficial owner is in care of the Company, 1825 Research Way, Salt Lake City, Utah 84119.</w:t>
      </w:r>
    </w:p>
    <w:p>
      <w:pPr>
        <w:spacing w:after="0" w:line="200" w:lineRule="exact"/>
        <w:rPr>
          <w:sz w:val="20"/>
          <w:szCs w:val="20"/>
          <w:color w:val="auto"/>
        </w:rPr>
      </w:pPr>
    </w:p>
    <w:p>
      <w:pPr>
        <w:spacing w:after="0" w:line="326"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60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Amount of</w:t>
            </w: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rPr>
              <w:t>Percentage</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Names of Beneficial Owners</w:t>
            </w:r>
          </w:p>
        </w:tc>
        <w:tc>
          <w:tcPr>
            <w:tcW w:w="2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Beneficial Ownership(1)</w:t>
            </w: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w w:val="96"/>
              </w:rPr>
              <w:t>of Class(2)</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5"/>
                <w:szCs w:val="15"/>
                <w:color w:val="auto"/>
                <w:w w:val="96"/>
              </w:rPr>
              <w:t>-----------</w:t>
            </w: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Edward Dallin Bagley</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1,394,335(3)</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17.0%</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Edward N. Bagley</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312,333(4)</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151,196(5)</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Brad R. Baldwin</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131,166(6)</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Susie Strohm</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80,984(7)</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Dwight H. Egan</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55,000(8)</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K. Bradford Romney, Jr</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55,000(9)</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0.7%</w:t>
            </w: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26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2,500(9)</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w:t>
            </w:r>
          </w:p>
        </w:tc>
      </w:tr>
      <w:tr>
        <w:trPr>
          <w:trHeight w:val="347"/>
        </w:trPr>
        <w:tc>
          <w:tcPr>
            <w:tcW w:w="320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26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3"/>
        </w:trPr>
        <w:tc>
          <w:tcPr>
            <w:tcW w:w="3200" w:type="dxa"/>
            <w:vAlign w:val="bottom"/>
          </w:tcPr>
          <w:p>
            <w:pPr>
              <w:spacing w:after="0"/>
              <w:rPr>
                <w:sz w:val="20"/>
                <w:szCs w:val="20"/>
                <w:color w:val="auto"/>
              </w:rPr>
            </w:pPr>
            <w:r>
              <w:rPr>
                <w:rFonts w:ascii="Courier New" w:cs="Courier New" w:eastAsia="Courier New" w:hAnsi="Courier New"/>
                <w:sz w:val="15"/>
                <w:szCs w:val="15"/>
                <w:color w:val="auto"/>
              </w:rPr>
              <w:t>as a Group (10 people)</w:t>
            </w:r>
          </w:p>
        </w:tc>
        <w:tc>
          <w:tcPr>
            <w:tcW w:w="26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2,231,119(3 - 10)</w:t>
            </w: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w:t>
            </w:r>
          </w:p>
        </w:tc>
      </w:tr>
    </w:tbl>
    <w:p>
      <w:pPr>
        <w:spacing w:after="0" w:line="351" w:lineRule="exact"/>
        <w:rPr>
          <w:sz w:val="20"/>
          <w:szCs w:val="20"/>
          <w:color w:val="auto"/>
        </w:rPr>
      </w:pPr>
    </w:p>
    <w:p>
      <w:pPr>
        <w:ind w:left="728" w:right="3019" w:hanging="728"/>
        <w:spacing w:after="0" w:line="244" w:lineRule="auto"/>
        <w:tabs>
          <w:tab w:leader="none" w:pos="7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shareholder, the calculation of percentage of beneficial ownership is based on 8,188,748 shares of Common Stock outstanding as of September 1, 1999 and shares of Common Stock subject to options held by the shareholder that are currently exercisable or exercisable within 60 days of September 1, 1999.</w:t>
      </w:r>
    </w:p>
    <w:p>
      <w:pPr>
        <w:spacing w:after="0" w:line="176" w:lineRule="exact"/>
        <w:rPr>
          <w:rFonts w:ascii="Courier New" w:cs="Courier New" w:eastAsia="Courier New" w:hAnsi="Courier New"/>
          <w:sz w:val="15"/>
          <w:szCs w:val="15"/>
          <w:color w:val="auto"/>
        </w:rPr>
      </w:pPr>
    </w:p>
    <w:p>
      <w:pPr>
        <w:ind w:left="728" w:right="3019" w:hanging="728"/>
        <w:spacing w:after="0" w:line="244" w:lineRule="auto"/>
        <w:tabs>
          <w:tab w:leader="none" w:pos="7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175" w:lineRule="exact"/>
        <w:rPr>
          <w:rFonts w:ascii="Courier New" w:cs="Courier New" w:eastAsia="Courier New" w:hAnsi="Courier New"/>
          <w:sz w:val="15"/>
          <w:szCs w:val="15"/>
          <w:color w:val="auto"/>
        </w:rPr>
      </w:pPr>
    </w:p>
    <w:p>
      <w:pPr>
        <w:ind w:left="728" w:right="3099" w:hanging="728"/>
        <w:spacing w:after="0" w:line="244" w:lineRule="auto"/>
        <w:tabs>
          <w:tab w:leader="none" w:pos="7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1,294,285 shares owned directly; 100,000 shares owned by a corporation controlled by Mr. Bagley; 50 shares owned by Mr. Bagley's wife as custodian for one of Mr. Bagley's daughters. Excludes: 50 shares owned by another of Mr. Bagley's daughters; and shares owned by the Bagley Family Revocable Trust, all of which Mr. Bagley disclaims beneficial ownership.</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291" w:right="1440" w:bottom="1440" w:gutter="0" w:footer="0" w:header="0"/>
          <w:type w:val="continuous"/>
        </w:sectPr>
      </w:pPr>
    </w:p>
    <w:bookmarkStart w:id="39" w:name="page40"/>
    <w:bookmarkEnd w:id="39"/>
    <w:p>
      <w:pPr>
        <w:ind w:left="268"/>
        <w:spacing w:after="0"/>
        <w:rPr>
          <w:sz w:val="20"/>
          <w:szCs w:val="20"/>
          <w:color w:val="auto"/>
        </w:rPr>
      </w:pPr>
      <w:r>
        <w:rPr>
          <w:rFonts w:ascii="Courier New" w:cs="Courier New" w:eastAsia="Courier New" w:hAnsi="Courier New"/>
          <w:sz w:val="15"/>
          <w:szCs w:val="15"/>
          <w:color w:val="auto"/>
        </w:rPr>
        <w:t>39</w:t>
      </w:r>
    </w:p>
    <w:p>
      <w:pPr>
        <w:spacing w:after="0" w:line="178" w:lineRule="exact"/>
        <w:rPr>
          <w:sz w:val="20"/>
          <w:szCs w:val="20"/>
          <w:color w:val="auto"/>
        </w:rPr>
      </w:pPr>
    </w:p>
    <w:p>
      <w:pPr>
        <w:ind w:left="728" w:right="3019" w:hanging="728"/>
        <w:spacing w:after="0" w:line="244" w:lineRule="auto"/>
        <w:tabs>
          <w:tab w:leader="none" w:pos="7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257,333 shares owned by the Bagley Family Revocable Trust, of which Mr. Bagley is a co-trustee with his wife; and options to purchase 55,000 shares that are exercisable within 60 days. Excludes: shares held or controlled by Mr. Bagley's son (Edward Dallin Bagley) and granddaughters as described in footnote 3 above, all of which Mr. Edward N. Bagley disclaims beneficial ownership.</w:t>
      </w:r>
    </w:p>
    <w:p>
      <w:pPr>
        <w:spacing w:after="0" w:line="177" w:lineRule="exact"/>
        <w:rPr>
          <w:rFonts w:ascii="Courier New" w:cs="Courier New" w:eastAsia="Courier New" w:hAnsi="Courier New"/>
          <w:sz w:val="15"/>
          <w:szCs w:val="15"/>
          <w:color w:val="auto"/>
        </w:rPr>
      </w:pPr>
    </w:p>
    <w:p>
      <w:pPr>
        <w:ind w:left="728" w:right="3199" w:hanging="728"/>
        <w:spacing w:after="0" w:line="278" w:lineRule="auto"/>
        <w:tabs>
          <w:tab w:leader="none" w:pos="72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CEO and Director. Includes: 51,862 shares owned directly; options to purchase 99,334 shares that are exercisable within 60 days.</w:t>
      </w:r>
    </w:p>
    <w:p>
      <w:pPr>
        <w:spacing w:after="0" w:line="152" w:lineRule="exact"/>
        <w:rPr>
          <w:rFonts w:ascii="Courier New" w:cs="Courier New" w:eastAsia="Courier New" w:hAnsi="Courier New"/>
          <w:sz w:val="14"/>
          <w:szCs w:val="14"/>
          <w:color w:val="auto"/>
        </w:rPr>
      </w:pPr>
    </w:p>
    <w:p>
      <w:pPr>
        <w:ind w:left="728" w:right="3279" w:hanging="728"/>
        <w:spacing w:after="0" w:line="244" w:lineRule="auto"/>
        <w:tabs>
          <w:tab w:leader="none" w:pos="7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66,166 shares owned directly; options to purchase 60,000 shares that are exercisable within 60 days; and 5,000 shares owned by Mr. Baldwin's wife.</w:t>
      </w:r>
    </w:p>
    <w:p>
      <w:pPr>
        <w:spacing w:after="0" w:line="175" w:lineRule="exact"/>
        <w:rPr>
          <w:rFonts w:ascii="Courier New" w:cs="Courier New" w:eastAsia="Courier New" w:hAnsi="Courier New"/>
          <w:sz w:val="15"/>
          <w:szCs w:val="15"/>
          <w:color w:val="auto"/>
        </w:rPr>
      </w:pPr>
    </w:p>
    <w:p>
      <w:pPr>
        <w:ind w:left="728" w:right="3099" w:hanging="728"/>
        <w:spacing w:after="0" w:line="243" w:lineRule="auto"/>
        <w:tabs>
          <w:tab w:leader="none" w:pos="7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and CFO. Includes: 29,020 shares owned directly; options to purchase 51,964 shares that are exercisable within 60 days.</w:t>
      </w:r>
    </w:p>
    <w:p>
      <w:pPr>
        <w:spacing w:after="0" w:line="176" w:lineRule="exact"/>
        <w:rPr>
          <w:rFonts w:ascii="Courier New" w:cs="Courier New" w:eastAsia="Courier New" w:hAnsi="Courier New"/>
          <w:sz w:val="15"/>
          <w:szCs w:val="15"/>
          <w:color w:val="auto"/>
        </w:rPr>
      </w:pPr>
    </w:p>
    <w:p>
      <w:pPr>
        <w:ind w:left="728" w:right="3999" w:hanging="728"/>
        <w:spacing w:after="0" w:line="243" w:lineRule="auto"/>
        <w:tabs>
          <w:tab w:leader="none" w:pos="7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Includes: options to acquire 55,000 shares that are exercisable within 60 days.</w:t>
      </w:r>
    </w:p>
    <w:p>
      <w:pPr>
        <w:spacing w:after="0" w:line="175"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All shares are owned directly.</w:t>
      </w:r>
    </w:p>
    <w:p>
      <w:pPr>
        <w:spacing w:after="0" w:line="177" w:lineRule="exact"/>
        <w:rPr>
          <w:rFonts w:ascii="Courier New" w:cs="Courier New" w:eastAsia="Courier New" w:hAnsi="Courier New"/>
          <w:sz w:val="15"/>
          <w:szCs w:val="15"/>
          <w:color w:val="auto"/>
        </w:rPr>
      </w:pPr>
    </w:p>
    <w:p>
      <w:pPr>
        <w:ind w:left="728" w:right="3279" w:hanging="728"/>
        <w:spacing w:after="0" w:line="244" w:lineRule="auto"/>
        <w:tabs>
          <w:tab w:leader="none" w:pos="7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additional 6,105 shares owned directly by two additional officers; and options to purchase 42,500 shares that are exercisable within 60 days by those officers.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12. CERTAIN RELATIONSHIPS AND RELATED TRANSACTIONS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Gentner Research Ltd. ("GRL"), is a related limited partnership, formed on August 1985, in which the Company is the general partner and Edward Dallin Bagley and, among other unrelated parties, certain members of his family, are the limited partners. In 1987 and 1988, GRL sold to the Company proprietary interests in the VRC-1000 (now VRC-2000), VRC-1000 Modem (now VRC-2000) and Digital Hybrid in exchange for royalty payments. Royalty expense recognized by the Company for the years ending June 30, 1999, 1998 and 1997 was $39,900, $43,500 and $45,100 respectively. The following directors and/or executive officers and members of their immediate families have purchased the following interests in GRL:</w:t>
      </w:r>
    </w:p>
    <w:p>
      <w:pPr>
        <w:spacing w:after="0" w:line="200" w:lineRule="exact"/>
        <w:rPr>
          <w:sz w:val="20"/>
          <w:szCs w:val="20"/>
          <w:color w:val="auto"/>
        </w:rPr>
      </w:pPr>
    </w:p>
    <w:p>
      <w:pPr>
        <w:spacing w:after="0" w:line="326" w:lineRule="exact"/>
        <w:rPr>
          <w:sz w:val="20"/>
          <w:szCs w:val="20"/>
          <w:color w:val="auto"/>
        </w:rPr>
      </w:pPr>
    </w:p>
    <w:tbl>
      <w:tblPr>
        <w:tblLayout w:type="fixed"/>
        <w:tblInd w:w="1348" w:type="dxa"/>
        <w:tblCellMar>
          <w:top w:w="0" w:type="dxa"/>
          <w:left w:w="0" w:type="dxa"/>
          <w:bottom w:w="0" w:type="dxa"/>
          <w:right w:w="0" w:type="dxa"/>
        </w:tblCellMar>
      </w:tblPr>
      <w:tr>
        <w:trPr>
          <w:trHeight w:val="170"/>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Edward Dallin Bagley (Director)...................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r>
        <w:trPr>
          <w:trHeight w:val="173"/>
        </w:trPr>
        <w:tc>
          <w:tcPr>
            <w:tcW w:w="600" w:type="dxa"/>
            <w:vAlign w:val="bottom"/>
          </w:tcPr>
          <w:p>
            <w:pPr>
              <w:spacing w:after="0"/>
              <w:rPr>
                <w:sz w:val="20"/>
                <w:szCs w:val="20"/>
                <w:color w:val="auto"/>
              </w:rPr>
            </w:pPr>
            <w:r>
              <w:rPr>
                <w:rFonts w:ascii="Courier New" w:cs="Courier New" w:eastAsia="Courier New" w:hAnsi="Courier New"/>
                <w:sz w:val="15"/>
                <w:szCs w:val="15"/>
                <w:color w:val="auto"/>
              </w:rPr>
              <w:t>Edward</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N. Bagley (Director).......................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r>
      <w:tr>
        <w:trPr>
          <w:trHeight w:val="173"/>
        </w:trPr>
        <w:tc>
          <w:tcPr>
            <w:tcW w:w="600" w:type="dxa"/>
            <w:vAlign w:val="bottom"/>
          </w:tcPr>
          <w:p>
            <w:pPr>
              <w:spacing w:after="0"/>
              <w:rPr>
                <w:sz w:val="20"/>
                <w:szCs w:val="20"/>
                <w:color w:val="auto"/>
              </w:rPr>
            </w:pPr>
            <w:r>
              <w:rPr>
                <w:rFonts w:ascii="Courier New" w:cs="Courier New" w:eastAsia="Courier New" w:hAnsi="Courier New"/>
                <w:sz w:val="15"/>
                <w:szCs w:val="15"/>
                <w:color w:val="auto"/>
              </w:rPr>
              <w:t>Robert</w:t>
            </w:r>
          </w:p>
        </w:tc>
        <w:tc>
          <w:tcPr>
            <w:tcW w:w="4000" w:type="dxa"/>
            <w:vAlign w:val="bottom"/>
          </w:tcPr>
          <w:p>
            <w:pPr>
              <w:ind w:left="40"/>
              <w:spacing w:after="0"/>
              <w:rPr>
                <w:sz w:val="20"/>
                <w:szCs w:val="20"/>
                <w:color w:val="auto"/>
              </w:rPr>
            </w:pPr>
            <w:r>
              <w:rPr>
                <w:rFonts w:ascii="Courier New" w:cs="Courier New" w:eastAsia="Courier New" w:hAnsi="Courier New"/>
                <w:sz w:val="15"/>
                <w:szCs w:val="15"/>
                <w:color w:val="auto"/>
              </w:rPr>
              <w:t>O. Baldwin (father of Brad Baldwin)........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bl>
    <w:p>
      <w:pPr>
        <w:spacing w:after="0" w:line="351"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with GR2L for the years ending June 30, 1999, 1998 and 1997 was $82,989, $54,810 and $36,588. The following directors and/or executive officers and members of their immediate families have purchased the following interests in GR2L:</w:t>
      </w:r>
    </w:p>
    <w:p>
      <w:pPr>
        <w:spacing w:after="0" w:line="200" w:lineRule="exact"/>
        <w:rPr>
          <w:sz w:val="20"/>
          <w:szCs w:val="20"/>
          <w:color w:val="auto"/>
        </w:rPr>
      </w:pPr>
    </w:p>
    <w:p>
      <w:pPr>
        <w:spacing w:after="0" w:line="324" w:lineRule="exact"/>
        <w:rPr>
          <w:sz w:val="20"/>
          <w:szCs w:val="20"/>
          <w:color w:val="auto"/>
        </w:rPr>
      </w:pPr>
    </w:p>
    <w:tbl>
      <w:tblPr>
        <w:tblLayout w:type="fixed"/>
        <w:tblInd w:w="728" w:type="dxa"/>
        <w:tblCellMar>
          <w:top w:w="0" w:type="dxa"/>
          <w:left w:w="0" w:type="dxa"/>
          <w:bottom w:w="0" w:type="dxa"/>
          <w:right w:w="0" w:type="dxa"/>
        </w:tblCellMar>
      </w:tblPr>
      <w:tr>
        <w:trPr>
          <w:trHeight w:val="170"/>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rPr>
              <w:t>Brad R. Baldwin (Director).....................................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r>
      <w:tr>
        <w:trPr>
          <w:trHeight w:val="173"/>
        </w:trPr>
        <w:tc>
          <w:tcPr>
            <w:tcW w:w="5760" w:type="dxa"/>
            <w:vAlign w:val="bottom"/>
            <w:gridSpan w:val="3"/>
          </w:tcPr>
          <w:p>
            <w:pPr>
              <w:spacing w:after="0"/>
              <w:rPr>
                <w:sz w:val="20"/>
                <w:szCs w:val="20"/>
                <w:color w:val="auto"/>
              </w:rPr>
            </w:pPr>
            <w:r>
              <w:rPr>
                <w:rFonts w:ascii="Courier New" w:cs="Courier New" w:eastAsia="Courier New" w:hAnsi="Courier New"/>
                <w:sz w:val="15"/>
                <w:szCs w:val="15"/>
                <w:color w:val="auto"/>
              </w:rPr>
              <w:t>Robert O. Baldwin (father of Brad Baldwin).....................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9.58%</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Edward</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 Bagley</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Edward</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N. Bagley</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(Director, Father of Edward D. Bagley) .......</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13. EXHIBITS AND REPORTS ON FORM 8-K</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EXHIBITS REQUIRED BY ITEM 601 OF REGULATION S-B</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following exhibits are hereby incorporated by reference from the Company's Annual Report on Form 10-K for the fiscal year ended June 30, 1989. The exhibit numbers shown are those in the 1989 Form 10-K as originally filed.</w:t>
      </w:r>
    </w:p>
    <w:p>
      <w:pPr>
        <w:spacing w:after="0" w:line="200" w:lineRule="exact"/>
        <w:rPr>
          <w:sz w:val="20"/>
          <w:szCs w:val="20"/>
          <w:color w:val="auto"/>
        </w:rPr>
      </w:pPr>
    </w:p>
    <w:p>
      <w:pPr>
        <w:spacing w:after="0" w:line="321"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291"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40</w:t>
            </w:r>
          </w:p>
        </w:tc>
        <w:tc>
          <w:tcPr>
            <w:tcW w:w="6000" w:type="dxa"/>
            <w:vAlign w:val="bottom"/>
          </w:tcPr>
          <w:p>
            <w:pPr>
              <w:spacing w:after="0"/>
              <w:rPr>
                <w:sz w:val="14"/>
                <w:szCs w:val="14"/>
                <w:color w:val="auto"/>
              </w:rPr>
            </w:pPr>
          </w:p>
        </w:tc>
      </w:tr>
      <w:tr>
        <w:trPr>
          <w:trHeight w:val="694"/>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EXHIBIT</w:t>
            </w:r>
          </w:p>
        </w:tc>
        <w:tc>
          <w:tcPr>
            <w:tcW w:w="6000" w:type="dxa"/>
            <w:vAlign w:val="bottom"/>
          </w:tcPr>
          <w:p>
            <w:pPr>
              <w:spacing w:after="0"/>
              <w:rPr>
                <w:sz w:val="24"/>
                <w:szCs w:val="24"/>
                <w:color w:val="auto"/>
              </w:rPr>
            </w:pP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600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60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3.1(1)(2)</w:t>
            </w:r>
          </w:p>
        </w:tc>
        <w:tc>
          <w:tcPr>
            <w:tcW w:w="6000" w:type="dxa"/>
            <w:vAlign w:val="bottom"/>
          </w:tcPr>
          <w:p>
            <w:pPr>
              <w:ind w:left="220"/>
              <w:spacing w:after="0"/>
              <w:rPr>
                <w:sz w:val="20"/>
                <w:szCs w:val="20"/>
                <w:color w:val="auto"/>
              </w:rPr>
            </w:pPr>
            <w:r>
              <w:rPr>
                <w:rFonts w:ascii="Courier New" w:cs="Courier New" w:eastAsia="Courier New" w:hAnsi="Courier New"/>
                <w:sz w:val="15"/>
                <w:szCs w:val="15"/>
                <w:color w:val="auto"/>
              </w:rPr>
              <w:t>Articles of Incorporation and all amendments thereto through</w:t>
            </w:r>
          </w:p>
        </w:tc>
      </w:tr>
      <w:tr>
        <w:trPr>
          <w:trHeight w:val="173"/>
        </w:trPr>
        <w:tc>
          <w:tcPr>
            <w:tcW w:w="1120" w:type="dxa"/>
            <w:vAlign w:val="bottom"/>
          </w:tcPr>
          <w:p>
            <w:pPr>
              <w:spacing w:after="0"/>
              <w:rPr>
                <w:sz w:val="15"/>
                <w:szCs w:val="15"/>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5"/>
                <w:szCs w:val="15"/>
                <w:color w:val="auto"/>
              </w:rPr>
              <w:t>March 1, 1988. (Page 10)</w:t>
            </w: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10.4(1)(2)</w:t>
            </w:r>
          </w:p>
        </w:tc>
        <w:tc>
          <w:tcPr>
            <w:tcW w:w="6000" w:type="dxa"/>
            <w:vAlign w:val="bottom"/>
          </w:tcPr>
          <w:p>
            <w:pPr>
              <w:ind w:left="220"/>
              <w:spacing w:after="0"/>
              <w:rPr>
                <w:sz w:val="20"/>
                <w:szCs w:val="20"/>
                <w:color w:val="auto"/>
              </w:rPr>
            </w:pPr>
            <w:r>
              <w:rPr>
                <w:rFonts w:ascii="Courier New" w:cs="Courier New" w:eastAsia="Courier New" w:hAnsi="Courier New"/>
                <w:sz w:val="15"/>
                <w:szCs w:val="15"/>
                <w:color w:val="auto"/>
                <w:w w:val="99"/>
              </w:rPr>
              <w:t>VRC-1000 Purchase Agreement between Gentner Engineering Company,</w:t>
            </w:r>
          </w:p>
        </w:tc>
      </w:tr>
      <w:tr>
        <w:trPr>
          <w:trHeight w:val="173"/>
        </w:trPr>
        <w:tc>
          <w:tcPr>
            <w:tcW w:w="1120" w:type="dxa"/>
            <w:vAlign w:val="bottom"/>
          </w:tcPr>
          <w:p>
            <w:pPr>
              <w:spacing w:after="0"/>
              <w:rPr>
                <w:sz w:val="15"/>
                <w:szCs w:val="15"/>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5"/>
                <w:szCs w:val="15"/>
                <w:color w:val="auto"/>
              </w:rPr>
              <w:t>Inc. (a former subsidiary of the Company which was merged into</w:t>
            </w:r>
          </w:p>
        </w:tc>
      </w:tr>
      <w:tr>
        <w:trPr>
          <w:trHeight w:val="173"/>
        </w:trPr>
        <w:tc>
          <w:tcPr>
            <w:tcW w:w="1120" w:type="dxa"/>
            <w:vAlign w:val="bottom"/>
          </w:tcPr>
          <w:p>
            <w:pPr>
              <w:spacing w:after="0"/>
              <w:rPr>
                <w:sz w:val="15"/>
                <w:szCs w:val="15"/>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5"/>
                <w:szCs w:val="15"/>
                <w:color w:val="auto"/>
              </w:rPr>
              <w:t>the Company) and Gentner Research Ltd., dated January 1, 1987.</w:t>
            </w:r>
          </w:p>
        </w:tc>
      </w:tr>
      <w:tr>
        <w:trPr>
          <w:trHeight w:val="173"/>
        </w:trPr>
        <w:tc>
          <w:tcPr>
            <w:tcW w:w="1120" w:type="dxa"/>
            <w:vAlign w:val="bottom"/>
          </w:tcPr>
          <w:p>
            <w:pPr>
              <w:spacing w:after="0"/>
              <w:rPr>
                <w:sz w:val="15"/>
                <w:szCs w:val="15"/>
                <w:color w:val="auto"/>
              </w:rPr>
            </w:pPr>
          </w:p>
        </w:tc>
        <w:tc>
          <w:tcPr>
            <w:tcW w:w="6000" w:type="dxa"/>
            <w:vAlign w:val="bottom"/>
          </w:tcPr>
          <w:p>
            <w:pPr>
              <w:ind w:left="220"/>
              <w:spacing w:after="0"/>
              <w:rPr>
                <w:sz w:val="20"/>
                <w:szCs w:val="20"/>
                <w:color w:val="auto"/>
              </w:rPr>
            </w:pPr>
            <w:r>
              <w:rPr>
                <w:rFonts w:ascii="Courier New" w:cs="Courier New" w:eastAsia="Courier New" w:hAnsi="Courier New"/>
                <w:sz w:val="15"/>
                <w:szCs w:val="15"/>
                <w:color w:val="auto"/>
              </w:rPr>
              <w:t>(Page 71)</w:t>
            </w:r>
          </w:p>
        </w:tc>
      </w:tr>
    </w:tbl>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exhibits are hereby incorporated by reference from the Company's Annual Report on Form 10-K for the fiscal year ended June 30, 1991. The exhibit numbers shown are those in the 1991 Form 10-K as originally filed.</w:t>
      </w: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3.1(1)(2)</w:t>
      </w:r>
      <w:r>
        <w:rPr>
          <w:sz w:val="20"/>
          <w:szCs w:val="20"/>
          <w:color w:val="auto"/>
        </w:rPr>
        <w:tab/>
      </w:r>
      <w:r>
        <w:rPr>
          <w:rFonts w:ascii="Courier New" w:cs="Courier New" w:eastAsia="Courier New" w:hAnsi="Courier New"/>
          <w:sz w:val="15"/>
          <w:szCs w:val="15"/>
          <w:color w:val="auto"/>
        </w:rPr>
        <w:t>Amendment to Articles of Incorporation, dated July 1, 1991.</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(Page 65)</w:t>
      </w:r>
    </w:p>
    <w:p>
      <w:pPr>
        <w:spacing w:after="0" w:line="178" w:lineRule="exact"/>
        <w:rPr>
          <w:sz w:val="20"/>
          <w:szCs w:val="20"/>
          <w:color w:val="auto"/>
        </w:rPr>
      </w:pPr>
    </w:p>
    <w:p>
      <w:pPr>
        <w:ind w:left="1340" w:right="3019" w:hanging="1351"/>
        <w:spacing w:after="0" w:line="244" w:lineRule="auto"/>
        <w:tabs>
          <w:tab w:leader="none" w:pos="1320" w:val="left"/>
        </w:tabs>
        <w:rPr>
          <w:sz w:val="20"/>
          <w:szCs w:val="20"/>
          <w:color w:val="auto"/>
        </w:rPr>
      </w:pPr>
      <w:r>
        <w:rPr>
          <w:rFonts w:ascii="Courier New" w:cs="Courier New" w:eastAsia="Courier New" w:hAnsi="Courier New"/>
          <w:sz w:val="15"/>
          <w:szCs w:val="15"/>
          <w:color w:val="auto"/>
        </w:rPr>
        <w:t>10.1(1)(2)</w:t>
      </w:r>
      <w:r>
        <w:rPr>
          <w:sz w:val="20"/>
          <w:szCs w:val="20"/>
          <w:color w:val="auto"/>
        </w:rPr>
        <w:tab/>
      </w:r>
      <w:r>
        <w:rPr>
          <w:rFonts w:ascii="Courier New" w:cs="Courier New" w:eastAsia="Courier New" w:hAnsi="Courier New"/>
          <w:sz w:val="15"/>
          <w:szCs w:val="15"/>
          <w:color w:val="auto"/>
        </w:rPr>
        <w:t>Internal Modem Purchase Agreement between Gentner Engineering Company, Inc. and Gentner Research, Ltd., dated October 12, 1987. (Page 69)</w:t>
      </w:r>
    </w:p>
    <w:p>
      <w:pPr>
        <w:spacing w:after="0" w:line="175" w:lineRule="exact"/>
        <w:rPr>
          <w:sz w:val="20"/>
          <w:szCs w:val="20"/>
          <w:color w:val="auto"/>
        </w:rPr>
      </w:pPr>
    </w:p>
    <w:p>
      <w:pPr>
        <w:ind w:left="1340" w:right="3279" w:hanging="1351"/>
        <w:spacing w:after="0" w:line="244" w:lineRule="auto"/>
        <w:tabs>
          <w:tab w:leader="none" w:pos="1320" w:val="left"/>
        </w:tabs>
        <w:rPr>
          <w:sz w:val="20"/>
          <w:szCs w:val="20"/>
          <w:color w:val="auto"/>
        </w:rPr>
      </w:pPr>
      <w:r>
        <w:rPr>
          <w:rFonts w:ascii="Courier New" w:cs="Courier New" w:eastAsia="Courier New" w:hAnsi="Courier New"/>
          <w:sz w:val="15"/>
          <w:szCs w:val="15"/>
          <w:color w:val="auto"/>
        </w:rPr>
        <w:t>10.2(1)(2)</w:t>
      </w:r>
      <w:r>
        <w:rPr>
          <w:sz w:val="20"/>
          <w:szCs w:val="20"/>
          <w:color w:val="auto"/>
        </w:rPr>
        <w:tab/>
      </w:r>
      <w:r>
        <w:rPr>
          <w:rFonts w:ascii="Courier New" w:cs="Courier New" w:eastAsia="Courier New" w:hAnsi="Courier New"/>
          <w:sz w:val="15"/>
          <w:szCs w:val="15"/>
          <w:color w:val="auto"/>
        </w:rPr>
        <w:t>Digital Hybrid Purchase Agreement between Gentner Engineering, Inc. and Gentner Research, Ltd., dated September 8, 1988. (Page 74)</w:t>
      </w:r>
    </w:p>
    <w:p>
      <w:pPr>
        <w:spacing w:after="0" w:line="200" w:lineRule="exact"/>
        <w:rPr>
          <w:sz w:val="20"/>
          <w:szCs w:val="20"/>
          <w:color w:val="auto"/>
        </w:rPr>
      </w:pPr>
    </w:p>
    <w:p>
      <w:pPr>
        <w:spacing w:after="0" w:line="322"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10-KSB for the fiscal year ended June 30, 1993. The exhibit numbers shown are those in the 1993 Form 10-KSB as originally filed.</w:t>
      </w: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3(1)(2)</w:t>
      </w:r>
      <w:r>
        <w:rPr>
          <w:sz w:val="20"/>
          <w:szCs w:val="20"/>
          <w:color w:val="auto"/>
        </w:rPr>
        <w:tab/>
      </w:r>
      <w:r>
        <w:rPr>
          <w:rFonts w:ascii="Courier New" w:cs="Courier New" w:eastAsia="Courier New" w:hAnsi="Courier New"/>
          <w:sz w:val="15"/>
          <w:szCs w:val="15"/>
          <w:color w:val="auto"/>
        </w:rPr>
        <w:t>Bylaws, as amended on August 24, 1993. (Page 16)</w:t>
      </w:r>
    </w:p>
    <w:p>
      <w:pPr>
        <w:spacing w:after="0" w:line="351"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10-KSB for the fiscal year ended June 30, 1996. The exhibit numbers shown are those in the 1996 Form 10-KSB as originally filed.</w:t>
      </w: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10(1)(2)(3)</w:t>
      </w:r>
      <w:r>
        <w:rPr>
          <w:sz w:val="20"/>
          <w:szCs w:val="20"/>
          <w:color w:val="auto"/>
        </w:rPr>
        <w:tab/>
      </w:r>
      <w:r>
        <w:rPr>
          <w:rFonts w:ascii="Courier New" w:cs="Courier New" w:eastAsia="Courier New" w:hAnsi="Courier New"/>
          <w:sz w:val="15"/>
          <w:szCs w:val="15"/>
          <w:color w:val="auto"/>
        </w:rPr>
        <w:t>1990 Incentive Plan, as amended August 7, 1996 (Page 40)</w:t>
      </w:r>
    </w:p>
    <w:p>
      <w:pPr>
        <w:spacing w:after="0" w:line="200" w:lineRule="exact"/>
        <w:rPr>
          <w:sz w:val="20"/>
          <w:szCs w:val="20"/>
          <w:color w:val="auto"/>
        </w:rPr>
      </w:pPr>
    </w:p>
    <w:p>
      <w:pPr>
        <w:spacing w:after="0" w:line="32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10-KSB for the fiscal year ended June 30, 1997. The exhibit numbers shown are those in the 1997 Form 10-KSB as originally filed.</w:t>
      </w: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0"/>
          <w:szCs w:val="20"/>
          <w:color w:val="auto"/>
        </w:rPr>
      </w:pPr>
    </w:p>
    <w:p>
      <w:pPr>
        <w:ind w:left="1340" w:right="3019" w:hanging="1351"/>
        <w:spacing w:after="0" w:line="244" w:lineRule="auto"/>
        <w:tabs>
          <w:tab w:leader="none" w:pos="1320" w:val="left"/>
        </w:tabs>
        <w:rPr>
          <w:sz w:val="20"/>
          <w:szCs w:val="20"/>
          <w:color w:val="auto"/>
        </w:rPr>
      </w:pPr>
      <w:r>
        <w:rPr>
          <w:rFonts w:ascii="Courier New" w:cs="Courier New" w:eastAsia="Courier New" w:hAnsi="Courier New"/>
          <w:sz w:val="15"/>
          <w:szCs w:val="15"/>
          <w:color w:val="auto"/>
        </w:rPr>
        <w:t>10.1(1)(2)</w:t>
      </w:r>
      <w:r>
        <w:rPr>
          <w:sz w:val="20"/>
          <w:szCs w:val="20"/>
          <w:color w:val="auto"/>
        </w:rPr>
        <w:tab/>
      </w:r>
      <w:r>
        <w:rPr>
          <w:rFonts w:ascii="Courier New" w:cs="Courier New" w:eastAsia="Courier New" w:hAnsi="Courier New"/>
          <w:sz w:val="15"/>
          <w:szCs w:val="15"/>
          <w:color w:val="auto"/>
        </w:rPr>
        <w:t>Commercial Credit and Security Agreement, and Promissory Note, between Company and First Security Bank, N.A. (original aggregate amount of $2,500,000) (Page7)</w:t>
      </w:r>
    </w:p>
    <w:p>
      <w:pPr>
        <w:spacing w:after="0" w:line="175"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10.2(1)(2)(3)</w:t>
        <w:tab/>
        <w:t>1997 Employee Stock Purchase Plan (Page 37)</w:t>
      </w:r>
    </w:p>
    <w:p>
      <w:pPr>
        <w:sectPr>
          <w:pgSz w:w="11900" w:h="16838" w:orient="portrait"/>
          <w:cols w:equalWidth="0" w:num="1">
            <w:col w:w="10219"/>
          </w:cols>
          <w:pgMar w:left="240" w:top="291" w:right="1440" w:bottom="7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1" w:right="1440" w:bottom="728" w:gutter="0" w:footer="0" w:header="0"/>
          <w:type w:val="continuous"/>
        </w:sectPr>
      </w:pPr>
    </w:p>
    <w:bookmarkStart w:id="41" w:name="page42"/>
    <w:bookmarkEnd w:id="41"/>
    <w:tbl>
      <w:tblPr>
        <w:tblLayout w:type="fixed"/>
        <w:tblInd w:w="8" w:type="dxa"/>
        <w:tblCellMar>
          <w:top w:w="0" w:type="dxa"/>
          <w:left w:w="0" w:type="dxa"/>
          <w:bottom w:w="0" w:type="dxa"/>
          <w:right w:w="0" w:type="dxa"/>
        </w:tblCellMar>
      </w:tblPr>
      <w:tr>
        <w:trPr>
          <w:trHeight w:val="170"/>
        </w:trPr>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41</w:t>
            </w:r>
          </w:p>
        </w:tc>
        <w:tc>
          <w:tcPr>
            <w:tcW w:w="5900" w:type="dxa"/>
            <w:vAlign w:val="bottom"/>
          </w:tcPr>
          <w:p>
            <w:pPr>
              <w:spacing w:after="0"/>
              <w:rPr>
                <w:sz w:val="14"/>
                <w:szCs w:val="14"/>
                <w:color w:val="auto"/>
              </w:rPr>
            </w:pPr>
          </w:p>
        </w:tc>
      </w:tr>
      <w:tr>
        <w:trPr>
          <w:trHeight w:val="694"/>
        </w:trPr>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EXHIBIT</w:t>
            </w:r>
          </w:p>
        </w:tc>
        <w:tc>
          <w:tcPr>
            <w:tcW w:w="5900" w:type="dxa"/>
            <w:vAlign w:val="bottom"/>
          </w:tcPr>
          <w:p>
            <w:pPr>
              <w:spacing w:after="0"/>
              <w:rPr>
                <w:sz w:val="24"/>
                <w:szCs w:val="24"/>
                <w:color w:val="auto"/>
              </w:rPr>
            </w:pPr>
          </w:p>
        </w:tc>
      </w:tr>
      <w:tr>
        <w:trPr>
          <w:trHeight w:val="173"/>
        </w:trPr>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NUMBER</w:t>
            </w: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w:t>
            </w: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10.3(1)(2)</w:t>
            </w: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rPr>
              <w:t>Promissory Note in favor of Safeco Credit Company ($419,000)</w:t>
            </w:r>
          </w:p>
        </w:tc>
      </w:tr>
      <w:tr>
        <w:trPr>
          <w:trHeight w:val="173"/>
        </w:trPr>
        <w:tc>
          <w:tcPr>
            <w:tcW w:w="1120" w:type="dxa"/>
            <w:vAlign w:val="bottom"/>
          </w:tcPr>
          <w:p>
            <w:pPr>
              <w:spacing w:after="0"/>
              <w:rPr>
                <w:sz w:val="15"/>
                <w:szCs w:val="15"/>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rPr>
              <w:t>(Page 52)</w:t>
            </w:r>
          </w:p>
        </w:tc>
      </w:tr>
      <w:tr>
        <w:trPr>
          <w:trHeight w:val="347"/>
        </w:trPr>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10.4(1)(2)</w:t>
            </w: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rPr>
              <w:t>Commercial Credit and Security Agreement, and Promissory Note,</w:t>
            </w:r>
          </w:p>
        </w:tc>
      </w:tr>
      <w:tr>
        <w:trPr>
          <w:trHeight w:val="173"/>
        </w:trPr>
        <w:tc>
          <w:tcPr>
            <w:tcW w:w="1120" w:type="dxa"/>
            <w:vAlign w:val="bottom"/>
          </w:tcPr>
          <w:p>
            <w:pPr>
              <w:spacing w:after="0"/>
              <w:rPr>
                <w:sz w:val="15"/>
                <w:szCs w:val="15"/>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w w:val="99"/>
              </w:rPr>
              <w:t>between Company and First Security Bank ($322,716.55) (Page 53)</w:t>
            </w:r>
          </w:p>
        </w:tc>
      </w:tr>
      <w:tr>
        <w:trPr>
          <w:trHeight w:val="347"/>
        </w:trPr>
        <w:tc>
          <w:tcPr>
            <w:tcW w:w="112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10.5(1)(2)</w:t>
            </w: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rPr>
              <w:t>Lease between Company and Valley American Investment Company</w:t>
            </w:r>
          </w:p>
        </w:tc>
      </w:tr>
      <w:tr>
        <w:trPr>
          <w:trHeight w:val="173"/>
        </w:trPr>
        <w:tc>
          <w:tcPr>
            <w:tcW w:w="1120" w:type="dxa"/>
            <w:vAlign w:val="bottom"/>
          </w:tcPr>
          <w:p>
            <w:pPr>
              <w:spacing w:after="0"/>
              <w:rPr>
                <w:sz w:val="15"/>
                <w:szCs w:val="15"/>
                <w:color w:val="auto"/>
              </w:rPr>
            </w:pPr>
          </w:p>
        </w:tc>
        <w:tc>
          <w:tcPr>
            <w:tcW w:w="5900" w:type="dxa"/>
            <w:vAlign w:val="bottom"/>
          </w:tcPr>
          <w:p>
            <w:pPr>
              <w:ind w:left="220"/>
              <w:spacing w:after="0"/>
              <w:rPr>
                <w:sz w:val="20"/>
                <w:szCs w:val="20"/>
                <w:color w:val="auto"/>
              </w:rPr>
            </w:pPr>
            <w:r>
              <w:rPr>
                <w:rFonts w:ascii="Courier New" w:cs="Courier New" w:eastAsia="Courier New" w:hAnsi="Courier New"/>
                <w:sz w:val="15"/>
                <w:szCs w:val="15"/>
                <w:color w:val="auto"/>
              </w:rPr>
              <w:t>(Page 71)</w:t>
            </w:r>
          </w:p>
        </w:tc>
      </w:tr>
    </w:tbl>
    <w:p>
      <w:pPr>
        <w:spacing w:after="0" w:line="200" w:lineRule="exact"/>
        <w:rPr>
          <w:sz w:val="20"/>
          <w:szCs w:val="20"/>
          <w:color w:val="auto"/>
        </w:rPr>
      </w:pPr>
    </w:p>
    <w:p>
      <w:pPr>
        <w:spacing w:after="0" w:line="324"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10-KSB for the fiscal year ended June 30, 1998. The exhibit numbers shown are those in the 1998 Form 10-KSB as originally filed.</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EXHIBIT</w:t>
            </w:r>
          </w:p>
        </w:tc>
        <w:tc>
          <w:tcPr>
            <w:tcW w:w="5820" w:type="dxa"/>
            <w:vAlign w:val="bottom"/>
          </w:tcPr>
          <w:p>
            <w:pPr>
              <w:spacing w:after="0"/>
              <w:rPr>
                <w:sz w:val="14"/>
                <w:szCs w:val="14"/>
                <w:color w:val="auto"/>
              </w:rPr>
            </w:pPr>
          </w:p>
        </w:tc>
      </w:tr>
      <w:tr>
        <w:trPr>
          <w:trHeight w:val="173"/>
        </w:trPr>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NUMBER</w:t>
            </w:r>
          </w:p>
        </w:tc>
        <w:tc>
          <w:tcPr>
            <w:tcW w:w="5820" w:type="dxa"/>
            <w:vAlign w:val="bottom"/>
          </w:tcPr>
          <w:p>
            <w:pPr>
              <w:ind w:left="3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8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820" w:type="dxa"/>
            <w:vAlign w:val="bottom"/>
          </w:tcPr>
          <w:p>
            <w:pPr>
              <w:ind w:left="320"/>
              <w:spacing w:after="0"/>
              <w:rPr>
                <w:sz w:val="20"/>
                <w:szCs w:val="20"/>
                <w:color w:val="auto"/>
              </w:rPr>
            </w:pPr>
            <w:r>
              <w:rPr>
                <w:rFonts w:ascii="Courier New" w:cs="Courier New" w:eastAsia="Courier New" w:hAnsi="Courier New"/>
                <w:sz w:val="15"/>
                <w:szCs w:val="15"/>
                <w:color w:val="auto"/>
              </w:rPr>
              <w:t>1998 Stock Option Plan and Form of Grant</w:t>
            </w:r>
          </w:p>
        </w:tc>
      </w:tr>
      <w:tr>
        <w:trPr>
          <w:trHeight w:val="347"/>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820" w:type="dxa"/>
            <w:vAlign w:val="bottom"/>
          </w:tcPr>
          <w:p>
            <w:pPr>
              <w:ind w:left="320"/>
              <w:spacing w:after="0"/>
              <w:rPr>
                <w:sz w:val="20"/>
                <w:szCs w:val="20"/>
                <w:color w:val="auto"/>
              </w:rPr>
            </w:pPr>
            <w:r>
              <w:rPr>
                <w:rFonts w:ascii="Courier New" w:cs="Courier New" w:eastAsia="Courier New" w:hAnsi="Courier New"/>
                <w:sz w:val="15"/>
                <w:szCs w:val="15"/>
                <w:color w:val="auto"/>
                <w:w w:val="99"/>
              </w:rPr>
              <w:t>Modification Agreement dated as of December 24, 1997, between</w:t>
            </w:r>
          </w:p>
        </w:tc>
      </w:tr>
      <w:tr>
        <w:trPr>
          <w:trHeight w:val="173"/>
        </w:trPr>
        <w:tc>
          <w:tcPr>
            <w:tcW w:w="1020" w:type="dxa"/>
            <w:vAlign w:val="bottom"/>
          </w:tcPr>
          <w:p>
            <w:pPr>
              <w:spacing w:after="0"/>
              <w:rPr>
                <w:sz w:val="15"/>
                <w:szCs w:val="15"/>
                <w:color w:val="auto"/>
              </w:rPr>
            </w:pPr>
          </w:p>
        </w:tc>
        <w:tc>
          <w:tcPr>
            <w:tcW w:w="5820" w:type="dxa"/>
            <w:vAlign w:val="bottom"/>
          </w:tcPr>
          <w:p>
            <w:pPr>
              <w:ind w:left="320"/>
              <w:spacing w:after="0"/>
              <w:rPr>
                <w:sz w:val="20"/>
                <w:szCs w:val="20"/>
                <w:color w:val="auto"/>
              </w:rPr>
            </w:pPr>
            <w:r>
              <w:rPr>
                <w:rFonts w:ascii="Courier New" w:cs="Courier New" w:eastAsia="Courier New" w:hAnsi="Courier New"/>
                <w:sz w:val="15"/>
                <w:szCs w:val="15"/>
                <w:color w:val="auto"/>
              </w:rPr>
              <w:t>First Security Bank, N.A. and the Company</w:t>
            </w:r>
          </w:p>
        </w:tc>
      </w:tr>
    </w:tbl>
    <w:p>
      <w:pPr>
        <w:spacing w:after="0" w:line="351" w:lineRule="exact"/>
        <w:rPr>
          <w:sz w:val="20"/>
          <w:szCs w:val="20"/>
          <w:color w:val="auto"/>
        </w:rPr>
      </w:pPr>
    </w:p>
    <w:p>
      <w:pPr>
        <w:jc w:val="both"/>
        <w:ind w:left="8" w:right="3099"/>
        <w:spacing w:after="0" w:line="244" w:lineRule="auto"/>
        <w:rPr>
          <w:sz w:val="20"/>
          <w:szCs w:val="20"/>
          <w:color w:val="auto"/>
        </w:rPr>
      </w:pPr>
      <w:r>
        <w:rPr>
          <w:rFonts w:ascii="Courier New" w:cs="Courier New" w:eastAsia="Courier New" w:hAnsi="Courier New"/>
          <w:sz w:val="15"/>
          <w:szCs w:val="15"/>
          <w:color w:val="auto"/>
        </w:rPr>
        <w:t>The following documents are hereby incorporated by reference from the Company's Form 10-QSB for the fiscal quarter ended December 31, 1998. The exhibit numbers shown are those in the Form 10-QSB as originally filed.</w:t>
      </w:r>
    </w:p>
    <w:p>
      <w:pPr>
        <w:spacing w:after="0" w:line="200" w:lineRule="exact"/>
        <w:rPr>
          <w:sz w:val="20"/>
          <w:szCs w:val="20"/>
          <w:color w:val="auto"/>
        </w:rPr>
      </w:pPr>
    </w:p>
    <w:p>
      <w:pPr>
        <w:spacing w:after="0" w:line="321"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188"/>
        <w:spacing w:after="0"/>
        <w:tabs>
          <w:tab w:leader="none" w:pos="1327"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DESCRIPTION</w:t>
      </w:r>
    </w:p>
    <w:p>
      <w:pPr>
        <w:spacing w:after="0" w:line="3" w:lineRule="exact"/>
        <w:rPr>
          <w:sz w:val="20"/>
          <w:szCs w:val="20"/>
          <w:color w:val="auto"/>
        </w:rPr>
      </w:pPr>
    </w:p>
    <w:p>
      <w:pPr>
        <w:ind w:left="188"/>
        <w:spacing w:after="0"/>
        <w:tabs>
          <w:tab w:leader="none" w:pos="13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0"/>
          <w:szCs w:val="20"/>
          <w:color w:val="auto"/>
        </w:rPr>
      </w:pPr>
    </w:p>
    <w:p>
      <w:pPr>
        <w:ind w:left="1348" w:right="3279" w:hanging="1348"/>
        <w:spacing w:after="0" w:line="244" w:lineRule="auto"/>
        <w:tabs>
          <w:tab w:leader="none" w:pos="1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Loan Agreement, and Commercial Security Agreement between Company and Bank One, Utah, N.A. dated as of January 5, 1999 (original aggregate amount of $5,000,000) (Page 15)</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documents are filed as exhibits to this Form 10-KSB.</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EXHIBIT</w:t>
            </w:r>
          </w:p>
        </w:tc>
        <w:tc>
          <w:tcPr>
            <w:tcW w:w="4840" w:type="dxa"/>
            <w:vAlign w:val="bottom"/>
          </w:tcPr>
          <w:p>
            <w:pPr>
              <w:spacing w:after="0"/>
              <w:rPr>
                <w:sz w:val="14"/>
                <w:szCs w:val="14"/>
                <w:color w:val="auto"/>
              </w:rPr>
            </w:pPr>
          </w:p>
        </w:tc>
      </w:tr>
      <w:tr>
        <w:trPr>
          <w:trHeight w:val="173"/>
        </w:trPr>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NUMBER</w:t>
            </w:r>
          </w:p>
        </w:tc>
        <w:tc>
          <w:tcPr>
            <w:tcW w:w="4840" w:type="dxa"/>
            <w:vAlign w:val="bottom"/>
          </w:tcPr>
          <w:p>
            <w:pPr>
              <w:ind w:left="320"/>
              <w:spacing w:after="0"/>
              <w:rPr>
                <w:sz w:val="20"/>
                <w:szCs w:val="20"/>
                <w:color w:val="auto"/>
              </w:rPr>
            </w:pPr>
            <w:r>
              <w:rPr>
                <w:rFonts w:ascii="Courier New" w:cs="Courier New" w:eastAsia="Courier New" w:hAnsi="Courier New"/>
                <w:sz w:val="15"/>
                <w:szCs w:val="15"/>
                <w:color w:val="auto"/>
              </w:rPr>
              <w:t>DESCRIPTION</w:t>
            </w:r>
          </w:p>
        </w:tc>
      </w:tr>
      <w:tr>
        <w:trPr>
          <w:trHeight w:val="173"/>
        </w:trPr>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48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520"/>
        </w:trPr>
        <w:tc>
          <w:tcPr>
            <w:tcW w:w="102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88"/>
              </w:rPr>
              <w:t>23</w:t>
            </w:r>
          </w:p>
        </w:tc>
        <w:tc>
          <w:tcPr>
            <w:tcW w:w="4840" w:type="dxa"/>
            <w:vAlign w:val="bottom"/>
          </w:tcPr>
          <w:p>
            <w:pPr>
              <w:ind w:left="320"/>
              <w:spacing w:after="0"/>
              <w:rPr>
                <w:sz w:val="20"/>
                <w:szCs w:val="20"/>
                <w:color w:val="auto"/>
              </w:rPr>
            </w:pPr>
            <w:r>
              <w:rPr>
                <w:rFonts w:ascii="Courier New" w:cs="Courier New" w:eastAsia="Courier New" w:hAnsi="Courier New"/>
                <w:sz w:val="15"/>
                <w:szCs w:val="15"/>
                <w:color w:val="auto"/>
                <w:w w:val="99"/>
              </w:rPr>
              <w:t>Consent of Ernst &amp; Young LLP, Independent Auditors</w:t>
            </w:r>
          </w:p>
        </w:tc>
      </w:tr>
      <w:tr>
        <w:trPr>
          <w:trHeight w:val="347"/>
        </w:trPr>
        <w:tc>
          <w:tcPr>
            <w:tcW w:w="1020" w:type="dxa"/>
            <w:vAlign w:val="bottom"/>
          </w:tcPr>
          <w:p>
            <w:pPr>
              <w:jc w:val="right"/>
              <w:ind w:right="765"/>
              <w:spacing w:after="0"/>
              <w:rPr>
                <w:sz w:val="20"/>
                <w:szCs w:val="20"/>
                <w:color w:val="auto"/>
              </w:rPr>
            </w:pPr>
            <w:r>
              <w:rPr>
                <w:rFonts w:ascii="Courier New" w:cs="Courier New" w:eastAsia="Courier New" w:hAnsi="Courier New"/>
                <w:sz w:val="15"/>
                <w:szCs w:val="15"/>
                <w:color w:val="auto"/>
                <w:w w:val="88"/>
              </w:rPr>
              <w:t>27</w:t>
            </w:r>
          </w:p>
        </w:tc>
        <w:tc>
          <w:tcPr>
            <w:tcW w:w="4840" w:type="dxa"/>
            <w:vAlign w:val="bottom"/>
          </w:tcPr>
          <w:p>
            <w:pPr>
              <w:ind w:left="32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351" w:lineRule="exact"/>
        <w:rPr>
          <w:sz w:val="20"/>
          <w:szCs w:val="20"/>
          <w:color w:val="auto"/>
        </w:rPr>
      </w:pPr>
    </w:p>
    <w:p>
      <w:pPr>
        <w:ind w:left="728" w:right="3379" w:hanging="728"/>
        <w:spacing w:after="0" w:line="244" w:lineRule="auto"/>
        <w:tabs>
          <w:tab w:leader="none" w:pos="7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exhibits specifically incorporated into this Form 10-KSB by reference to other filings pursuant to the provisions of Rule 12B-32 under the Securities Exchange Act of 1934.</w:t>
      </w:r>
    </w:p>
    <w:p>
      <w:pPr>
        <w:spacing w:after="0" w:line="175" w:lineRule="exact"/>
        <w:rPr>
          <w:rFonts w:ascii="Courier New" w:cs="Courier New" w:eastAsia="Courier New" w:hAnsi="Courier New"/>
          <w:sz w:val="15"/>
          <w:szCs w:val="15"/>
          <w:color w:val="auto"/>
        </w:rPr>
      </w:pPr>
    </w:p>
    <w:p>
      <w:pPr>
        <w:ind w:left="728" w:right="3019" w:hanging="728"/>
        <w:spacing w:after="0" w:line="244" w:lineRule="auto"/>
        <w:tabs>
          <w:tab w:leader="none" w:pos="7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exhibits specifically incorporated into this Form 10-KSB by reference, pursuant to Regulation S-B, Item 10(f)(2). These documents are located under File No. 0-17219 and are located at the Securities and Exchange Commission, Public Reference Branch, 450 South 5th St., N.W., Washington, DC 20549.</w:t>
      </w:r>
    </w:p>
    <w:p>
      <w:pPr>
        <w:spacing w:after="0" w:line="175" w:lineRule="exact"/>
        <w:rPr>
          <w:rFonts w:ascii="Courier New" w:cs="Courier New" w:eastAsia="Courier New" w:hAnsi="Courier New"/>
          <w:sz w:val="15"/>
          <w:szCs w:val="15"/>
          <w:color w:val="auto"/>
        </w:rPr>
      </w:pPr>
    </w:p>
    <w:p>
      <w:pPr>
        <w:ind w:left="728" w:hanging="728"/>
        <w:spacing w:after="0"/>
        <w:tabs>
          <w:tab w:leader="none" w:pos="72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Identifies management or compensatory plans, contracts or arrangements.</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6"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no reports on Form 8-K during the latest fiscal quarter.</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27"/>
          </w:cols>
          <w:pgMar w:left="232" w:top="291" w:right="1440" w:bottom="1440" w:gutter="0" w:footer="0" w:header="0"/>
          <w:type w:val="continuous"/>
        </w:sectPr>
      </w:pPr>
    </w:p>
    <w:bookmarkStart w:id="42" w:name="page43"/>
    <w:bookmarkEnd w:id="42"/>
    <w:p>
      <w:pPr>
        <w:ind w:left="268"/>
        <w:spacing w:after="0"/>
        <w:rPr>
          <w:sz w:val="20"/>
          <w:szCs w:val="20"/>
          <w:color w:val="auto"/>
        </w:rPr>
      </w:pPr>
      <w:r>
        <w:rPr>
          <w:rFonts w:ascii="Courier New" w:cs="Courier New" w:eastAsia="Courier New" w:hAnsi="Courier New"/>
          <w:sz w:val="15"/>
          <w:szCs w:val="15"/>
          <w:color w:val="auto"/>
        </w:rPr>
        <w:t>42</w:t>
      </w:r>
    </w:p>
    <w:p>
      <w:pPr>
        <w:spacing w:after="0" w:line="177" w:lineRule="exact"/>
        <w:rPr>
          <w:sz w:val="20"/>
          <w:szCs w:val="20"/>
          <w:color w:val="auto"/>
        </w:rPr>
      </w:pPr>
    </w:p>
    <w:p>
      <w:pPr>
        <w:jc w:val="center"/>
        <w:ind w:right="3012"/>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left="8" w:right="3199"/>
        <w:spacing w:after="0" w:line="244" w:lineRule="auto"/>
        <w:rPr>
          <w:sz w:val="20"/>
          <w:szCs w:val="20"/>
          <w:color w:val="auto"/>
        </w:rPr>
      </w:pPr>
      <w:r>
        <w:rPr>
          <w:rFonts w:ascii="Courier New" w:cs="Courier New" w:eastAsia="Courier New" w:hAnsi="Courier New"/>
          <w:sz w:val="15"/>
          <w:szCs w:val="15"/>
          <w:color w:val="auto"/>
        </w:rPr>
        <w:t>In accordance with Section 13 or 15(d) of the Exchange Act, the Company caused this report to be signed on its behalf by the undersigned, thereunto duly authorized.</w:t>
      </w:r>
    </w:p>
    <w:p>
      <w:pPr>
        <w:spacing w:after="0" w:line="348"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GENTNER COMMUNICATIONS CORPORATION</w:t>
      </w:r>
    </w:p>
    <w:p>
      <w:pPr>
        <w:spacing w:after="0" w:line="177" w:lineRule="exact"/>
        <w:rPr>
          <w:sz w:val="20"/>
          <w:szCs w:val="20"/>
          <w:color w:val="auto"/>
        </w:rPr>
      </w:pPr>
    </w:p>
    <w:p>
      <w:pPr>
        <w:ind w:left="8"/>
        <w:spacing w:after="0"/>
        <w:tabs>
          <w:tab w:leader="none" w:pos="3487" w:val="left"/>
        </w:tabs>
        <w:rPr>
          <w:sz w:val="20"/>
          <w:szCs w:val="20"/>
          <w:color w:val="auto"/>
        </w:rPr>
      </w:pPr>
      <w:r>
        <w:rPr>
          <w:rFonts w:ascii="Courier New" w:cs="Courier New" w:eastAsia="Courier New" w:hAnsi="Courier New"/>
          <w:sz w:val="15"/>
          <w:szCs w:val="15"/>
          <w:color w:val="auto"/>
        </w:rPr>
        <w:t>September 16, 1999</w:t>
      </w:r>
      <w:r>
        <w:rPr>
          <w:sz w:val="20"/>
          <w:szCs w:val="20"/>
          <w:color w:val="auto"/>
        </w:rPr>
        <w:tab/>
      </w:r>
      <w:r>
        <w:rPr>
          <w:rFonts w:ascii="Courier New" w:cs="Courier New" w:eastAsia="Courier New" w:hAnsi="Courier New"/>
          <w:sz w:val="15"/>
          <w:szCs w:val="15"/>
          <w:color w:val="auto"/>
        </w:rPr>
        <w:t>By: /s/ Frances M. Flood</w:t>
      </w:r>
    </w:p>
    <w:p>
      <w:pPr>
        <w:spacing w:after="0" w:line="3"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Frances M. Flood</w:t>
      </w:r>
    </w:p>
    <w:p>
      <w:pPr>
        <w:spacing w:after="0" w:line="3" w:lineRule="exact"/>
        <w:rPr>
          <w:sz w:val="20"/>
          <w:szCs w:val="20"/>
          <w:color w:val="auto"/>
        </w:rPr>
      </w:pPr>
    </w:p>
    <w:p>
      <w:pPr>
        <w:ind w:left="3868"/>
        <w:spacing w:after="0"/>
        <w:rPr>
          <w:sz w:val="20"/>
          <w:szCs w:val="20"/>
          <w:color w:val="auto"/>
        </w:rPr>
      </w:pPr>
      <w:r>
        <w:rPr>
          <w:rFonts w:ascii="Courier New" w:cs="Courier New" w:eastAsia="Courier New" w:hAnsi="Courier New"/>
          <w:sz w:val="15"/>
          <w:szCs w:val="15"/>
          <w:color w:val="auto"/>
        </w:rPr>
        <w:t>Chief Executive Officer</w:t>
      </w:r>
    </w:p>
    <w:p>
      <w:pPr>
        <w:spacing w:after="0" w:line="178" w:lineRule="exact"/>
        <w:rPr>
          <w:sz w:val="20"/>
          <w:szCs w:val="20"/>
          <w:color w:val="auto"/>
        </w:rPr>
      </w:pPr>
    </w:p>
    <w:p>
      <w:pPr>
        <w:ind w:left="8" w:right="3279"/>
        <w:spacing w:after="0" w:line="244" w:lineRule="auto"/>
        <w:rPr>
          <w:sz w:val="20"/>
          <w:szCs w:val="20"/>
          <w:color w:val="auto"/>
        </w:rPr>
      </w:pPr>
      <w:r>
        <w:rPr>
          <w:rFonts w:ascii="Courier New" w:cs="Courier New" w:eastAsia="Courier New" w:hAnsi="Courier New"/>
          <w:sz w:val="15"/>
          <w:szCs w:val="15"/>
          <w:color w:val="auto"/>
        </w:rPr>
        <w:t>In accordance with the Exchange Act, this report has been signed below by the following persons on behalf of the Company and in the capacities and on the dates indicated.</w:t>
      </w:r>
    </w:p>
    <w:p>
      <w:pPr>
        <w:spacing w:after="0" w:line="200" w:lineRule="exact"/>
        <w:rPr>
          <w:sz w:val="20"/>
          <w:szCs w:val="20"/>
          <w:color w:val="auto"/>
        </w:rPr>
      </w:pPr>
    </w:p>
    <w:p>
      <w:pPr>
        <w:spacing w:after="0" w:line="321" w:lineRule="exact"/>
        <w:rPr>
          <w:sz w:val="20"/>
          <w:szCs w:val="20"/>
          <w:color w:val="auto"/>
        </w:rPr>
      </w:pPr>
    </w:p>
    <w:p>
      <w:pPr>
        <w:ind w:left="448"/>
        <w:spacing w:after="0"/>
        <w:tabs>
          <w:tab w:leader="none" w:pos="3047" w:val="left"/>
          <w:tab w:leader="none" w:pos="5927"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Date</w:t>
      </w:r>
    </w:p>
    <w:p>
      <w:pPr>
        <w:spacing w:after="0" w:line="3" w:lineRule="exact"/>
        <w:rPr>
          <w:sz w:val="20"/>
          <w:szCs w:val="20"/>
          <w:color w:val="auto"/>
        </w:rPr>
      </w:pPr>
    </w:p>
    <w:p>
      <w:pPr>
        <w:ind w:left="448"/>
        <w:spacing w:after="0"/>
        <w:tabs>
          <w:tab w:leader="none" w:pos="3047" w:val="left"/>
          <w:tab w:leader="none" w:pos="592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88"/>
        <w:spacing w:after="0"/>
        <w:tabs>
          <w:tab w:leader="none" w:pos="2327" w:val="left"/>
          <w:tab w:leader="none" w:pos="5387" w:val="left"/>
        </w:tabs>
        <w:rPr>
          <w:sz w:val="20"/>
          <w:szCs w:val="20"/>
          <w:color w:val="auto"/>
        </w:rPr>
      </w:pPr>
      <w:r>
        <w:rPr>
          <w:rFonts w:ascii="Courier New" w:cs="Courier New" w:eastAsia="Courier New" w:hAnsi="Courier New"/>
          <w:sz w:val="15"/>
          <w:szCs w:val="15"/>
          <w:color w:val="auto"/>
        </w:rPr>
        <w:t>/s/ Frances M. Flood</w:t>
      </w:r>
      <w:r>
        <w:rPr>
          <w:sz w:val="20"/>
          <w:szCs w:val="20"/>
          <w:color w:val="auto"/>
        </w:rPr>
        <w:tab/>
      </w:r>
      <w:r>
        <w:rPr>
          <w:rFonts w:ascii="Courier New" w:cs="Courier New" w:eastAsia="Courier New" w:hAnsi="Courier New"/>
          <w:sz w:val="15"/>
          <w:szCs w:val="15"/>
          <w:color w:val="auto"/>
        </w:rPr>
        <w:t>Director, President and</w:t>
      </w:r>
      <w:r>
        <w:rPr>
          <w:sz w:val="20"/>
          <w:szCs w:val="20"/>
          <w:color w:val="auto"/>
        </w:rPr>
        <w:tab/>
      </w:r>
      <w:r>
        <w:rPr>
          <w:rFonts w:ascii="Courier New" w:cs="Courier New" w:eastAsia="Courier New" w:hAnsi="Courier New"/>
          <w:sz w:val="14"/>
          <w:szCs w:val="14"/>
          <w:color w:val="auto"/>
        </w:rPr>
        <w:t>September 16, 1999</w:t>
      </w:r>
    </w:p>
    <w:p>
      <w:pPr>
        <w:spacing w:after="0" w:line="3" w:lineRule="exact"/>
        <w:rPr>
          <w:sz w:val="20"/>
          <w:szCs w:val="20"/>
          <w:color w:val="auto"/>
        </w:rPr>
      </w:pPr>
    </w:p>
    <w:p>
      <w:pPr>
        <w:ind w:left="8"/>
        <w:spacing w:after="0"/>
        <w:tabs>
          <w:tab w:leader="none" w:pos="250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Chief Executive Officer</w:t>
      </w:r>
    </w:p>
    <w:p>
      <w:pPr>
        <w:spacing w:after="0" w:line="3" w:lineRule="exact"/>
        <w:rPr>
          <w:sz w:val="20"/>
          <w:szCs w:val="20"/>
          <w:color w:val="auto"/>
        </w:rPr>
      </w:pPr>
    </w:p>
    <w:p>
      <w:pPr>
        <w:ind w:left="8"/>
        <w:spacing w:after="0"/>
        <w:tabs>
          <w:tab w:leader="none" w:pos="2327" w:val="left"/>
        </w:tabs>
        <w:rPr>
          <w:sz w:val="20"/>
          <w:szCs w:val="20"/>
          <w:color w:val="auto"/>
        </w:rPr>
      </w:pPr>
      <w:r>
        <w:rPr>
          <w:rFonts w:ascii="Courier New" w:cs="Courier New" w:eastAsia="Courier New" w:hAnsi="Courier New"/>
          <w:sz w:val="15"/>
          <w:szCs w:val="15"/>
          <w:color w:val="auto"/>
        </w:rPr>
        <w:t>Frances M. Flood</w:t>
      </w:r>
      <w:r>
        <w:rPr>
          <w:sz w:val="20"/>
          <w:szCs w:val="20"/>
          <w:color w:val="auto"/>
        </w:rPr>
        <w:tab/>
      </w:r>
      <w:r>
        <w:rPr>
          <w:rFonts w:ascii="Courier New" w:cs="Courier New" w:eastAsia="Courier New" w:hAnsi="Courier New"/>
          <w:sz w:val="15"/>
          <w:szCs w:val="15"/>
          <w:color w:val="auto"/>
        </w:rPr>
        <w:t>(Principal Executive Officer)</w:t>
      </w:r>
    </w:p>
    <w:p>
      <w:pPr>
        <w:spacing w:after="0" w:line="177" w:lineRule="exact"/>
        <w:rPr>
          <w:sz w:val="20"/>
          <w:szCs w:val="20"/>
          <w:color w:val="auto"/>
        </w:rPr>
      </w:pPr>
    </w:p>
    <w:p>
      <w:pPr>
        <w:ind w:left="88"/>
        <w:spacing w:after="0"/>
        <w:tabs>
          <w:tab w:leader="none" w:pos="2327" w:val="left"/>
          <w:tab w:leader="none" w:pos="5387" w:val="left"/>
        </w:tabs>
        <w:rPr>
          <w:sz w:val="20"/>
          <w:szCs w:val="20"/>
          <w:color w:val="auto"/>
        </w:rPr>
      </w:pPr>
      <w:r>
        <w:rPr>
          <w:rFonts w:ascii="Courier New" w:cs="Courier New" w:eastAsia="Courier New" w:hAnsi="Courier New"/>
          <w:sz w:val="15"/>
          <w:szCs w:val="15"/>
          <w:color w:val="auto"/>
        </w:rPr>
        <w:t>/s/ Susie Strohm</w:t>
      </w:r>
      <w:r>
        <w:rPr>
          <w:sz w:val="20"/>
          <w:szCs w:val="20"/>
          <w:color w:val="auto"/>
        </w:rPr>
        <w:tab/>
      </w:r>
      <w:r>
        <w:rPr>
          <w:rFonts w:ascii="Courier New" w:cs="Courier New" w:eastAsia="Courier New" w:hAnsi="Courier New"/>
          <w:sz w:val="15"/>
          <w:szCs w:val="15"/>
          <w:color w:val="auto"/>
        </w:rPr>
        <w:t>Vice President - Finance</w:t>
      </w:r>
      <w:r>
        <w:rPr>
          <w:sz w:val="20"/>
          <w:szCs w:val="20"/>
          <w:color w:val="auto"/>
        </w:rPr>
        <w:tab/>
      </w:r>
      <w:r>
        <w:rPr>
          <w:rFonts w:ascii="Courier New" w:cs="Courier New" w:eastAsia="Courier New" w:hAnsi="Courier New"/>
          <w:sz w:val="14"/>
          <w:szCs w:val="14"/>
          <w:color w:val="auto"/>
        </w:rPr>
        <w:t>September 16, 1999</w:t>
      </w:r>
    </w:p>
    <w:p>
      <w:pPr>
        <w:spacing w:after="0" w:line="3" w:lineRule="exact"/>
        <w:rPr>
          <w:sz w:val="20"/>
          <w:szCs w:val="20"/>
          <w:color w:val="auto"/>
        </w:rPr>
      </w:pPr>
    </w:p>
    <w:p>
      <w:pPr>
        <w:ind w:left="8"/>
        <w:spacing w:after="0"/>
        <w:tabs>
          <w:tab w:leader="none" w:pos="250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(Principal Financial and</w:t>
      </w:r>
    </w:p>
    <w:p>
      <w:pPr>
        <w:spacing w:after="0" w:line="3" w:lineRule="exact"/>
        <w:rPr>
          <w:sz w:val="20"/>
          <w:szCs w:val="20"/>
          <w:color w:val="auto"/>
        </w:rPr>
      </w:pPr>
    </w:p>
    <w:p>
      <w:pPr>
        <w:ind w:left="8"/>
        <w:spacing w:after="0"/>
        <w:tabs>
          <w:tab w:leader="none" w:pos="2327" w:val="left"/>
        </w:tabs>
        <w:rPr>
          <w:sz w:val="20"/>
          <w:szCs w:val="20"/>
          <w:color w:val="auto"/>
        </w:rPr>
      </w:pPr>
      <w:r>
        <w:rPr>
          <w:rFonts w:ascii="Courier New" w:cs="Courier New" w:eastAsia="Courier New" w:hAnsi="Courier New"/>
          <w:sz w:val="15"/>
          <w:szCs w:val="15"/>
          <w:color w:val="auto"/>
        </w:rPr>
        <w:t>Susie Strohm</w:t>
      </w:r>
      <w:r>
        <w:rPr>
          <w:sz w:val="20"/>
          <w:szCs w:val="20"/>
          <w:color w:val="auto"/>
        </w:rPr>
        <w:tab/>
      </w:r>
      <w:r>
        <w:rPr>
          <w:rFonts w:ascii="Courier New" w:cs="Courier New" w:eastAsia="Courier New" w:hAnsi="Courier New"/>
          <w:sz w:val="14"/>
          <w:szCs w:val="14"/>
          <w:color w:val="auto"/>
        </w:rPr>
        <w:t>Accounting Officer)</w:t>
      </w:r>
    </w:p>
    <w:p>
      <w:pPr>
        <w:spacing w:after="0" w:line="350" w:lineRule="exact"/>
        <w:rPr>
          <w:sz w:val="20"/>
          <w:szCs w:val="20"/>
          <w:color w:val="auto"/>
        </w:rPr>
      </w:pPr>
    </w:p>
    <w:p>
      <w:pPr>
        <w:jc w:val="center"/>
        <w:ind w:right="2912"/>
        <w:spacing w:after="0"/>
        <w:rPr>
          <w:sz w:val="20"/>
          <w:szCs w:val="20"/>
          <w:color w:val="auto"/>
        </w:rPr>
      </w:pPr>
      <w:r>
        <w:rPr>
          <w:rFonts w:ascii="Courier New" w:cs="Courier New" w:eastAsia="Courier New" w:hAnsi="Courier New"/>
          <w:sz w:val="15"/>
          <w:szCs w:val="15"/>
          <w:color w:val="auto"/>
        </w:rPr>
        <w:t>POWER OF ATTORNEY</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each of Frances M. Flood and Susie Strohm, jointly and severally, his true and lawful attorney in fact and agent, with full power of substitution for him and in his name, place and stead, in any and all capacities, to sign any or all amendments to this report on Form 10-KSB and to file the same, with all exhibits thereto and other documents in connection therewith with the Securities and Exchange Commission, hereby ratifying and confirming all that each said attorney in fact or his substitute or substitutes may do or cause to be done by virtue hereof.</w:t>
      </w:r>
    </w:p>
    <w:p>
      <w:pPr>
        <w:spacing w:after="0" w:line="200" w:lineRule="exact"/>
        <w:rPr>
          <w:sz w:val="20"/>
          <w:szCs w:val="20"/>
          <w:color w:val="auto"/>
        </w:rPr>
      </w:pPr>
    </w:p>
    <w:p>
      <w:pPr>
        <w:spacing w:after="0" w:line="325" w:lineRule="exact"/>
        <w:rPr>
          <w:sz w:val="20"/>
          <w:szCs w:val="20"/>
          <w:color w:val="auto"/>
        </w:rPr>
      </w:pPr>
    </w:p>
    <w:p>
      <w:pPr>
        <w:ind w:left="448"/>
        <w:spacing w:after="0"/>
        <w:tabs>
          <w:tab w:leader="none" w:pos="3047" w:val="left"/>
          <w:tab w:leader="none" w:pos="6387"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Date</w:t>
      </w:r>
    </w:p>
    <w:p>
      <w:pPr>
        <w:spacing w:after="0" w:line="3" w:lineRule="exact"/>
        <w:rPr>
          <w:sz w:val="20"/>
          <w:szCs w:val="20"/>
          <w:color w:val="auto"/>
        </w:rPr>
      </w:pPr>
    </w:p>
    <w:p>
      <w:pPr>
        <w:ind w:left="448"/>
        <w:spacing w:after="0"/>
        <w:tabs>
          <w:tab w:leader="none" w:pos="3047" w:val="left"/>
          <w:tab w:leader="none" w:pos="638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8"/>
        <w:spacing w:after="0"/>
        <w:tabs>
          <w:tab w:leader="none" w:pos="3047" w:val="left"/>
          <w:tab w:leader="none" w:pos="5747" w:val="left"/>
        </w:tabs>
        <w:rPr>
          <w:sz w:val="20"/>
          <w:szCs w:val="20"/>
          <w:color w:val="auto"/>
        </w:rPr>
      </w:pPr>
      <w:r>
        <w:rPr>
          <w:rFonts w:ascii="Courier New" w:cs="Courier New" w:eastAsia="Courier New" w:hAnsi="Courier New"/>
          <w:sz w:val="15"/>
          <w:szCs w:val="15"/>
          <w:color w:val="auto"/>
        </w:rPr>
        <w:t>/s/ Edward Dallin Bagley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16, 1999</w:t>
      </w:r>
    </w:p>
    <w:p>
      <w:pPr>
        <w:spacing w:after="0" w:line="3" w:lineRule="exact"/>
        <w:rPr>
          <w:sz w:val="20"/>
          <w:szCs w:val="20"/>
          <w:color w:val="auto"/>
        </w:rPr>
      </w:pPr>
    </w:p>
    <w:p>
      <w:pPr>
        <w:ind w:left="188" w:hanging="188"/>
        <w:spacing w:after="0"/>
        <w:tabs>
          <w:tab w:leader="none" w:pos="18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Dallin Bagley</w:t>
      </w:r>
    </w:p>
    <w:p>
      <w:pPr>
        <w:spacing w:after="0" w:line="177" w:lineRule="exact"/>
        <w:rPr>
          <w:sz w:val="20"/>
          <w:szCs w:val="20"/>
          <w:color w:val="auto"/>
        </w:rPr>
      </w:pPr>
    </w:p>
    <w:p>
      <w:pPr>
        <w:ind w:left="8"/>
        <w:spacing w:after="0"/>
        <w:tabs>
          <w:tab w:leader="none" w:pos="3047" w:val="left"/>
          <w:tab w:leader="none" w:pos="5747" w:val="left"/>
        </w:tabs>
        <w:rPr>
          <w:sz w:val="20"/>
          <w:szCs w:val="20"/>
          <w:color w:val="auto"/>
        </w:rPr>
      </w:pPr>
      <w:r>
        <w:rPr>
          <w:rFonts w:ascii="Courier New" w:cs="Courier New" w:eastAsia="Courier New" w:hAnsi="Courier New"/>
          <w:sz w:val="15"/>
          <w:szCs w:val="15"/>
          <w:color w:val="auto"/>
        </w:rPr>
        <w:t>/s/ Edward N. Bagley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16, 1999</w:t>
      </w:r>
    </w:p>
    <w:p>
      <w:pPr>
        <w:spacing w:after="0" w:line="3" w:lineRule="exact"/>
        <w:rPr>
          <w:sz w:val="20"/>
          <w:szCs w:val="20"/>
          <w:color w:val="auto"/>
        </w:rPr>
      </w:pPr>
    </w:p>
    <w:p>
      <w:pPr>
        <w:ind w:left="188" w:hanging="188"/>
        <w:spacing w:after="0"/>
        <w:tabs>
          <w:tab w:leader="none" w:pos="18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N. Bagley</w:t>
      </w:r>
    </w:p>
    <w:p>
      <w:pPr>
        <w:spacing w:after="0" w:line="177" w:lineRule="exact"/>
        <w:rPr>
          <w:sz w:val="20"/>
          <w:szCs w:val="20"/>
          <w:color w:val="auto"/>
        </w:rPr>
      </w:pPr>
    </w:p>
    <w:p>
      <w:pPr>
        <w:ind w:left="8"/>
        <w:spacing w:after="0"/>
        <w:tabs>
          <w:tab w:leader="none" w:pos="3047" w:val="left"/>
          <w:tab w:leader="none" w:pos="5747" w:val="left"/>
        </w:tabs>
        <w:rPr>
          <w:sz w:val="20"/>
          <w:szCs w:val="20"/>
          <w:color w:val="auto"/>
        </w:rPr>
      </w:pPr>
      <w:r>
        <w:rPr>
          <w:rFonts w:ascii="Courier New" w:cs="Courier New" w:eastAsia="Courier New" w:hAnsi="Courier New"/>
          <w:sz w:val="15"/>
          <w:szCs w:val="15"/>
          <w:color w:val="auto"/>
        </w:rPr>
        <w:t>/s/ Brad R. Baldwin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16, 1999</w:t>
      </w:r>
    </w:p>
    <w:p>
      <w:pPr>
        <w:spacing w:after="0" w:line="3" w:lineRule="exact"/>
        <w:rPr>
          <w:sz w:val="20"/>
          <w:szCs w:val="20"/>
          <w:color w:val="auto"/>
        </w:rPr>
      </w:pPr>
    </w:p>
    <w:p>
      <w:pPr>
        <w:ind w:left="188" w:hanging="188"/>
        <w:spacing w:after="0"/>
        <w:tabs>
          <w:tab w:leader="none" w:pos="18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Brad R. Baldwin</w:t>
      </w:r>
    </w:p>
    <w:p>
      <w:pPr>
        <w:spacing w:after="0" w:line="177" w:lineRule="exact"/>
        <w:rPr>
          <w:sz w:val="20"/>
          <w:szCs w:val="20"/>
          <w:color w:val="auto"/>
        </w:rPr>
      </w:pPr>
    </w:p>
    <w:p>
      <w:pPr>
        <w:ind w:left="8"/>
        <w:spacing w:after="0"/>
        <w:tabs>
          <w:tab w:leader="none" w:pos="3047" w:val="left"/>
          <w:tab w:leader="none" w:pos="5747" w:val="left"/>
        </w:tabs>
        <w:rPr>
          <w:sz w:val="20"/>
          <w:szCs w:val="20"/>
          <w:color w:val="auto"/>
        </w:rPr>
      </w:pPr>
      <w:r>
        <w:rPr>
          <w:rFonts w:ascii="Courier New" w:cs="Courier New" w:eastAsia="Courier New" w:hAnsi="Courier New"/>
          <w:sz w:val="15"/>
          <w:szCs w:val="15"/>
          <w:color w:val="auto"/>
        </w:rPr>
        <w:t>/s/ Dwight H. Egan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16, 1999</w:t>
      </w:r>
    </w:p>
    <w:p>
      <w:pPr>
        <w:spacing w:after="0" w:line="3" w:lineRule="exact"/>
        <w:rPr>
          <w:sz w:val="20"/>
          <w:szCs w:val="20"/>
          <w:color w:val="auto"/>
        </w:rPr>
      </w:pPr>
    </w:p>
    <w:p>
      <w:pPr>
        <w:ind w:left="188" w:hanging="188"/>
        <w:spacing w:after="0"/>
        <w:tabs>
          <w:tab w:leader="none" w:pos="18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Dwight H. Egan</w:t>
      </w:r>
    </w:p>
    <w:p>
      <w:pPr>
        <w:spacing w:after="0" w:line="177" w:lineRule="exact"/>
        <w:rPr>
          <w:sz w:val="20"/>
          <w:szCs w:val="20"/>
          <w:color w:val="auto"/>
        </w:rPr>
      </w:pPr>
    </w:p>
    <w:p>
      <w:pPr>
        <w:ind w:left="8"/>
        <w:spacing w:after="0"/>
        <w:tabs>
          <w:tab w:leader="none" w:pos="3047" w:val="left"/>
          <w:tab w:leader="none" w:pos="5747" w:val="left"/>
        </w:tabs>
        <w:rPr>
          <w:sz w:val="20"/>
          <w:szCs w:val="20"/>
          <w:color w:val="auto"/>
        </w:rPr>
      </w:pPr>
      <w:r>
        <w:rPr>
          <w:rFonts w:ascii="Courier New" w:cs="Courier New" w:eastAsia="Courier New" w:hAnsi="Courier New"/>
          <w:sz w:val="15"/>
          <w:szCs w:val="15"/>
          <w:color w:val="auto"/>
        </w:rPr>
        <w:t>/s/ K. Bradford Romney</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16, 1999</w:t>
      </w:r>
    </w:p>
    <w:p>
      <w:pPr>
        <w:spacing w:after="0" w:line="3"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K. Bradford Romney</w:t>
      </w:r>
    </w:p>
    <w:p>
      <w:pPr>
        <w:spacing w:after="0" w:line="177" w:lineRule="exact"/>
        <w:rPr>
          <w:sz w:val="20"/>
          <w:szCs w:val="20"/>
          <w:color w:val="auto"/>
        </w:rPr>
      </w:pPr>
    </w:p>
    <w:p>
      <w:pPr>
        <w:ind w:left="8"/>
        <w:spacing w:after="0"/>
        <w:tabs>
          <w:tab w:leader="none" w:pos="3047" w:val="left"/>
          <w:tab w:leader="none" w:pos="5747" w:val="left"/>
        </w:tabs>
        <w:rPr>
          <w:sz w:val="20"/>
          <w:szCs w:val="20"/>
          <w:color w:val="auto"/>
        </w:rPr>
      </w:pPr>
      <w:r>
        <w:rPr>
          <w:rFonts w:ascii="Courier New" w:cs="Courier New" w:eastAsia="Courier New" w:hAnsi="Courier New"/>
          <w:sz w:val="15"/>
          <w:szCs w:val="15"/>
          <w:color w:val="auto"/>
        </w:rPr>
        <w:t>/s/ Randall J. Wichinski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September 16, 1999</w:t>
      </w:r>
    </w:p>
    <w:p>
      <w:pPr>
        <w:spacing w:after="0" w:line="3" w:lineRule="exact"/>
        <w:rPr>
          <w:sz w:val="20"/>
          <w:szCs w:val="20"/>
          <w:color w:val="auto"/>
        </w:rPr>
      </w:pPr>
    </w:p>
    <w:p>
      <w:pPr>
        <w:ind w:left="188" w:hanging="188"/>
        <w:spacing w:after="0"/>
        <w:tabs>
          <w:tab w:leader="none" w:pos="18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Randall J. Wichinski</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291"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20" w:space="620"/>
            <w:col w:w="8879"/>
          </w:cols>
          <w:pgMar w:left="240" w:top="291"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7" w:lineRule="exact"/>
        <w:rPr>
          <w:sz w:val="20"/>
          <w:szCs w:val="20"/>
          <w:color w:val="auto"/>
        </w:rPr>
      </w:pPr>
    </w:p>
    <w:p>
      <w:pPr>
        <w:sectPr>
          <w:pgSz w:w="11900" w:h="16838" w:orient="portrait"/>
          <w:cols w:equalWidth="0" w:num="2">
            <w:col w:w="620" w:space="720"/>
            <w:col w:w="887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ectPr>
          <w:pgSz w:w="11900" w:h="16838" w:orient="portrait"/>
          <w:cols w:equalWidth="0" w:num="2">
            <w:col w:w="620" w:space="720"/>
            <w:col w:w="8879"/>
          </w:cols>
          <w:pgMar w:left="240" w:top="29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1"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EXHIBIT 23</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(Form S-8) pertaining to the 1998 Stock Option Plan, 1997 Employee Stock Purchase Plan, and the 1990 Incentive Plan of Gentner Communications Corporation of our report dated July 30, 1999, with respect to the financial statements of Gentner Communications Corporation included in the Annual Report (Form 10-KSB) for the year ended June 30, 1999.</w:t>
      </w:r>
    </w:p>
    <w:p>
      <w:pPr>
        <w:spacing w:after="0" w:line="3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Ernst &amp; Young,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1999</w:t>
      </w:r>
    </w:p>
    <w:p>
      <w:pPr>
        <w:sectPr>
          <w:pgSz w:w="11900" w:h="16838" w:orient="portrait"/>
          <w:cols w:equalWidth="0" w:num="1">
            <w:col w:w="10219"/>
          </w:cols>
          <w:pgMar w:left="240" w:top="14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5</w:t>
      </w:r>
    </w:p>
    <w:p>
      <w:pPr>
        <w:spacing w:after="0" w:line="35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YEAR</w:t>
      </w:r>
    </w:p>
    <w:p>
      <w:pPr>
        <w:spacing w:after="0" w:line="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JUN-30-1999</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JUN-30-1999</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$3,922,183</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$2,483,294</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$(241,000)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$2,858,835</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$9,281,753</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$6,085,864</w:t>
      </w:r>
    </w:p>
    <w:p>
      <w:pPr>
        <w:spacing w:after="0" w:line="3"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$(3,959,905)</w:t>
      </w:r>
    </w:p>
    <w:p>
      <w:pPr>
        <w:spacing w:after="0" w:line="3" w:lineRule="exact"/>
        <w:rPr>
          <w:sz w:val="20"/>
          <w:szCs w:val="20"/>
          <w:color w:val="auto"/>
        </w:rPr>
      </w:pPr>
    </w:p>
    <w:p>
      <w:pPr>
        <w:jc w:val="right"/>
        <w:ind w:right="6619"/>
        <w:spacing w:after="0"/>
        <w:rPr>
          <w:sz w:val="20"/>
          <w:szCs w:val="20"/>
          <w:color w:val="auto"/>
        </w:rPr>
      </w:pPr>
      <w:r>
        <w:rPr>
          <w:rFonts w:ascii="Courier New" w:cs="Courier New" w:eastAsia="Courier New" w:hAnsi="Courier New"/>
          <w:sz w:val="15"/>
          <w:szCs w:val="15"/>
          <w:color w:val="auto"/>
        </w:rPr>
        <w:t>$11,519,414</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$2,494,666</w:t>
      </w:r>
    </w:p>
    <w:p>
      <w:pPr>
        <w:spacing w:after="0" w:line="3"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$8,130</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$8,344,229</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$11,519,414</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$22,990,327</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$22,990,327</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$9,877,687</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$18,847,043</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$148,253</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$4,065,171</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$1,520,700</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$2,544,471</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$2,544,471</w:t>
      </w:r>
    </w:p>
    <w:p>
      <w:pPr>
        <w:spacing w:after="0" w:line="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$0.31</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$0.30</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1."/>
      <w:numFmt w:val="decimal"/>
      <w:start w:val="12"/>
    </w:lvl>
  </w:abstractNum>
  <w:abstractNum w:abstractNumId="12">
    <w:nsid w:val="3F2DBA31"/>
    <w:multiLevelType w:val="hybridMultilevel"/>
    <w:lvl w:ilvl="0">
      <w:lvlJc w:val="left"/>
      <w:lvlText w:val="%1."/>
      <w:numFmt w:val="decimal"/>
      <w:start w:val="13"/>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4"/>
    </w:lvl>
  </w:abstractNum>
  <w:abstractNum w:abstractNumId="16">
    <w:nsid w:val="436C6125"/>
    <w:multiLevelType w:val="hybridMultilevel"/>
    <w:lvl w:ilvl="0">
      <w:lvlJc w:val="left"/>
      <w:lvlText w:val="%1"/>
      <w:numFmt w:val="decimal"/>
      <w:start w:val="10"/>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2019-12-13T18:07:52Z</dcterms:created>
  <dcterms:modified xsi:type="dcterms:W3CDTF">2019-12-13T18:07:52Z</dcterms:modified>
</cp:coreProperties>
</file>