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147320</wp:posOffset>
            </wp:positionH>
            <wp:positionV relativeFrom="page">
              <wp:posOffset>245745</wp:posOffset>
            </wp:positionV>
            <wp:extent cx="7267575"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5560"/>
                    </a:xfrm>
                    <a:prstGeom prst="rect">
                      <a:avLst/>
                    </a:prstGeom>
                    <a:noFill/>
                  </pic:spPr>
                </pic:pic>
              </a:graphicData>
            </a:graphic>
          </wp:anchor>
        </w:drawing>
        <w:t>UNITED STATES</w:t>
      </w:r>
    </w:p>
    <w:p>
      <w:pPr>
        <w:spacing w:after="0" w:line="24" w:lineRule="exact"/>
        <w:rPr>
          <w:sz w:val="24"/>
          <w:szCs w:val="24"/>
          <w:color w:val="auto"/>
        </w:rPr>
      </w:pPr>
    </w:p>
    <w:p>
      <w:pPr>
        <w:jc w:val="center"/>
        <w:ind w:right="-70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703"/>
        <w:spacing w:after="0"/>
        <w:rPr>
          <w:sz w:val="20"/>
          <w:szCs w:val="20"/>
          <w:color w:val="auto"/>
        </w:rPr>
      </w:pPr>
      <w:r>
        <w:rPr>
          <w:rFonts w:ascii="Arial" w:cs="Arial" w:eastAsia="Arial" w:hAnsi="Arial"/>
          <w:sz w:val="16"/>
          <w:szCs w:val="16"/>
          <w:b w:val="1"/>
          <w:bCs w:val="1"/>
          <w:color w:val="auto"/>
        </w:rPr>
        <w:t>WASHINGTON, D.C. 20549</w:t>
      </w:r>
    </w:p>
    <w:p>
      <w:pPr>
        <w:spacing w:after="0" w:line="233" w:lineRule="exact"/>
        <w:rPr>
          <w:sz w:val="24"/>
          <w:szCs w:val="24"/>
          <w:color w:val="auto"/>
        </w:rPr>
      </w:pPr>
    </w:p>
    <w:p>
      <w:pPr>
        <w:ind w:left="5244"/>
        <w:spacing w:after="0"/>
        <w:rPr>
          <w:sz w:val="20"/>
          <w:szCs w:val="20"/>
          <w:color w:val="auto"/>
        </w:rPr>
      </w:pPr>
      <w:r>
        <w:rPr>
          <w:rFonts w:ascii="Arial" w:cs="Arial" w:eastAsia="Arial" w:hAnsi="Arial"/>
          <w:sz w:val="19"/>
          <w:szCs w:val="19"/>
          <w:b w:val="1"/>
          <w:bCs w:val="1"/>
          <w:color w:val="auto"/>
        </w:rPr>
        <w:t>FORM 8-K</w:t>
      </w:r>
    </w:p>
    <w:p>
      <w:pPr>
        <w:spacing w:after="0" w:line="256" w:lineRule="exact"/>
        <w:rPr>
          <w:sz w:val="24"/>
          <w:szCs w:val="24"/>
          <w:color w:val="auto"/>
        </w:rPr>
      </w:pPr>
    </w:p>
    <w:p>
      <w:pPr>
        <w:jc w:val="center"/>
        <w:ind w:right="-703"/>
        <w:spacing w:after="0"/>
        <w:rPr>
          <w:sz w:val="20"/>
          <w:szCs w:val="20"/>
          <w:color w:val="auto"/>
        </w:rPr>
      </w:pPr>
      <w:r>
        <w:rPr>
          <w:rFonts w:ascii="Arial" w:cs="Arial" w:eastAsia="Arial" w:hAnsi="Arial"/>
          <w:sz w:val="16"/>
          <w:szCs w:val="16"/>
          <w:b w:val="1"/>
          <w:bCs w:val="1"/>
          <w:color w:val="auto"/>
        </w:rPr>
        <w:t>CURRENT REPORT PURSUANT</w:t>
      </w:r>
    </w:p>
    <w:p>
      <w:pPr>
        <w:spacing w:after="0" w:line="24" w:lineRule="exact"/>
        <w:rPr>
          <w:sz w:val="24"/>
          <w:szCs w:val="24"/>
          <w:color w:val="auto"/>
        </w:rPr>
      </w:pPr>
    </w:p>
    <w:p>
      <w:pPr>
        <w:jc w:val="center"/>
        <w:ind w:right="-703"/>
        <w:spacing w:after="0"/>
        <w:rPr>
          <w:sz w:val="20"/>
          <w:szCs w:val="20"/>
          <w:color w:val="auto"/>
        </w:rPr>
      </w:pPr>
      <w:r>
        <w:rPr>
          <w:rFonts w:ascii="Arial" w:cs="Arial" w:eastAsia="Arial" w:hAnsi="Arial"/>
          <w:sz w:val="16"/>
          <w:szCs w:val="16"/>
          <w:b w:val="1"/>
          <w:bCs w:val="1"/>
          <w:color w:val="auto"/>
        </w:rPr>
        <w:t>TO SECTION 13 OR 15(D) OF</w:t>
      </w:r>
    </w:p>
    <w:p>
      <w:pPr>
        <w:spacing w:after="0" w:line="7" w:lineRule="exact"/>
        <w:rPr>
          <w:sz w:val="24"/>
          <w:szCs w:val="24"/>
          <w:color w:val="auto"/>
        </w:rPr>
      </w:pPr>
    </w:p>
    <w:p>
      <w:pPr>
        <w:jc w:val="center"/>
        <w:ind w:right="-703"/>
        <w:spacing w:after="0"/>
        <w:rPr>
          <w:sz w:val="20"/>
          <w:szCs w:val="20"/>
          <w:color w:val="auto"/>
        </w:rPr>
      </w:pPr>
      <w:r>
        <w:rPr>
          <w:rFonts w:ascii="Arial" w:cs="Arial" w:eastAsia="Arial" w:hAnsi="Arial"/>
          <w:sz w:val="16"/>
          <w:szCs w:val="16"/>
          <w:b w:val="1"/>
          <w:bCs w:val="1"/>
          <w:color w:val="auto"/>
        </w:rPr>
        <w:t>THE SECURITIES EXCHANGE ACT OF 1934</w:t>
      </w:r>
    </w:p>
    <w:p>
      <w:pPr>
        <w:spacing w:after="0" w:line="230" w:lineRule="exact"/>
        <w:rPr>
          <w:sz w:val="24"/>
          <w:szCs w:val="24"/>
          <w:color w:val="auto"/>
        </w:rPr>
      </w:pPr>
    </w:p>
    <w:p>
      <w:pPr>
        <w:ind w:left="3644"/>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u w:val="single" w:color="auto"/>
          <w:color w:val="auto"/>
        </w:rPr>
        <w:t>August 31, 2006</w:t>
      </w:r>
    </w:p>
    <w:p>
      <w:pPr>
        <w:spacing w:after="0" w:line="250" w:lineRule="exact"/>
        <w:rPr>
          <w:sz w:val="24"/>
          <w:szCs w:val="24"/>
          <w:color w:val="auto"/>
        </w:rPr>
      </w:pPr>
    </w:p>
    <w:p>
      <w:pPr>
        <w:jc w:val="center"/>
        <w:ind w:right="-703"/>
        <w:spacing w:after="0"/>
        <w:rPr>
          <w:sz w:val="20"/>
          <w:szCs w:val="20"/>
          <w:color w:val="auto"/>
        </w:rPr>
      </w:pPr>
      <w:r>
        <w:rPr>
          <w:rFonts w:ascii="Arial" w:cs="Arial" w:eastAsia="Arial" w:hAnsi="Arial"/>
          <w:sz w:val="19"/>
          <w:szCs w:val="19"/>
          <w:b w:val="1"/>
          <w:bCs w:val="1"/>
          <w:u w:val="single" w:color="auto"/>
          <w:color w:val="auto"/>
        </w:rPr>
        <w:t>ClearOne Communications, Inc.</w:t>
      </w:r>
    </w:p>
    <w:p>
      <w:pPr>
        <w:spacing w:after="0" w:line="30" w:lineRule="exact"/>
        <w:rPr>
          <w:sz w:val="24"/>
          <w:szCs w:val="24"/>
          <w:color w:val="auto"/>
        </w:rPr>
      </w:pPr>
    </w:p>
    <w:p>
      <w:pPr>
        <w:ind w:left="3984"/>
        <w:spacing w:after="0"/>
        <w:rPr>
          <w:sz w:val="20"/>
          <w:szCs w:val="20"/>
          <w:color w:val="auto"/>
        </w:rPr>
      </w:pPr>
      <w:r>
        <w:rPr>
          <w:rFonts w:ascii="Arial" w:cs="Arial" w:eastAsia="Arial" w:hAnsi="Arial"/>
          <w:sz w:val="16"/>
          <w:szCs w:val="16"/>
          <w:color w:val="auto"/>
        </w:rPr>
        <w:t>(Exact Name of Registrant as Specified in Its Charter)</w:t>
      </w:r>
    </w:p>
    <w:p>
      <w:pPr>
        <w:spacing w:after="0" w:line="233" w:lineRule="exact"/>
        <w:rPr>
          <w:sz w:val="24"/>
          <w:szCs w:val="24"/>
          <w:color w:val="auto"/>
        </w:rPr>
      </w:pPr>
    </w:p>
    <w:p>
      <w:pPr>
        <w:jc w:val="center"/>
        <w:ind w:right="-703"/>
        <w:spacing w:after="0"/>
        <w:rPr>
          <w:sz w:val="20"/>
          <w:szCs w:val="20"/>
          <w:color w:val="auto"/>
        </w:rPr>
      </w:pPr>
      <w:r>
        <w:rPr>
          <w:rFonts w:ascii="Arial" w:cs="Arial" w:eastAsia="Arial" w:hAnsi="Arial"/>
          <w:sz w:val="16"/>
          <w:szCs w:val="16"/>
          <w:b w:val="1"/>
          <w:bCs w:val="1"/>
          <w:u w:val="single" w:color="auto"/>
          <w:color w:val="auto"/>
        </w:rPr>
        <w:t>Utah</w:t>
      </w:r>
    </w:p>
    <w:p>
      <w:pPr>
        <w:spacing w:after="0" w:line="24" w:lineRule="exact"/>
        <w:rPr>
          <w:sz w:val="24"/>
          <w:szCs w:val="24"/>
          <w:color w:val="auto"/>
        </w:rPr>
      </w:pPr>
    </w:p>
    <w:p>
      <w:pPr>
        <w:jc w:val="center"/>
        <w:ind w:right="-703"/>
        <w:spacing w:after="0"/>
        <w:rPr>
          <w:sz w:val="20"/>
          <w:szCs w:val="20"/>
          <w:color w:val="auto"/>
        </w:rPr>
      </w:pPr>
      <w:r>
        <w:rPr>
          <w:rFonts w:ascii="Arial" w:cs="Arial" w:eastAsia="Arial" w:hAnsi="Arial"/>
          <w:sz w:val="16"/>
          <w:szCs w:val="16"/>
          <w:color w:val="auto"/>
        </w:rPr>
        <w:t>(State or Other Jurisdiction of Incorporation)</w:t>
      </w:r>
    </w:p>
    <w:p>
      <w:pPr>
        <w:spacing w:after="0" w:line="230" w:lineRule="exact"/>
        <w:rPr>
          <w:sz w:val="24"/>
          <w:szCs w:val="24"/>
          <w:color w:val="auto"/>
        </w:rPr>
      </w:pPr>
    </w:p>
    <w:tbl>
      <w:tblPr>
        <w:tblLayout w:type="fixed"/>
        <w:tblInd w:w="2304" w:type="dxa"/>
        <w:tblCellMar>
          <w:top w:w="0" w:type="dxa"/>
          <w:left w:w="0" w:type="dxa"/>
          <w:bottom w:w="0" w:type="dxa"/>
          <w:right w:w="0" w:type="dxa"/>
        </w:tblCellMar>
      </w:tblPr>
      <w:tr>
        <w:trPr>
          <w:trHeight w:val="247"/>
        </w:trPr>
        <w:tc>
          <w:tcPr>
            <w:tcW w:w="3420" w:type="dxa"/>
            <w:vAlign w:val="bottom"/>
            <w:tcBorders>
              <w:bottom w:val="single" w:sz="8" w:color="auto"/>
            </w:tcBorders>
          </w:tcPr>
          <w:p>
            <w:pPr>
              <w:jc w:val="right"/>
              <w:ind w:right="1540"/>
              <w:spacing w:after="0"/>
              <w:rPr>
                <w:sz w:val="20"/>
                <w:szCs w:val="20"/>
                <w:color w:val="auto"/>
              </w:rPr>
            </w:pPr>
            <w:r>
              <w:rPr>
                <w:rFonts w:ascii="Arial" w:cs="Arial" w:eastAsia="Arial" w:hAnsi="Arial"/>
                <w:sz w:val="16"/>
                <w:szCs w:val="16"/>
                <w:b w:val="1"/>
                <w:bCs w:val="1"/>
                <w:color w:val="auto"/>
              </w:rPr>
              <w:t>000-17219</w:t>
            </w:r>
          </w:p>
        </w:tc>
        <w:tc>
          <w:tcPr>
            <w:tcW w:w="3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88"/>
              </w:rPr>
              <w:t>87-0398877</w:t>
            </w:r>
          </w:p>
        </w:tc>
      </w:tr>
      <w:tr>
        <w:trPr>
          <w:trHeight w:val="179"/>
        </w:trPr>
        <w:tc>
          <w:tcPr>
            <w:tcW w:w="3420" w:type="dxa"/>
            <w:vAlign w:val="bottom"/>
          </w:tcPr>
          <w:p>
            <w:pPr>
              <w:jc w:val="right"/>
              <w:ind w:right="760"/>
              <w:spacing w:after="0" w:line="179" w:lineRule="exact"/>
              <w:rPr>
                <w:sz w:val="20"/>
                <w:szCs w:val="20"/>
                <w:color w:val="auto"/>
              </w:rPr>
            </w:pPr>
            <w:r>
              <w:rPr>
                <w:rFonts w:ascii="Arial" w:cs="Arial" w:eastAsia="Arial" w:hAnsi="Arial"/>
                <w:sz w:val="16"/>
                <w:szCs w:val="16"/>
                <w:color w:val="auto"/>
              </w:rPr>
              <w:t>(Commission File Number)</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gridSpan w:val="3"/>
          </w:tcPr>
          <w:p>
            <w:pPr>
              <w:jc w:val="center"/>
              <w:ind w:right="400"/>
              <w:spacing w:after="0" w:line="179" w:lineRule="exact"/>
              <w:rPr>
                <w:sz w:val="20"/>
                <w:szCs w:val="20"/>
                <w:color w:val="auto"/>
              </w:rPr>
            </w:pPr>
            <w:r>
              <w:rPr>
                <w:rFonts w:ascii="Arial" w:cs="Arial" w:eastAsia="Arial" w:hAnsi="Arial"/>
                <w:sz w:val="16"/>
                <w:szCs w:val="16"/>
                <w:color w:val="auto"/>
                <w:w w:val="91"/>
              </w:rPr>
              <w:t>(I.R.S. employer</w:t>
            </w:r>
          </w:p>
        </w:tc>
      </w:tr>
      <w:tr>
        <w:trPr>
          <w:trHeight w:val="204"/>
        </w:trPr>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20" w:type="dxa"/>
            <w:vAlign w:val="bottom"/>
            <w:gridSpan w:val="3"/>
          </w:tcPr>
          <w:p>
            <w:pPr>
              <w:jc w:val="center"/>
              <w:ind w:right="380"/>
              <w:spacing w:after="0"/>
              <w:rPr>
                <w:sz w:val="20"/>
                <w:szCs w:val="20"/>
                <w:color w:val="auto"/>
              </w:rPr>
            </w:pPr>
            <w:r>
              <w:rPr>
                <w:rFonts w:ascii="Arial" w:cs="Arial" w:eastAsia="Arial" w:hAnsi="Arial"/>
                <w:sz w:val="16"/>
                <w:szCs w:val="16"/>
                <w:color w:val="auto"/>
                <w:w w:val="94"/>
              </w:rPr>
              <w:t>identification number)</w:t>
            </w:r>
          </w:p>
        </w:tc>
      </w:tr>
      <w:tr>
        <w:trPr>
          <w:trHeight w:val="434"/>
        </w:trPr>
        <w:tc>
          <w:tcPr>
            <w:tcW w:w="4220" w:type="dxa"/>
            <w:vAlign w:val="bottom"/>
            <w:gridSpan w:val="3"/>
          </w:tcPr>
          <w:p>
            <w:pPr>
              <w:jc w:val="center"/>
              <w:ind w:left="620"/>
              <w:spacing w:after="0"/>
              <w:rPr>
                <w:sz w:val="20"/>
                <w:szCs w:val="20"/>
                <w:color w:val="auto"/>
              </w:rPr>
            </w:pPr>
            <w:r>
              <w:rPr>
                <w:rFonts w:ascii="Arial" w:cs="Arial" w:eastAsia="Arial" w:hAnsi="Arial"/>
                <w:sz w:val="16"/>
                <w:szCs w:val="16"/>
                <w:b w:val="1"/>
                <w:bCs w:val="1"/>
                <w:color w:val="auto"/>
                <w:w w:val="90"/>
              </w:rPr>
              <w:t>1825 Research Way, Salt Lake City, Utah</w:t>
            </w:r>
          </w:p>
        </w:tc>
        <w:tc>
          <w:tcPr>
            <w:tcW w:w="262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84119</w:t>
            </w:r>
          </w:p>
        </w:tc>
      </w:tr>
      <w:tr>
        <w:trPr>
          <w:trHeight w:val="204"/>
        </w:trPr>
        <w:tc>
          <w:tcPr>
            <w:tcW w:w="4220" w:type="dxa"/>
            <w:vAlign w:val="bottom"/>
            <w:tcBorders>
              <w:top w:val="single" w:sz="8" w:color="auto"/>
            </w:tcBorders>
            <w:gridSpan w:val="3"/>
          </w:tcPr>
          <w:p>
            <w:pPr>
              <w:jc w:val="center"/>
              <w:ind w:left="620"/>
              <w:spacing w:after="0"/>
              <w:rPr>
                <w:sz w:val="20"/>
                <w:szCs w:val="20"/>
                <w:color w:val="auto"/>
              </w:rPr>
            </w:pPr>
            <w:r>
              <w:rPr>
                <w:rFonts w:ascii="Arial" w:cs="Arial" w:eastAsia="Arial" w:hAnsi="Arial"/>
                <w:sz w:val="16"/>
                <w:szCs w:val="16"/>
                <w:color w:val="auto"/>
                <w:w w:val="91"/>
              </w:rPr>
              <w:t>(Address of principal executive offices)</w:t>
            </w: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(Zip Code)</w:t>
            </w:r>
          </w:p>
        </w:tc>
      </w:tr>
    </w:tbl>
    <w:p>
      <w:pPr>
        <w:spacing w:after="0" w:line="234" w:lineRule="exact"/>
        <w:rPr>
          <w:sz w:val="24"/>
          <w:szCs w:val="24"/>
          <w:color w:val="auto"/>
        </w:rPr>
      </w:pPr>
    </w:p>
    <w:p>
      <w:pPr>
        <w:jc w:val="center"/>
        <w:ind w:right="-703"/>
        <w:spacing w:after="0"/>
        <w:rPr>
          <w:sz w:val="20"/>
          <w:szCs w:val="20"/>
          <w:color w:val="auto"/>
        </w:rPr>
      </w:pPr>
      <w:r>
        <w:rPr>
          <w:rFonts w:ascii="Arial" w:cs="Arial" w:eastAsia="Arial" w:hAnsi="Arial"/>
          <w:sz w:val="16"/>
          <w:szCs w:val="16"/>
          <w:b w:val="1"/>
          <w:bCs w:val="1"/>
          <w:u w:val="single" w:color="auto"/>
          <w:color w:val="auto"/>
        </w:rPr>
        <w:t>(801) 975-7200</w:t>
      </w:r>
    </w:p>
    <w:p>
      <w:pPr>
        <w:spacing w:after="0" w:line="24" w:lineRule="exact"/>
        <w:rPr>
          <w:sz w:val="24"/>
          <w:szCs w:val="24"/>
          <w:color w:val="auto"/>
        </w:rPr>
      </w:pPr>
    </w:p>
    <w:p>
      <w:pPr>
        <w:jc w:val="center"/>
        <w:ind w:right="-703"/>
        <w:spacing w:after="0"/>
        <w:rPr>
          <w:sz w:val="20"/>
          <w:szCs w:val="20"/>
          <w:color w:val="auto"/>
        </w:rPr>
      </w:pPr>
      <w:r>
        <w:rPr>
          <w:rFonts w:ascii="Arial" w:cs="Arial" w:eastAsia="Arial" w:hAnsi="Arial"/>
          <w:sz w:val="16"/>
          <w:szCs w:val="16"/>
          <w:color w:val="auto"/>
        </w:rPr>
        <w:t>(Registrant’s Telephone Number, Including Area Code)</w:t>
      </w:r>
    </w:p>
    <w:p>
      <w:pPr>
        <w:spacing w:after="0" w:line="230" w:lineRule="exact"/>
        <w:rPr>
          <w:sz w:val="24"/>
          <w:szCs w:val="24"/>
          <w:color w:val="auto"/>
        </w:rPr>
      </w:pPr>
    </w:p>
    <w:p>
      <w:pPr>
        <w:jc w:val="center"/>
        <w:ind w:right="-703"/>
        <w:spacing w:after="0"/>
        <w:rPr>
          <w:sz w:val="20"/>
          <w:szCs w:val="20"/>
          <w:color w:val="auto"/>
        </w:rPr>
      </w:pPr>
      <w:r>
        <w:rPr>
          <w:rFonts w:ascii="Arial" w:cs="Arial" w:eastAsia="Arial" w:hAnsi="Arial"/>
          <w:sz w:val="16"/>
          <w:szCs w:val="16"/>
          <w:b w:val="1"/>
          <w:bCs w:val="1"/>
          <w:u w:val="single" w:color="auto"/>
          <w:color w:val="auto"/>
        </w:rPr>
        <w:t>Not applicable</w:t>
      </w:r>
    </w:p>
    <w:p>
      <w:pPr>
        <w:spacing w:after="0" w:line="24" w:lineRule="exact"/>
        <w:rPr>
          <w:sz w:val="24"/>
          <w:szCs w:val="24"/>
          <w:color w:val="auto"/>
        </w:rPr>
      </w:pPr>
    </w:p>
    <w:p>
      <w:pPr>
        <w:jc w:val="center"/>
        <w:ind w:right="-70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34"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69" w:lineRule="exact"/>
        <w:rPr>
          <w:sz w:val="24"/>
          <w:szCs w:val="24"/>
          <w:color w:val="auto"/>
        </w:rPr>
      </w:pPr>
    </w:p>
    <w:p>
      <w:pPr>
        <w:ind w:left="84" w:hanging="84"/>
        <w:spacing w:after="0"/>
        <w:tabs>
          <w:tab w:leader="none" w:pos="84"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w:t>
      </w:r>
    </w:p>
    <w:p>
      <w:pPr>
        <w:spacing w:after="0" w:line="19" w:lineRule="exact"/>
        <w:rPr>
          <w:rFonts w:ascii="Arial" w:cs="Arial" w:eastAsia="Arial" w:hAnsi="Arial"/>
          <w:sz w:val="16"/>
          <w:szCs w:val="16"/>
          <w:color w:val="auto"/>
        </w:rPr>
      </w:pPr>
    </w:p>
    <w:p>
      <w:pPr>
        <w:ind w:left="84" w:hanging="84"/>
        <w:spacing w:after="0"/>
        <w:tabs>
          <w:tab w:leader="none" w:pos="84" w:val="left"/>
        </w:tabs>
        <w:numPr>
          <w:ilvl w:val="0"/>
          <w:numId w:val="1"/>
        </w:numPr>
        <w:rPr>
          <w:rFonts w:ascii="Arial" w:cs="Arial" w:eastAsia="Arial" w:hAnsi="Arial"/>
          <w:sz w:val="16"/>
          <w:szCs w:val="16"/>
          <w:color w:val="auto"/>
        </w:rPr>
      </w:pPr>
      <w:r>
        <w:rPr>
          <w:rFonts w:ascii="Arial" w:cs="Arial" w:eastAsia="Arial" w:hAnsi="Arial"/>
          <w:sz w:val="16"/>
          <w:szCs w:val="16"/>
          <w:color w:val="auto"/>
        </w:rPr>
        <w:t>] Soliciting material pursuant to Rule 14a-12 under the Exchange Act (17 CFR 240.14a-12)</w:t>
      </w:r>
    </w:p>
    <w:p>
      <w:pPr>
        <w:spacing w:after="0" w:line="7" w:lineRule="exact"/>
        <w:rPr>
          <w:rFonts w:ascii="Arial" w:cs="Arial" w:eastAsia="Arial" w:hAnsi="Arial"/>
          <w:sz w:val="16"/>
          <w:szCs w:val="16"/>
          <w:color w:val="auto"/>
        </w:rPr>
      </w:pPr>
    </w:p>
    <w:p>
      <w:pPr>
        <w:ind w:left="84" w:hanging="84"/>
        <w:spacing w:after="0"/>
        <w:tabs>
          <w:tab w:leader="none" w:pos="8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spacing w:after="0" w:line="7" w:lineRule="exact"/>
        <w:rPr>
          <w:rFonts w:ascii="Arial" w:cs="Arial" w:eastAsia="Arial" w:hAnsi="Arial"/>
          <w:sz w:val="16"/>
          <w:szCs w:val="16"/>
          <w:color w:val="auto"/>
        </w:rPr>
      </w:pPr>
    </w:p>
    <w:p>
      <w:pPr>
        <w:ind w:left="84" w:hanging="84"/>
        <w:spacing w:after="0"/>
        <w:tabs>
          <w:tab w:leader="none" w:pos="8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26757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064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5684"/>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26757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744"/>
          </w:cols>
          <w:pgMar w:left="236" w:top="721" w:right="91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262"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auto"/>
        </w:rPr>
        <w:t>On August 31, 2006, ClearOne Communications, Inc. (the “Company”) issued a press release attached hereto as Exhibit 99.1 and incorporated by reference. In the press release, the Company announced that its Board of Directors had authorized a new stock buy-back program to acquire up to $2,000,000 in the Company’s common stock during the next twelve months. All purchases will be executed in accordance with applicable federal securities laws.</w:t>
      </w:r>
    </w:p>
    <w:p>
      <w:pPr>
        <w:spacing w:after="0" w:line="242" w:lineRule="exact"/>
        <w:rPr>
          <w:sz w:val="20"/>
          <w:szCs w:val="20"/>
          <w:color w:val="auto"/>
        </w:rPr>
      </w:pPr>
    </w:p>
    <w:p>
      <w:pPr>
        <w:spacing w:after="0"/>
        <w:tabs>
          <w:tab w:leader="none" w:pos="11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Arial" w:cs="Arial" w:eastAsia="Arial" w:hAnsi="Arial"/>
                <w:sz w:val="16"/>
                <w:szCs w:val="16"/>
                <w:color w:val="auto"/>
              </w:rPr>
              <w:t>(d)</w:t>
            </w:r>
          </w:p>
        </w:tc>
        <w:tc>
          <w:tcPr>
            <w:tcW w:w="1260" w:type="dxa"/>
            <w:vAlign w:val="bottom"/>
          </w:tcPr>
          <w:p>
            <w:pPr>
              <w:ind w:left="280"/>
              <w:spacing w:after="0"/>
              <w:rPr>
                <w:sz w:val="20"/>
                <w:szCs w:val="20"/>
                <w:color w:val="auto"/>
              </w:rPr>
            </w:pPr>
            <w:r>
              <w:rPr>
                <w:rFonts w:ascii="Arial" w:cs="Arial" w:eastAsia="Arial" w:hAnsi="Arial"/>
                <w:sz w:val="16"/>
                <w:szCs w:val="16"/>
                <w:color w:val="auto"/>
              </w:rPr>
              <w:t>Exhibits.</w:t>
            </w:r>
          </w:p>
        </w:tc>
        <w:tc>
          <w:tcPr>
            <w:tcW w:w="79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42"/>
        </w:trPr>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Exhibit No.</w:t>
            </w:r>
          </w:p>
        </w:tc>
        <w:tc>
          <w:tcPr>
            <w:tcW w:w="7920" w:type="dxa"/>
            <w:vAlign w:val="bottom"/>
            <w:tcBorders>
              <w:bottom w:val="single" w:sz="8" w:color="auto"/>
            </w:tcBorders>
          </w:tcPr>
          <w:p>
            <w:pPr>
              <w:ind w:left="3560"/>
              <w:spacing w:after="0"/>
              <w:rPr>
                <w:sz w:val="20"/>
                <w:szCs w:val="20"/>
                <w:color w:val="auto"/>
              </w:rPr>
            </w:pPr>
            <w:r>
              <w:rPr>
                <w:rFonts w:ascii="Arial" w:cs="Arial" w:eastAsia="Arial" w:hAnsi="Arial"/>
                <w:sz w:val="16"/>
                <w:szCs w:val="16"/>
                <w:color w:val="auto"/>
              </w:rPr>
              <w:t>Title of Document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Location</w:t>
            </w:r>
          </w:p>
        </w:tc>
      </w:tr>
      <w:tr>
        <w:trPr>
          <w:trHeight w:val="196"/>
        </w:trPr>
        <w:tc>
          <w:tcPr>
            <w:tcW w:w="380" w:type="dxa"/>
            <w:vAlign w:val="bottom"/>
          </w:tcPr>
          <w:p>
            <w:pPr>
              <w:spacing w:after="0"/>
              <w:rPr>
                <w:sz w:val="17"/>
                <w:szCs w:val="17"/>
                <w:color w:val="auto"/>
              </w:rPr>
            </w:pPr>
          </w:p>
        </w:tc>
        <w:tc>
          <w:tcPr>
            <w:tcW w:w="1260" w:type="dxa"/>
            <w:vAlign w:val="bottom"/>
          </w:tcPr>
          <w:p>
            <w:pPr>
              <w:jc w:val="right"/>
              <w:ind w:right="460"/>
              <w:spacing w:after="0"/>
              <w:rPr>
                <w:sz w:val="20"/>
                <w:szCs w:val="20"/>
                <w:color w:val="auto"/>
              </w:rPr>
            </w:pPr>
            <w:r>
              <w:rPr>
                <w:rFonts w:ascii="Arial" w:cs="Arial" w:eastAsia="Arial" w:hAnsi="Arial"/>
                <w:sz w:val="16"/>
                <w:szCs w:val="16"/>
                <w:color w:val="auto"/>
              </w:rPr>
              <w:t>99.1</w:t>
            </w:r>
          </w:p>
        </w:tc>
        <w:tc>
          <w:tcPr>
            <w:tcW w:w="7920" w:type="dxa"/>
            <w:vAlign w:val="bottom"/>
          </w:tcPr>
          <w:p>
            <w:pPr>
              <w:ind w:left="300"/>
              <w:spacing w:after="0"/>
              <w:rPr>
                <w:sz w:val="20"/>
                <w:szCs w:val="20"/>
                <w:color w:val="auto"/>
              </w:rPr>
            </w:pPr>
            <w:r>
              <w:rPr>
                <w:rFonts w:ascii="Arial" w:cs="Arial" w:eastAsia="Arial" w:hAnsi="Arial"/>
                <w:sz w:val="16"/>
                <w:szCs w:val="16"/>
                <w:color w:val="auto"/>
                <w:w w:val="98"/>
              </w:rPr>
              <w:t>Press Release dated August 31, 2006 captioned “ClearOne’s Board of Directors Authorizes Stock Buy-Back.”</w:t>
            </w:r>
          </w:p>
        </w:tc>
        <w:tc>
          <w:tcPr>
            <w:tcW w:w="1880" w:type="dxa"/>
            <w:vAlign w:val="bottom"/>
          </w:tcPr>
          <w:p>
            <w:pPr>
              <w:jc w:val="center"/>
              <w:spacing w:after="0"/>
              <w:rPr>
                <w:sz w:val="20"/>
                <w:szCs w:val="20"/>
                <w:color w:val="auto"/>
              </w:rPr>
            </w:pPr>
            <w:r>
              <w:rPr>
                <w:rFonts w:ascii="Arial" w:cs="Arial" w:eastAsia="Arial" w:hAnsi="Arial"/>
                <w:sz w:val="16"/>
                <w:szCs w:val="16"/>
                <w:color w:val="auto"/>
                <w:w w:val="95"/>
              </w:rPr>
              <w:t>This Filing</w:t>
            </w: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50"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80" w:type="dxa"/>
            <w:vAlign w:val="bottom"/>
          </w:tcPr>
          <w:p>
            <w:pPr>
              <w:spacing w:after="0"/>
              <w:rPr>
                <w:sz w:val="17"/>
                <w:szCs w:val="17"/>
                <w:color w:val="auto"/>
              </w:rPr>
            </w:pPr>
          </w:p>
        </w:tc>
        <w:tc>
          <w:tcPr>
            <w:tcW w:w="8560" w:type="dxa"/>
            <w:vAlign w:val="bottom"/>
            <w:gridSpan w:val="2"/>
          </w:tcPr>
          <w:p>
            <w:pPr>
              <w:ind w:left="1420"/>
              <w:spacing w:after="0"/>
              <w:rPr>
                <w:sz w:val="20"/>
                <w:szCs w:val="20"/>
                <w:color w:val="auto"/>
              </w:rPr>
            </w:pPr>
            <w:r>
              <w:rPr>
                <w:rFonts w:ascii="Arial" w:cs="Arial" w:eastAsia="Arial" w:hAnsi="Arial"/>
                <w:sz w:val="16"/>
                <w:szCs w:val="16"/>
                <w:color w:val="auto"/>
              </w:rPr>
              <w:t>CLEARONE COMMUNICATIONS, INC.</w:t>
            </w:r>
          </w:p>
        </w:tc>
      </w:tr>
      <w:tr>
        <w:trPr>
          <w:trHeight w:val="860"/>
        </w:trPr>
        <w:tc>
          <w:tcPr>
            <w:tcW w:w="2880" w:type="dxa"/>
            <w:vAlign w:val="bottom"/>
          </w:tcPr>
          <w:p>
            <w:pPr>
              <w:spacing w:after="0"/>
              <w:rPr>
                <w:sz w:val="20"/>
                <w:szCs w:val="20"/>
                <w:color w:val="auto"/>
              </w:rPr>
            </w:pPr>
            <w:r>
              <w:rPr>
                <w:rFonts w:ascii="Arial" w:cs="Arial" w:eastAsia="Arial" w:hAnsi="Arial"/>
                <w:sz w:val="16"/>
                <w:szCs w:val="16"/>
                <w:color w:val="auto"/>
              </w:rPr>
              <w:t>Date: August 31, 2006</w:t>
            </w:r>
          </w:p>
        </w:tc>
        <w:tc>
          <w:tcPr>
            <w:tcW w:w="2200" w:type="dxa"/>
            <w:vAlign w:val="bottom"/>
          </w:tcPr>
          <w:p>
            <w:pPr>
              <w:ind w:left="1420"/>
              <w:spacing w:after="0"/>
              <w:rPr>
                <w:sz w:val="20"/>
                <w:szCs w:val="20"/>
                <w:color w:val="auto"/>
              </w:rPr>
            </w:pPr>
            <w:r>
              <w:rPr>
                <w:rFonts w:ascii="Arial" w:cs="Arial" w:eastAsia="Arial" w:hAnsi="Arial"/>
                <w:sz w:val="16"/>
                <w:szCs w:val="16"/>
                <w:color w:val="auto"/>
              </w:rPr>
              <w:t>By:</w:t>
            </w:r>
          </w:p>
        </w:tc>
        <w:tc>
          <w:tcPr>
            <w:tcW w:w="6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Zeynep Hakimoglu</w:t>
            </w:r>
          </w:p>
        </w:tc>
      </w:tr>
      <w:tr>
        <w:trPr>
          <w:trHeight w:val="195"/>
        </w:trPr>
        <w:tc>
          <w:tcPr>
            <w:tcW w:w="2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Zeynep Hakimoglu</w:t>
            </w:r>
          </w:p>
        </w:tc>
      </w:tr>
      <w:tr>
        <w:trPr>
          <w:trHeight w:val="204"/>
        </w:trPr>
        <w:tc>
          <w:tcPr>
            <w:tcW w:w="28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599"/>
        </w:trPr>
        <w:tc>
          <w:tcPr>
            <w:tcW w:w="2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360" w:type="dxa"/>
            <w:vAlign w:val="bottom"/>
          </w:tcPr>
          <w:p>
            <w:pPr>
              <w:jc w:val="right"/>
              <w:ind w:right="5624"/>
              <w:spacing w:after="0"/>
              <w:rPr>
                <w:sz w:val="20"/>
                <w:szCs w:val="20"/>
                <w:color w:val="auto"/>
              </w:rPr>
            </w:pPr>
            <w:r>
              <w:rPr>
                <w:rFonts w:ascii="Arial" w:cs="Arial" w:eastAsia="Arial" w:hAnsi="Arial"/>
                <w:sz w:val="13"/>
                <w:szCs w:val="13"/>
                <w:color w:val="auto"/>
              </w:rPr>
              <w:t>2</w:t>
            </w:r>
          </w:p>
        </w:tc>
      </w:tr>
    </w:tbl>
    <w:p>
      <w:pPr>
        <w:sectPr>
          <w:pgSz w:w="11900" w:h="16838" w:orient="portrait"/>
          <w:cols w:equalWidth="0" w:num="1">
            <w:col w:w="11440"/>
          </w:cols>
          <w:pgMar w:left="240" w:top="374" w:right="2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40" w:type="dxa"/>
            <w:vAlign w:val="bottom"/>
            <w:vMerge w:val="restart"/>
          </w:tcPr>
          <w:p>
            <w:pPr>
              <w:spacing w:after="0"/>
              <w:rPr>
                <w:sz w:val="20"/>
                <w:szCs w:val="20"/>
                <w:color w:val="auto"/>
              </w:rPr>
            </w:pPr>
            <w:r>
              <w:rPr>
                <w:rFonts w:ascii="Arial" w:cs="Arial" w:eastAsia="Arial" w:hAnsi="Arial"/>
                <w:sz w:val="19"/>
                <w:szCs w:val="19"/>
                <w:color w:val="auto"/>
              </w:rPr>
              <w:t>Relations</w:t>
            </w:r>
          </w:p>
        </w:tc>
        <w:tc>
          <w:tcPr>
            <w:tcW w:w="3380" w:type="dxa"/>
            <w:vAlign w:val="bottom"/>
          </w:tcPr>
          <w:p>
            <w:pPr>
              <w:ind w:left="2660"/>
              <w:spacing w:after="0"/>
              <w:rPr>
                <w:sz w:val="20"/>
                <w:szCs w:val="20"/>
                <w:color w:val="auto"/>
              </w:rPr>
            </w:pPr>
            <w:r>
              <w:rPr>
                <w:rFonts w:ascii="Arial" w:cs="Arial" w:eastAsia="Arial" w:hAnsi="Arial"/>
                <w:sz w:val="19"/>
                <w:szCs w:val="19"/>
                <w:color w:val="auto"/>
              </w:rPr>
              <w:t>Investor</w:t>
            </w:r>
          </w:p>
        </w:tc>
        <w:tc>
          <w:tcPr>
            <w:tcW w:w="0" w:type="dxa"/>
            <w:vAlign w:val="bottom"/>
          </w:tcPr>
          <w:p>
            <w:pPr>
              <w:spacing w:after="0"/>
              <w:rPr>
                <w:sz w:val="1"/>
                <w:szCs w:val="1"/>
                <w:color w:val="auto"/>
              </w:rPr>
            </w:pPr>
          </w:p>
        </w:tc>
      </w:tr>
      <w:tr>
        <w:trPr>
          <w:trHeight w:val="239"/>
        </w:trPr>
        <w:tc>
          <w:tcPr>
            <w:tcW w:w="8140" w:type="dxa"/>
            <w:vAlign w:val="bottom"/>
            <w:vMerge w:val="continue"/>
          </w:tcPr>
          <w:p>
            <w:pPr>
              <w:spacing w:after="0"/>
              <w:rPr>
                <w:sz w:val="20"/>
                <w:szCs w:val="20"/>
                <w:color w:val="auto"/>
              </w:rPr>
            </w:pPr>
          </w:p>
        </w:tc>
        <w:tc>
          <w:tcPr>
            <w:tcW w:w="3380" w:type="dxa"/>
            <w:vAlign w:val="bottom"/>
            <w:vMerge w:val="restart"/>
          </w:tcPr>
          <w:p>
            <w:pPr>
              <w:ind w:left="2660"/>
              <w:spacing w:after="0"/>
              <w:rPr>
                <w:sz w:val="20"/>
                <w:szCs w:val="20"/>
                <w:color w:val="auto"/>
              </w:rPr>
            </w:pPr>
            <w:r>
              <w:rPr>
                <w:rFonts w:ascii="Arial" w:cs="Arial" w:eastAsia="Arial" w:hAnsi="Arial"/>
                <w:sz w:val="19"/>
                <w:szCs w:val="19"/>
                <w:color w:val="auto"/>
                <w:w w:val="86"/>
              </w:rPr>
              <w:t>ClearOne</w:t>
            </w:r>
          </w:p>
        </w:tc>
        <w:tc>
          <w:tcPr>
            <w:tcW w:w="0" w:type="dxa"/>
            <w:vAlign w:val="bottom"/>
          </w:tcPr>
          <w:p>
            <w:pPr>
              <w:spacing w:after="0"/>
              <w:rPr>
                <w:sz w:val="1"/>
                <w:szCs w:val="1"/>
                <w:color w:val="auto"/>
              </w:rPr>
            </w:pPr>
          </w:p>
        </w:tc>
      </w:tr>
      <w:tr>
        <w:trPr>
          <w:trHeight w:val="236"/>
        </w:trPr>
        <w:tc>
          <w:tcPr>
            <w:tcW w:w="8140" w:type="dxa"/>
            <w:vAlign w:val="bottom"/>
          </w:tcPr>
          <w:p>
            <w:pPr>
              <w:spacing w:after="0"/>
              <w:rPr>
                <w:sz w:val="20"/>
                <w:szCs w:val="20"/>
                <w:color w:val="auto"/>
              </w:rPr>
            </w:pPr>
          </w:p>
        </w:tc>
        <w:tc>
          <w:tcPr>
            <w:tcW w:w="3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140" w:type="dxa"/>
            <w:vAlign w:val="bottom"/>
            <w:vMerge w:val="restart"/>
          </w:tcPr>
          <w:p>
            <w:pPr>
              <w:spacing w:after="0"/>
              <w:rPr>
                <w:sz w:val="20"/>
                <w:szCs w:val="20"/>
                <w:color w:val="auto"/>
              </w:rPr>
            </w:pPr>
            <w:r>
              <w:rPr>
                <w:rFonts w:ascii="Arial" w:cs="Arial" w:eastAsia="Arial" w:hAnsi="Arial"/>
                <w:sz w:val="19"/>
                <w:szCs w:val="19"/>
                <w:color w:val="auto"/>
              </w:rPr>
              <w:t>303-3555</w:t>
            </w:r>
          </w:p>
        </w:tc>
        <w:tc>
          <w:tcPr>
            <w:tcW w:w="3380" w:type="dxa"/>
            <w:vAlign w:val="bottom"/>
          </w:tcPr>
          <w:p>
            <w:pPr>
              <w:ind w:left="2660"/>
              <w:spacing w:after="0"/>
              <w:rPr>
                <w:sz w:val="20"/>
                <w:szCs w:val="20"/>
                <w:color w:val="auto"/>
              </w:rPr>
            </w:pPr>
            <w:r>
              <w:rPr>
                <w:rFonts w:ascii="Arial" w:cs="Arial" w:eastAsia="Arial" w:hAnsi="Arial"/>
                <w:sz w:val="19"/>
                <w:szCs w:val="19"/>
                <w:color w:val="auto"/>
              </w:rPr>
              <w:t>(801)</w:t>
            </w:r>
          </w:p>
        </w:tc>
        <w:tc>
          <w:tcPr>
            <w:tcW w:w="0" w:type="dxa"/>
            <w:vAlign w:val="bottom"/>
          </w:tcPr>
          <w:p>
            <w:pPr>
              <w:spacing w:after="0"/>
              <w:rPr>
                <w:sz w:val="1"/>
                <w:szCs w:val="1"/>
                <w:color w:val="auto"/>
              </w:rPr>
            </w:pPr>
          </w:p>
        </w:tc>
      </w:tr>
      <w:tr>
        <w:trPr>
          <w:trHeight w:val="239"/>
        </w:trPr>
        <w:tc>
          <w:tcPr>
            <w:tcW w:w="8140" w:type="dxa"/>
            <w:vAlign w:val="bottom"/>
            <w:vMerge w:val="continue"/>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8140" w:type="dxa"/>
            <w:vAlign w:val="bottom"/>
          </w:tcPr>
          <w:p>
            <w:pPr>
              <w:ind w:left="6580"/>
              <w:spacing w:after="0"/>
              <w:rPr>
                <w:sz w:val="20"/>
                <w:szCs w:val="20"/>
                <w:color w:val="auto"/>
              </w:rPr>
            </w:pPr>
            <w:r>
              <w:rPr>
                <w:rFonts w:ascii="Arial" w:cs="Arial" w:eastAsia="Arial" w:hAnsi="Arial"/>
                <w:sz w:val="16"/>
                <w:szCs w:val="16"/>
                <w:color w:val="auto"/>
              </w:rPr>
              <w:t>60;</w:t>
            </w:r>
          </w:p>
        </w:tc>
        <w:tc>
          <w:tcPr>
            <w:tcW w:w="3380" w:type="dxa"/>
            <w:vAlign w:val="bottom"/>
          </w:tcPr>
          <w:p>
            <w:pPr>
              <w:ind w:left="2760"/>
              <w:spacing w:after="0"/>
              <w:rPr>
                <w:sz w:val="20"/>
                <w:szCs w:val="20"/>
                <w:color w:val="auto"/>
              </w:rPr>
            </w:pPr>
            <w:r>
              <w:rPr>
                <w:rFonts w:ascii="Arial" w:cs="Arial" w:eastAsia="Arial" w:hAnsi="Arial"/>
                <w:sz w:val="16"/>
                <w:szCs w:val="16"/>
                <w:color w:val="auto"/>
              </w:rPr>
              <w:t>Robert</w:t>
            </w:r>
          </w:p>
        </w:tc>
        <w:tc>
          <w:tcPr>
            <w:tcW w:w="0" w:type="dxa"/>
            <w:vAlign w:val="bottom"/>
          </w:tcPr>
          <w:p>
            <w:pPr>
              <w:spacing w:after="0"/>
              <w:rPr>
                <w:sz w:val="1"/>
                <w:szCs w:val="1"/>
                <w:color w:val="auto"/>
              </w:rPr>
            </w:pPr>
          </w:p>
        </w:tc>
      </w:tr>
      <w:tr>
        <w:trPr>
          <w:trHeight w:val="204"/>
        </w:trPr>
        <w:tc>
          <w:tcPr>
            <w:tcW w:w="8140" w:type="dxa"/>
            <w:vAlign w:val="bottom"/>
          </w:tcPr>
          <w:p>
            <w:pPr>
              <w:ind w:left="5160"/>
              <w:spacing w:after="0"/>
              <w:rPr>
                <w:sz w:val="20"/>
                <w:szCs w:val="20"/>
                <w:color w:val="auto"/>
              </w:rPr>
            </w:pPr>
            <w:r>
              <w:rPr>
                <w:rFonts w:ascii="Arial" w:cs="Arial" w:eastAsia="Arial" w:hAnsi="Arial"/>
                <w:sz w:val="16"/>
                <w:szCs w:val="16"/>
                <w:color w:val="auto"/>
              </w:rPr>
              <w:t>Jaffe</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8140" w:type="dxa"/>
            <w:vAlign w:val="bottom"/>
          </w:tcPr>
          <w:p>
            <w:pPr>
              <w:ind w:left="5160"/>
              <w:spacing w:after="0"/>
              <w:rPr>
                <w:sz w:val="20"/>
                <w:szCs w:val="20"/>
                <w:color w:val="auto"/>
              </w:rPr>
            </w:pPr>
            <w:r>
              <w:rPr>
                <w:rFonts w:ascii="Arial" w:cs="Arial" w:eastAsia="Arial" w:hAnsi="Arial"/>
                <w:sz w:val="16"/>
                <w:szCs w:val="16"/>
                <w:color w:val="auto"/>
              </w:rPr>
              <w:t>60;</w:t>
            </w:r>
          </w:p>
        </w:tc>
        <w:tc>
          <w:tcPr>
            <w:tcW w:w="3380" w:type="dxa"/>
            <w:vAlign w:val="bottom"/>
          </w:tcPr>
          <w:p>
            <w:pPr>
              <w:ind w:left="1340"/>
              <w:spacing w:after="0"/>
              <w:rPr>
                <w:sz w:val="20"/>
                <w:szCs w:val="20"/>
                <w:color w:val="auto"/>
              </w:rPr>
            </w:pPr>
            <w:r>
              <w:rPr>
                <w:rFonts w:ascii="Arial" w:cs="Arial" w:eastAsia="Arial" w:hAnsi="Arial"/>
                <w:sz w:val="16"/>
                <w:szCs w:val="16"/>
                <w:color w:val="auto"/>
              </w:rPr>
              <w:t>PondelWilkinson Inc.</w:t>
            </w:r>
          </w:p>
        </w:tc>
        <w:tc>
          <w:tcPr>
            <w:tcW w:w="0" w:type="dxa"/>
            <w:vAlign w:val="bottom"/>
          </w:tcPr>
          <w:p>
            <w:pPr>
              <w:spacing w:after="0"/>
              <w:rPr>
                <w:sz w:val="1"/>
                <w:szCs w:val="1"/>
                <w:color w:val="auto"/>
              </w:rPr>
            </w:pPr>
          </w:p>
        </w:tc>
      </w:tr>
      <w:tr>
        <w:trPr>
          <w:trHeight w:val="191"/>
        </w:trPr>
        <w:tc>
          <w:tcPr>
            <w:tcW w:w="8140" w:type="dxa"/>
            <w:vAlign w:val="bottom"/>
          </w:tcPr>
          <w:p>
            <w:pPr>
              <w:ind w:left="6580"/>
              <w:spacing w:after="0"/>
              <w:rPr>
                <w:sz w:val="20"/>
                <w:szCs w:val="20"/>
                <w:color w:val="auto"/>
              </w:rPr>
            </w:pPr>
            <w:r>
              <w:rPr>
                <w:rFonts w:ascii="Arial" w:cs="Arial" w:eastAsia="Arial" w:hAnsi="Arial"/>
                <w:sz w:val="16"/>
                <w:szCs w:val="16"/>
                <w:color w:val="auto"/>
              </w:rPr>
              <w:t>60;</w:t>
            </w:r>
          </w:p>
        </w:tc>
        <w:tc>
          <w:tcPr>
            <w:tcW w:w="3380" w:type="dxa"/>
            <w:vAlign w:val="bottom"/>
          </w:tcPr>
          <w:p>
            <w:pPr>
              <w:ind w:left="276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4"/>
        </w:trPr>
        <w:tc>
          <w:tcPr>
            <w:tcW w:w="8140" w:type="dxa"/>
            <w:vAlign w:val="bottom"/>
          </w:tcPr>
          <w:p>
            <w:pPr>
              <w:ind w:left="5160"/>
              <w:spacing w:after="0"/>
              <w:rPr>
                <w:sz w:val="20"/>
                <w:szCs w:val="20"/>
                <w:color w:val="auto"/>
              </w:rPr>
            </w:pPr>
            <w:r>
              <w:rPr>
                <w:rFonts w:ascii="Arial" w:cs="Arial" w:eastAsia="Arial" w:hAnsi="Arial"/>
                <w:sz w:val="16"/>
                <w:szCs w:val="16"/>
                <w:color w:val="auto"/>
              </w:rPr>
              <w:t>279-5969</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CLEARONE’S BOARD OF DIRECTORS AUTHORIZES STOCK BUY-BACK</w:t>
      </w:r>
    </w:p>
    <w:p>
      <w:pPr>
        <w:spacing w:after="0" w:line="246"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b w:val="1"/>
          <w:bCs w:val="1"/>
          <w:color w:val="auto"/>
        </w:rPr>
        <w:t xml:space="preserve">Salt Lake City, UT - August 31, 2006 - </w:t>
      </w:r>
      <w:r>
        <w:rPr>
          <w:rFonts w:ascii="Arial" w:cs="Arial" w:eastAsia="Arial" w:hAnsi="Arial"/>
          <w:sz w:val="16"/>
          <w:szCs w:val="16"/>
          <w:color w:val="auto"/>
        </w:rPr>
        <w:t>ClearOne Communications, Inc. (OTC: CLRO.OB) today announced that the Board of Directors approved a stock buy-back program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up to $2,000,000 of the Company’s common stock over the next 12 months on the open market. All purchases will be executed in accordance with applicable federal securities laws.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ClearOne</w:t>
      </w:r>
    </w:p>
    <w:p>
      <w:pPr>
        <w:spacing w:after="0" w:line="24"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 # #</w:t>
      </w:r>
    </w:p>
    <w:sectPr>
      <w:pgSz w:w="11900" w:h="16838" w:orient="portrait"/>
      <w:cols w:equalWidth="0" w:num="1">
        <w:col w:w="11520"/>
      </w:cols>
      <w:pgMar w:left="240" w:top="34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2019-12-13T18:12:04Z</dcterms:created>
  <dcterms:modified xsi:type="dcterms:W3CDTF">2019-12-13T18:12:04Z</dcterms:modified>
</cp:coreProperties>
</file>