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UNITED STATES </w:t>
      </w:r>
    </w:p>
    <w:p>
      <w:pPr>
        <w:pStyle w:val="TextBody"/>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SECURITIES AND EXCHANGE COMMISSION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 xml:space="preserve">Washington, D.C. 20549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lineRule="auto" w:line="288" w:before="360" w:after="0"/>
        <w:ind w:left="0" w:right="0" w:hanging="0"/>
        <w:jc w:val="center"/>
        <w:rPr>
          <w:rFonts w:ascii="times new roman;times" w:hAnsi="times new roman;times"/>
          <w:b/>
          <w:sz w:val="24"/>
        </w:rPr>
      </w:pPr>
      <w:r>
        <w:rPr>
          <w:rFonts w:ascii="times new roman;times" w:hAnsi="times new roman;times"/>
          <w:b/>
          <w:sz w:val="24"/>
        </w:rPr>
        <w:t xml:space="preserve">SCHEDULE 14C INFORMATION </w:t>
      </w:r>
    </w:p>
    <w:p>
      <w:pPr>
        <w:pStyle w:val="TextBody"/>
        <w:bidi w:val="0"/>
        <w:spacing w:lineRule="auto" w:line="288" w:before="240" w:after="0"/>
        <w:ind w:left="0" w:right="0" w:hanging="0"/>
        <w:jc w:val="center"/>
        <w:rPr>
          <w:rFonts w:ascii="times new roman;times" w:hAnsi="times new roman;times"/>
          <w:b/>
          <w:sz w:val="20"/>
        </w:rPr>
      </w:pPr>
      <w:r>
        <w:rPr>
          <w:rFonts w:ascii="times new roman;times" w:hAnsi="times new roman;times"/>
          <w:b/>
          <w:sz w:val="20"/>
        </w:rPr>
        <w:t xml:space="preserve">Information Statement Pursuant to Section 14(c) of the </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Securities Exchange Act of 1934</w:t>
      </w:r>
      <w:r>
        <w:rPr>
          <w:rFonts w:ascii="times new roman;times" w:hAnsi="times new roman;times"/>
          <w:sz w:val="20"/>
        </w:rPr>
        <w:t>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lineRule="auto" w:line="288" w:before="0" w:after="0"/>
        <w:ind w:left="0" w:right="0" w:hanging="0"/>
        <w:jc w:val="center"/>
        <w:rPr/>
      </w:pPr>
      <w:r>
        <w:rPr/>
        <w:t>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Check the appropriate box: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0"/>
              <w:ind w:left="0" w:right="0" w:hanging="0"/>
              <w:jc w:val="left"/>
              <w:rPr/>
            </w:pPr>
            <w:r>
              <w:rPr/>
              <w:t>☒</w:t>
            </w:r>
          </w:p>
        </w:tc>
        <w:tc>
          <w:tcPr>
            <w:tcW w:w="93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Preliminary information statement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Confidential, for Use of the Commission Only (as permitted by Rule 14c-5(d)(2))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51"/>
        <w:gridCol w:w="9354"/>
      </w:tblGrid>
      <w:tr>
        <w:trPr/>
        <w:tc>
          <w:tcPr>
            <w:tcW w:w="851" w:type="dxa"/>
            <w:tcBorders/>
            <w:vAlign w:val="center"/>
          </w:tcPr>
          <w:p>
            <w:pPr>
              <w:pStyle w:val="TableContents"/>
              <w:bidi w:val="0"/>
              <w:spacing w:before="0" w:after="0"/>
              <w:ind w:left="0" w:right="0" w:hanging="0"/>
              <w:jc w:val="left"/>
              <w:rPr/>
            </w:pPr>
            <w:r>
              <w:rPr/>
              <w:t>☐</w:t>
            </w:r>
          </w:p>
        </w:tc>
        <w:tc>
          <w:tcPr>
            <w:tcW w:w="9354" w:type="dxa"/>
            <w:tcBorders/>
            <w:vAlign w:val="center"/>
          </w:tcPr>
          <w:p>
            <w:pPr>
              <w:pStyle w:val="TableContents"/>
              <w:bidi w:val="0"/>
              <w:spacing w:before="0" w:after="0"/>
              <w:ind w:left="315" w:right="0" w:hanging="315"/>
              <w:jc w:val="left"/>
              <w:rPr>
                <w:rFonts w:ascii="times new roman;times" w:hAnsi="times new roman;times"/>
                <w:sz w:val="20"/>
              </w:rPr>
            </w:pPr>
            <w:r>
              <w:rPr>
                <w:rFonts w:ascii="times new roman;times" w:hAnsi="times new roman;times"/>
                <w:sz w:val="20"/>
              </w:rPr>
              <w:t>Definitive information statement</w:t>
            </w:r>
          </w:p>
        </w:tc>
      </w:tr>
    </w:tbl>
    <w:p>
      <w:pPr>
        <w:pStyle w:val="TextBody"/>
        <w:widowControl/>
        <w:bidi w:val="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5"/>
        <w:gridCol w:w="10014"/>
        <w:gridCol w:w="96"/>
      </w:tblGrid>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8"/>
              </w:rPr>
            </w:pPr>
            <w:r>
              <w:rPr>
                <w:rFonts w:ascii="times new roman;times" w:hAnsi="times new roman;times"/>
                <w:b/>
                <w:sz w:val="28"/>
              </w:rPr>
              <w:t>ClearOne, Inc.</w:t>
            </w:r>
          </w:p>
        </w:tc>
        <w:tc>
          <w:tcPr>
            <w:tcW w:w="96" w:type="dxa"/>
            <w:tcBorders/>
            <w:vAlign w:val="center"/>
          </w:tcPr>
          <w:p>
            <w:pPr>
              <w:pStyle w:val="TableContents"/>
              <w:bidi w:val="0"/>
              <w:spacing w:before="0" w:after="283"/>
              <w:jc w:val="left"/>
              <w:rPr/>
            </w:pPr>
            <w:r>
              <w:rPr/>
            </w:r>
          </w:p>
        </w:tc>
      </w:tr>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Registrant as Specified in Its Charter)</w:t>
            </w:r>
          </w:p>
        </w:tc>
        <w:tc>
          <w:tcPr>
            <w:tcW w:w="9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Payment of Filing Fee (Check the appropriate box):</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 fee required.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paid previously with preliminary materials.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computed on table in exhibit required by Item 25(b) of Schedule 14A (17 CFR 240.14a-101) per Item 1 of this Schedule and Exchange Act Rules 14c-5(g) and 0-11. </w:t>
            </w:r>
          </w:p>
        </w:tc>
      </w:tr>
    </w:tbl>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r>
    </w:p>
    <w:p>
      <w:pPr>
        <w:pStyle w:val="TextBody"/>
        <w:widowControl/>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7533 S Center View Ct., #5311</w:t>
        <w:br/>
      </w:r>
      <w:r>
        <w:rPr>
          <w:rFonts w:ascii="times new roman;times" w:hAnsi="times new roman;times"/>
          <w:b w:val="false"/>
          <w:i w:val="false"/>
          <w:caps w:val="false"/>
          <w:smallCaps w:val="false"/>
          <w:color w:val="000000"/>
          <w:spacing w:val="0"/>
          <w:sz w:val="20"/>
        </w:rPr>
        <w:t>West Jordan, Utah</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84084</w:t>
      </w:r>
    </w:p>
    <w:tbl>
      <w:tblPr>
        <w:tblW w:w="7396" w:type="dxa"/>
        <w:jc w:val="left"/>
        <w:tblInd w:w="-7" w:type="dxa"/>
        <w:tblLayout w:type="fixed"/>
        <w:tblCellMar>
          <w:top w:w="28" w:type="dxa"/>
          <w:left w:w="28" w:type="dxa"/>
          <w:bottom w:w="28" w:type="dxa"/>
          <w:right w:w="28" w:type="dxa"/>
        </w:tblCellMar>
      </w:tblPr>
      <w:tblGrid>
        <w:gridCol w:w="7396"/>
      </w:tblGrid>
      <w:tr>
        <w:trPr/>
        <w:tc>
          <w:tcPr>
            <w:tcW w:w="739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INFORMATION STATEMENT </w:t>
            </w:r>
          </w:p>
          <w:p>
            <w:pPr>
              <w:pStyle w:val="TableContents"/>
              <w:bidi w:val="0"/>
              <w:spacing w:lineRule="auto" w:line="288" w:before="0" w:after="0"/>
              <w:ind w:left="0" w:right="0" w:hanging="0"/>
              <w:jc w:val="center"/>
              <w:rPr>
                <w:rFonts w:ascii="times new roman;times" w:hAnsi="times new roman;times"/>
                <w:sz w:val="24"/>
              </w:rPr>
            </w:pPr>
            <w:r>
              <w:rPr>
                <w:rFonts w:ascii="times new roman;times" w:hAnsi="times new roman;times"/>
                <w:sz w:val="24"/>
              </w:rPr>
              <w:t>(Preliminary)</w:t>
            </w:r>
          </w:p>
          <w:p>
            <w:pPr>
              <w:pStyle w:val="TableContents"/>
              <w:bidi w:val="0"/>
              <w:spacing w:lineRule="auto" w:line="288" w:before="0" w:after="0"/>
              <w:ind w:left="0" w:right="0" w:hanging="0"/>
              <w:jc w:val="center"/>
              <w:rPr/>
            </w:pPr>
            <w:r>
              <w:rPr/>
              <w:t> </w:t>
            </w:r>
          </w:p>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WE ARE NOT ASKING YOU FOR A PROXY </w:t>
            </w:r>
          </w:p>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AND YOU ARE REQUESTED NOT TO SEND US A PROXY </w:t>
            </w:r>
          </w:p>
          <w:p>
            <w:pPr>
              <w:pStyle w:val="TableContents"/>
              <w:bidi w:val="0"/>
              <w:spacing w:lineRule="auto" w:line="288" w:before="0" w:after="0"/>
              <w:ind w:left="0" w:right="0" w:hanging="0"/>
              <w:jc w:val="center"/>
              <w:rPr/>
            </w:pPr>
            <w:r>
              <w:rPr/>
              <w:t> </w:t>
            </w:r>
          </w:p>
          <w:p>
            <w:pPr>
              <w:pStyle w:val="TableContents"/>
              <w:bidi w:val="0"/>
              <w:spacing w:lineRule="auto" w:line="288" w:before="0" w:after="0"/>
              <w:ind w:left="0" w:right="0" w:hanging="0"/>
              <w:jc w:val="center"/>
              <w:rPr>
                <w:rFonts w:ascii="times new roman;times" w:hAnsi="times new roman;times"/>
                <w:b/>
                <w:color w:val="000000"/>
                <w:sz w:val="24"/>
              </w:rPr>
            </w:pPr>
            <w:r>
              <w:rPr>
                <w:rFonts w:ascii="times new roman;times" w:hAnsi="times new roman;times"/>
                <w:b/>
                <w:color w:val="000000"/>
                <w:sz w:val="24"/>
              </w:rPr>
              <w:t>NOTICE OF STOCKHOLDER ACTION BY WRITTEN CONSENT</w:t>
            </w:r>
          </w:p>
          <w:p>
            <w:pPr>
              <w:pStyle w:val="TableContents"/>
              <w:bidi w:val="0"/>
              <w:spacing w:lineRule="auto" w:line="288" w:before="0" w:after="0"/>
              <w:ind w:left="0" w:right="0" w:hanging="0"/>
              <w:jc w:val="center"/>
              <w:rPr>
                <w:color w:val="000000"/>
              </w:rPr>
            </w:pPr>
            <w:r>
              <w:rPr>
                <w:color w:val="000000"/>
              </w:rPr>
              <w:t> </w:t>
            </w:r>
          </w:p>
          <w:p>
            <w:pPr>
              <w:pStyle w:val="TableContents"/>
              <w:bidi w:val="0"/>
              <w:spacing w:lineRule="auto" w:line="288" w:before="0" w:after="0"/>
              <w:ind w:left="0" w:right="0" w:hanging="0"/>
              <w:jc w:val="center"/>
              <w:rPr>
                <w:rFonts w:ascii="times new roman;times" w:hAnsi="times new roman;times"/>
                <w:color w:val="000000"/>
                <w:sz w:val="24"/>
              </w:rPr>
            </w:pPr>
            <w:r>
              <w:rPr>
                <w:rFonts w:ascii="times new roman;times" w:hAnsi="times new roman;times"/>
                <w:color w:val="000000"/>
                <w:sz w:val="24"/>
              </w:rPr>
              <w:t>GENERAL INFORMATION</w:t>
            </w:r>
          </w:p>
        </w:tc>
      </w:tr>
    </w:tbl>
    <w:p>
      <w:pPr>
        <w:pStyle w:val="TextBody"/>
        <w:bidi w:val="0"/>
        <w:spacing w:lineRule="auto" w:line="288" w:before="0" w:after="0"/>
        <w:ind w:left="0" w:right="0" w:hanging="0"/>
        <w:jc w:val="both"/>
        <w:rPr/>
      </w:pPr>
      <w:r>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Dear Stockholders of ClearOne, Inc.: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This notice of written consent and information statement is being furnished to the stockholders of common stock, par value $0.001 per share (“Common Stock”) of ClearOne, Inc., a Nevada corporation (the “Company,” “ClearOne”, “we” or “our”), as of the close of business on , 2026, pursuant to Rule 14c-2 promulgated under the Securities Exchange Act of 1934, as amended (the “Exchange Act”).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purpose of this letter is to inform you that on , 2026, stockholders representing approximately 61.3% of the shares of Common Stock of ClearOne, by written consent in lieu of a meeting, approved the following corporate action:</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tcPr>
          <w:p>
            <w:pPr>
              <w:pStyle w:val="TableContents"/>
              <w:bidi w:val="0"/>
              <w:spacing w:before="0" w:after="0"/>
              <w:ind w:left="0" w:right="0" w:hanging="0"/>
              <w:jc w:val="both"/>
              <w:rPr>
                <w:sz w:val="20"/>
              </w:rPr>
            </w:pPr>
            <w:r>
              <w:rPr>
                <w:sz w:val="20"/>
              </w:rPr>
              <w:t>1.</w:t>
            </w:r>
          </w:p>
        </w:tc>
        <w:tc>
          <w:tcPr>
            <w:tcW w:w="9973"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 5635(d), the issuance by the Company of units consisting of one share of Common Stock and one warrant to purchase one share of Common Stock, for aggregate gross proceeds of up to $15,000,000, at a price below the Minimum Price (as defined in the accompanying information statement), which issuance may result in the issuance, in the aggregate, of twenty percent (20%) or more of the Company’s outstanding Common Stock or voting power following the closing of the transaction, depending on the purchase price determined at the time of issuance (the “ Unit Issuance Proposal” or “Action No.1”).</w:t>
            </w:r>
          </w:p>
        </w:tc>
      </w:tr>
      <w:tr>
        <w:trPr/>
        <w:tc>
          <w:tcPr>
            <w:tcW w:w="232" w:type="dxa"/>
            <w:tcBorders/>
          </w:tcPr>
          <w:p>
            <w:pPr>
              <w:pStyle w:val="TableContents"/>
              <w:bidi w:val="0"/>
              <w:spacing w:before="0" w:after="0"/>
              <w:ind w:left="0" w:right="0" w:hanging="0"/>
              <w:jc w:val="left"/>
              <w:rPr>
                <w:sz w:val="20"/>
              </w:rPr>
            </w:pPr>
            <w:r>
              <w:rPr>
                <w:sz w:val="20"/>
              </w:rPr>
              <w:t>2.</w:t>
            </w:r>
          </w:p>
        </w:tc>
        <w:tc>
          <w:tcPr>
            <w:tcW w:w="9973"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Rules 5635(c) and 5635(d), the issuance of a number of shares of Common Stock to First Finance Ltd., Betelgeuse Capital Advisors Inc., Gang3 Capital Ltd. and JJK Holdings Ltd. pursuant to agreements with the Company in connection with past advisory services provided to the Company and to be provided on an ongoing basis, which issuances may result in the issuance, in the aggregate, of twenty percent (20%) or more of the Company’s outstanding Common Stock or voting power (the “Advisor Stock Issuance Proposal” or “Action No. 2”).</w:t>
            </w:r>
          </w:p>
        </w:tc>
      </w:tr>
    </w:tbl>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THIS IS NOT A NOTICE OF AN ANNUAL MEETING OR SPECIAL MEETING OF STOCKHOLDERS AND NO STOCKHOLDER MEETING WILL BE HELD TO CONSIDER ANY MATTER WHICH WILL BE DESCRIBED HEREIN.</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 xml:space="preserve">The accompanying information statement is being furnished to our stockholders for informational purposes only, pursuant to Section 14(c) of the Exchange Act, and the rules and regulations prescribed thereunder. Pursuant to Rule 14c-2 under the Exchange Act, the Unit Issuance Proposal and Advisor Stock Issuance Proposal may not be effected until at least 20 calendar days after the mailing of the accompanying information statement to ClearOne’s stockholders.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Directors,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________________, 2026</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This Information Statement is dated , 2026 and is first being mailed to stockholders on , 2026.</w:t>
      </w:r>
    </w:p>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br/>
      </w:r>
      <w:r>
        <w:rPr>
          <w:rFonts w:ascii="times new roman;times" w:hAnsi="times new roman;times"/>
          <w:b/>
          <w:sz w:val="20"/>
        </w:rPr>
        <w:t>7533 S Center View Ct., #5311</w:t>
      </w:r>
      <w:r>
        <w:rPr>
          <w:rFonts w:ascii="times new roman;times" w:hAnsi="times new roman;times"/>
          <w:sz w:val="20"/>
        </w:rPr>
        <w:br/>
      </w:r>
      <w:r>
        <w:rPr>
          <w:rFonts w:ascii="times new roman;times" w:hAnsi="times new roman;times"/>
          <w:b/>
          <w:sz w:val="20"/>
        </w:rPr>
        <w:t>West Jordan, Utah 84084</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Phone: 385-426-0565</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STATEMENT</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July , 2026</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INFORMATION STATEMENT IS BEING PROVIDED TO YOU BY THE BOARD OF DIRECTORS OF CLEARONE, INC.</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IS NOT A NOTICE OF A MEETING OF STOCKHOLDERS AND NO STOCKHOLDERS’ MEETING WILL BE HELD TO CONSIDER ANY MATTER DESCRIBED HEREIN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is being furnished to the holders of shares of common stock, par value $0.001 per share (the “Common Stock”), of ClearOne, Inc., in connection with the Actions (as defined herein) by written consent of the holders of a majority of its issued and outstanding shares of Common Stock, taken without a meeting to approve the Actions described in this Information Statement. In this Information Statement, all references to the “Company,” “ClearOne,” “we,” “us” or “our” refer to ClearOne, Inc., a Nevada corporation. We are mailing this Information Statement to our stockholders of record as of , 2026 on or about ,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promulgated by the Securities and Exchange Commission (“SEC”) under the Securities Exchange Act of 1934, as amended (the “Exchange Act”), the Actions described herein will not become effective until at least 20 calendar days following the date on which this Information Statement is first mailed to our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will bear the entire cost of furnishing this Information Statement.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RECORD DATE; VOTE REQUIRED; MAJORITY STOCKHOLDER CONSENT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Record Date</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 xml:space="preserve">The close of business on , 2026 has been fixed as the record date for determining stockholders entitled to receive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Vote Required; Action by Written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Nevada Revised Statues (the “NRS”) 78.320 and ClearOne’s governing documents, action may be taken without a meeting by written consent of stockholders holding at least a majority of the voting power. The majority stockholders of ClearOne (the “Majority Stockholders”) executed the written consent and thereby approved the Actions. The record date of such action by written consent was , 2026.</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names of the Majority Stockholders and their respective voting power are set forth under “Consenting Stockholders” below.</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Action</w:t>
      </w:r>
      <w:r>
        <w:rPr>
          <w:rFonts w:ascii="times new roman;times" w:hAnsi="times new roman;times"/>
          <w:sz w:val="20"/>
        </w:rPr>
        <w:t xml:space="preserve"> </w:t>
      </w:r>
      <w:r>
        <w:rPr>
          <w:rFonts w:ascii="times new roman;times" w:hAnsi="times new roman;times"/>
          <w:b/>
          <w:sz w:val="20"/>
        </w:rPr>
        <w:t>by Majority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 2026, in accordance with the applicable provisions of the NRS, the Majority Stockholders approved the following proposed actions (the “Actions”) by written consent</w:t>
      </w:r>
      <w:r>
        <w:rPr>
          <w:rFonts w:ascii="times new roman;times" w:hAnsi="times new roman;times"/>
          <w:b/>
          <w:sz w:val="20"/>
        </w:rPr>
        <w:t>:</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tcPr>
          <w:p>
            <w:pPr>
              <w:pStyle w:val="TableContents"/>
              <w:bidi w:val="0"/>
              <w:spacing w:before="0" w:after="0"/>
              <w:ind w:left="0" w:right="0" w:hanging="0"/>
              <w:jc w:val="left"/>
              <w:rPr>
                <w:sz w:val="20"/>
              </w:rPr>
            </w:pPr>
            <w:r>
              <w:rPr>
                <w:sz w:val="20"/>
              </w:rPr>
              <w:t>1.</w:t>
            </w:r>
          </w:p>
        </w:tc>
        <w:tc>
          <w:tcPr>
            <w:tcW w:w="9972"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 5635(d), to authorize the issuance by the Company of units (each, a “Unit”) consisting of one share of Common Stock and one warrant to purchase one share of Common Stock (“Warrant”), for aggregate gross proceeds of up to $15,000,000, at a price below the Minimum Price (as defined herein), which issuance may result in the issuance, in the aggregate, of twenty percent (20%) or more of the Company’s outstanding Common Stock or voting power following the closing of the transaction, depending on the purchase price determined at the time of issuance.</w:t>
            </w:r>
          </w:p>
        </w:tc>
      </w:tr>
      <w:tr>
        <w:trPr/>
        <w:tc>
          <w:tcPr>
            <w:tcW w:w="233" w:type="dxa"/>
            <w:tcBorders/>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9972"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Rules 5635(c) and 5635(d), the issuance of a number of shares of Common Stock to First Finance Ltd. (“First Finance”), Betelgeuse Capital Advisors Inc. (“Betelgeuse”), Gang3 Capital Ltd. (“Gang3”) and JJK Holdings Ltd. (“JJK”) pursuant to agreements with the Company in connection with past advisory services provided to the Company and to be provided on an ongoing basis, which issuances may result in the issuance, in the aggregate, of twenty percent (20%) or more of the Company’s outstanding Common Stock or voting power.</w:t>
            </w:r>
          </w:p>
        </w:tc>
      </w:tr>
    </w:tbl>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order to obtain the approval of our stockholders for the Actions, we could have convened a special meeting of the stockholders for the specific purpose of voting on such matters. However, Section 78.320 of 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In order to eliminate the costs and management time involved in holding a meeting and obtaining proxies and in order to effect the above Action as early as possible in order to accomplish the purposes hereafter described, we elected to utilize the written consent of the holders of a majority of the outstanding shares of our Common Stock.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MAJORITY STOCKHOLDER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the close of business on , 2026 (the “Voting Record Date”)</w:t>
      </w:r>
      <w:r>
        <w:rPr>
          <w:rFonts w:ascii="times new roman;times" w:hAnsi="times new roman;times"/>
          <w:b/>
          <w:i/>
          <w:sz w:val="20"/>
        </w:rPr>
        <w:t>,</w:t>
      </w:r>
      <w:r>
        <w:rPr>
          <w:rFonts w:ascii="times new roman;times" w:hAnsi="times new roman;times"/>
          <w:sz w:val="20"/>
        </w:rPr>
        <w:t xml:space="preserve"> we had 2,675,412 shares of Common Stock outstanding and entitled to vote on the Actions. Each share of Common Stock outstanding as of the close of business on the Voting Record Date was entitled to one vote with respect to any and all matters presented to the shareholders of the Company for their action or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the Voting Record Date, pursuant to Section 78.320 of the NRS, we received a written consent approving the Actions from stockholders holding an aggregate of 1,641,162 shares of our Common Stock, representing approximately 61.3% of our outstanding shares of Common Stock. Thus, your consent is not required and is not being solicited in connection with the approval of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names of the Majority Stockholders, the number of shares of the Common Stock beneficially owned by each Majority Stockholder as of the Voting Record Date, the total number of votes in favor of the Actions and the percentage of the issued and outstanding voting equity of the Company that voted in favor thereof.</w:t>
      </w:r>
    </w:p>
    <w:tbl>
      <w:tblPr>
        <w:tblW w:w="5000" w:type="pct"/>
        <w:jc w:val="left"/>
        <w:tblInd w:w="-7" w:type="dxa"/>
        <w:tblLayout w:type="fixed"/>
        <w:tblCellMar>
          <w:top w:w="28" w:type="dxa"/>
          <w:left w:w="108" w:type="dxa"/>
          <w:bottom w:w="28" w:type="dxa"/>
          <w:right w:w="108" w:type="dxa"/>
        </w:tblCellMar>
      </w:tblPr>
      <w:tblGrid>
        <w:gridCol w:w="2286"/>
        <w:gridCol w:w="3654"/>
        <w:gridCol w:w="4265"/>
      </w:tblGrid>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Name of Majority Stockholder</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 xml:space="preserve">First Finance Ltd. </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1,641,162</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61.3%</w:t>
            </w:r>
            <w:r>
              <w:rPr>
                <w:rFonts w:ascii="times new roman;times" w:hAnsi="times new roman;times"/>
                <w:position w:val="5"/>
                <w:sz w:val="13"/>
                <w:sz w:val="16"/>
              </w:rPr>
              <w:t>(1)</w:t>
            </w:r>
          </w:p>
        </w:tc>
      </w:tr>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r>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r>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pPr>
            <w:r>
              <w:rPr/>
              <w:t> </w:t>
            </w:r>
          </w:p>
        </w:tc>
      </w:tr>
    </w:tbl>
    <w:p>
      <w:pPr>
        <w:pStyle w:val="TextBody"/>
        <w:bidi w:val="0"/>
        <w:spacing w:lineRule="auto" w:line="288" w:before="200" w:after="200"/>
        <w:ind w:left="720" w:right="0" w:hanging="360"/>
        <w:jc w:val="left"/>
        <w:rPr>
          <w:rFonts w:ascii="times new roman;times" w:hAnsi="times new roman;times"/>
          <w:sz w:val="20"/>
        </w:rPr>
      </w:pPr>
      <w:r>
        <w:rPr>
          <w:rFonts w:ascii="times new roman;times" w:hAnsi="times new roman;times"/>
          <w:sz w:val="20"/>
        </w:rPr>
        <w:t>(1)</w:t>
      </w:r>
      <w:r>
        <w:rPr>
          <w:rFonts w:ascii="times new roman;times" w:hAnsi="times new roman;times"/>
          <w:caps w:val="false"/>
          <w:smallCaps w:val="false"/>
          <w:sz w:val="20"/>
        </w:rPr>
        <w:t xml:space="preserve">    </w:t>
      </w:r>
      <w:r>
        <w:rPr>
          <w:rFonts w:ascii="times new roman;times" w:hAnsi="times new roman;times"/>
          <w:sz w:val="20"/>
        </w:rPr>
        <w:t>Based on 2,675,412 shares of Common Stock outstanding as of the Voting Record Date.</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160"/>
        <w:ind w:left="0" w:right="0" w:hanging="0"/>
        <w:jc w:val="center"/>
        <w:rPr>
          <w:rFonts w:ascii="times new roman;times" w:hAnsi="times new roman;times"/>
          <w:b/>
          <w:sz w:val="20"/>
        </w:rPr>
      </w:pPr>
      <w:r>
        <w:rPr>
          <w:rFonts w:ascii="times new roman;times" w:hAnsi="times new roman;times"/>
          <w:b/>
          <w:sz w:val="20"/>
        </w:rPr>
        <w:t>CORPORATE ACTION TO BE TAKEN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under the Exchange Act, the Unit Issuance Proposal and Advisor Stock Issuance Proposal may not be effected until at least 20 calendar days after the mailing of the accompanying Information Statement to the Company’s stockholders.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1: APPROVAL OF THE ISSUANCE OF THE UNITS.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holders of a majority of the Company’s outstanding voting power have approved, the issuance by the Company of the Units, to one or more investors in a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Units are expected to be issued at a purchase price equal to $3.50 per Unit. The exact purchase price and the number of Units to be issued will be determined at the time of issuance.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Nasdaq Listing Rule 5635(d)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Under Nasdaq Listing Rule 5635(d), stockholder approval is required in connection with a transaction, other than a public offering, involving the sale or issuance by a company of common stock (or securities convertible into or exercisable for common stock) equal to 20% or more of the company’s outstanding common stock or 20% or more of the voting power of such company outstanding before the issuance, at a price that is less than the minimum price, which is defined as the lower of: (i) the Nasdaq Official Closing Price (as reflected on Nasdaq.com) of our Common Stock immediately preceding the signing of the binding agreement, or (ii) the average Nasdaq Official Closing Price of our Common Stock (as reflected on Nasdaq.com) for the five trading days immediately preceding the signing of the binding agreement (the “Minimum Price”).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transaction described in this Action No. 1 involves the issuance by the Company of Units, each consisting of one share of Common Stock and one Warrant, at a purchase price below the Minimum Price. Depending on the purchase price determined at the time of issuance, the issuance of such Units and warrants may result in the issuance, in the aggregate, of 20% or more of the Company’s outstanding Common Stock or voting power following the closing of the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Accordingly, the Board of Directors has determined that, for purposes of complying with Nasdaq Listing Rule 5635(d), the approval of the Company’s stockholders is required in connection with the issuance of such securities.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Possible Effects of the Issuance of Securities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the issuance of the Units is consummated, the Company’s existing stockholders may experience dilution in their ownership interests, voting power, and earnings per share as a result of the issuance of shares of Common Stock and the potential future exercise of the Warrants included in the Units.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exact number of shares of Common Stock to be issued, and the extent of any dilution, cannot be determined at this time because the purchase price and number of Units to be issued will be determined at the time of issuance. Depending on the purchase price determined at the time of issuance, the issuance of the Units may result in the issuance, in the aggregate, of 20% or more of the Company’s outstanding Common Stock or voting power following the closing of the transaction.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illustrative purposes only, and assuming (i) a purchase price per share equal to $3.50 per Unit, and (ii) maximum aggregate gross proceeds of $15,000,000, the Company would issue approximately 4,285,714 shares of Common Stock in connection with the issuance of the Units (excluding any shares issuable upon exercise of the Warrants). Based on 2,675,412 shares of Common Stock outstanding as of the date hereof, this would represent approximately % of the Company’s outstanding Common Stock after such issuance. Each Unit consists of one share of Common Stock and one Warrant to purchase one share of Common Stock, so an equal number of Warrants would also be issued. The actual number of shares of Common Stock (and Warrants) issued, and the resulting dilution to existing stockholders, will depend on the final purchase price and the total number of Units sold.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addition, the exercise of the Warrants included in the Units, if and when exercised, would result in the issuance of additional shares of Common Stock, which could further dilute the ownership interests of existing stockholders. The exercise of such warrants may also have the effect of depressing the market price of our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Board of Directors considered these potential effects and determined that the issuance of the Units and the resulting potential dilution are reasonable and appropriate in light of the Company’s capital needs and strategic objectives.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2: APPROVAL OF SHARE ISSUANCES TO ADVISORS.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holders of a majority of the Company’s outstanding voting power have approved, the issuance of a number of shares of Common Stock pursuant to the Company’s advisor agreements with each of First Finance, Betelgeuse, Gang3 and JJK (the “Advisors”), which may result in the issuance, in the aggregate, of 20% or more of the Company’s outstanding Common Stock or voting power.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August 7, 2026, the Company entered into agreements (each, an “Advisor Agreement”) with each of the Advisors in connection with past advisory services provided to the Company and to be provided on an ongoing basis. Each Advisor Agreement is effective as of June 1, 2026 and will continue until the earlier of (i) final completion of the services set out in each Advisor Agreement or (ii) the Advisor providing ten business days’ prior written notice to the Company, which period may be waived in whole or in part at the Company’s sole discretion.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Advisor Agreement entered into by the Company and First Finance, First Finance will receive 25,000 shares of Common Stock (the “First Finance Compensation”), subject to the approval of our stockholders and other applicable requirements.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Pursuant to the Advisor Agreement entered into by the Company and Betelgeuse, Betelgeuse will receive 90,000 shares of Common Stock (the “Betelgeuse Compensation”), subject to the approval of our stockholders and other applicable requirements.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Advisor Agreement entered into by the Company and Gang3, Gang3 will receive 140,000 shares of Common Stock (the “Gang3 Compensation”), subject to the approval of our stockholders and other applicable requirements. To our knowledge, Eric Boehnke exercises voting and dispositive power with respect to the shares of our Common Stock that are beneficially owned by Gang3. Eric Boehnke has been a director of the Company since June 20, 2025.</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Pursuant to the Advisor Agreement entered into by the Company and JJK, JJK will receive 600,000 shares of Common Stock (the “JJK Compensation”, and, together with the First Finance Compensation, Betelgeuse Compensation and Gang3 Compensation, the “Advisors’ Compensation”), subject to the approval of our stockholders and other applicable requirements.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Nasdaq Listing Rule 5635(c) requires us to obtain stockholder approval prior to the issuance of securities when a stock option or purchase plan is to be established or materially amended or other equity compensation arrangement made or materially amended, pursuant to which stock may be acquired by officers, directors, employees, or consultants.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Under Nasdaq Listing Rule 5635(d), stockholder approval is required in connection with a transaction, other than a public offering, involving the sale or issuance by a company of common stock (or securities convertible into or exercisable for common stock) equal to 20% or more of the company’s outstanding common stock or 20% or more of the voting power of such company outstanding before the issuance, at a price that is less than the Minimum Price.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issuance of our Common Stock for the Advisors’ Compensation under the Advisor Agreements (the “Advisor Stock Issuances”) may result in the issuance, in the aggregate, of 20% or more of the Company’s outstanding Common Stock or voting power.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Accordingly, the Board of Directors has determined that, for purposes of complying with Nasdaq Listing Rules 5635(c) and Rule 5635(d), the approval of the Company’s stockholders is required in connection with the Advisor Stock Issuances.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Advisor Stock Issuances may cause a reduction in the percentage interests of our current stockholders in the voting power, any liquidation value, our book and market value, and in any future earnings. Further, the issuance or resale of the Common Stock issued as part of the Advisors’ Compensation could cause the market price of our Common Stock to decline. The increased number of issued shares could discourage the possibility of, or render more difficult, certain mergers, tender offers, proxy contests or other change of control or ownership transactions.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Equity Compensation Plan Information</w:t>
      </w:r>
    </w:p>
    <w:p>
      <w:pPr>
        <w:pStyle w:val="TextBody"/>
        <w:widowControl/>
        <w:bidi w:val="0"/>
        <w:spacing w:lineRule="auto" w:line="288" w:before="0" w:after="200"/>
        <w:ind w:left="0" w:right="0" w:hanging="0"/>
        <w:jc w:val="both"/>
        <w:rPr>
          <w:rFonts w:ascii="times new roman;times" w:hAnsi="times new roman;times"/>
          <w:b/>
          <w:sz w:val="20"/>
        </w:rPr>
      </w:pPr>
      <w:r>
        <w:rPr>
          <w:rFonts w:ascii="times new roman;times" w:hAnsi="times new roman;times"/>
          <w:b w:val="false"/>
          <w:i w:val="false"/>
          <w:caps w:val="false"/>
          <w:smallCaps w:val="false"/>
          <w:color w:val="000000"/>
          <w:spacing w:val="0"/>
          <w:sz w:val="20"/>
        </w:rPr>
        <w:t>The following table summarizes information, as of December 31, 2025, relating to equity compensation plans of ClearOne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(including individual compensation arrangements) pursuant to which equity securities of ClearOne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are authorized for issuance.</w:t>
      </w:r>
    </w:p>
    <w:tbl>
      <w:tblPr>
        <w:tblW w:w="5000" w:type="pct"/>
        <w:jc w:val="left"/>
        <w:tblInd w:w="0" w:type="dxa"/>
        <w:tblLayout w:type="fixed"/>
        <w:tblCellMar>
          <w:top w:w="0" w:type="dxa"/>
          <w:left w:w="0" w:type="dxa"/>
          <w:bottom w:w="0" w:type="dxa"/>
          <w:right w:w="0" w:type="dxa"/>
        </w:tblCellMar>
      </w:tblPr>
      <w:tblGrid>
        <w:gridCol w:w="1982"/>
        <w:gridCol w:w="60"/>
        <w:gridCol w:w="2216"/>
        <w:gridCol w:w="60"/>
        <w:gridCol w:w="2422"/>
        <w:gridCol w:w="60"/>
        <w:gridCol w:w="3405"/>
      </w:tblGrid>
      <w:tr>
        <w:trPr/>
        <w:tc>
          <w:tcPr>
            <w:tcW w:w="1982"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Plan Category</w:t>
            </w:r>
          </w:p>
        </w:tc>
        <w:tc>
          <w:tcPr>
            <w:tcW w:w="60" w:type="dxa"/>
            <w:tcBorders/>
            <w:vAlign w:val="center"/>
          </w:tcPr>
          <w:p>
            <w:pPr>
              <w:pStyle w:val="TableContents"/>
              <w:keepNext w:val="true"/>
              <w:bidi w:val="0"/>
              <w:spacing w:before="0" w:after="0"/>
              <w:ind w:left="0" w:right="0" w:hanging="0"/>
              <w:jc w:val="center"/>
              <w:rPr/>
            </w:pPr>
            <w:r>
              <w:rPr/>
              <w:t> </w:t>
            </w:r>
          </w:p>
        </w:tc>
        <w:tc>
          <w:tcPr>
            <w:tcW w:w="2216" w:type="dxa"/>
            <w:tcBorders/>
            <w:vAlign w:val="center"/>
          </w:tcPr>
          <w:p>
            <w:pPr>
              <w:pStyle w:val="TableContents"/>
              <w:keepNext w:val="true"/>
              <w:bidi w:val="0"/>
              <w:spacing w:before="0" w:after="0"/>
              <w:ind w:left="0" w:right="0" w:hanging="0"/>
              <w:jc w:val="center"/>
              <w:rPr/>
            </w:pPr>
            <w:r>
              <w:rPr>
                <w:rFonts w:ascii="times new roman;times" w:hAnsi="times new roman;times"/>
                <w:b/>
                <w:sz w:val="20"/>
              </w:rPr>
              <w:t>(a)</w:t>
            </w:r>
            <w:r>
              <w:rPr/>
              <w:br/>
            </w:r>
            <w:r>
              <w:rPr>
                <w:rFonts w:ascii="times new roman;times" w:hAnsi="times new roman;times"/>
                <w:b/>
                <w:sz w:val="20"/>
              </w:rPr>
              <w:t>Number of securities to be issued upon exercise of outstanding options and rights</w:t>
            </w:r>
          </w:p>
        </w:tc>
        <w:tc>
          <w:tcPr>
            <w:tcW w:w="60" w:type="dxa"/>
            <w:tcBorders/>
            <w:vAlign w:val="center"/>
          </w:tcPr>
          <w:p>
            <w:pPr>
              <w:pStyle w:val="TableContents"/>
              <w:keepNext w:val="true"/>
              <w:bidi w:val="0"/>
              <w:spacing w:before="0" w:after="0"/>
              <w:ind w:left="0" w:right="0" w:hanging="0"/>
              <w:jc w:val="center"/>
              <w:rPr/>
            </w:pPr>
            <w:r>
              <w:rPr/>
              <w:t> </w:t>
            </w:r>
          </w:p>
        </w:tc>
        <w:tc>
          <w:tcPr>
            <w:tcW w:w="2422" w:type="dxa"/>
            <w:tcBorders/>
            <w:vAlign w:val="center"/>
          </w:tcPr>
          <w:p>
            <w:pPr>
              <w:pStyle w:val="TableContents"/>
              <w:keepNext w:val="true"/>
              <w:bidi w:val="0"/>
              <w:spacing w:before="0" w:after="0"/>
              <w:ind w:left="0" w:right="0" w:hanging="0"/>
              <w:jc w:val="center"/>
              <w:rPr/>
            </w:pPr>
            <w:r>
              <w:rPr>
                <w:rFonts w:ascii="times new roman;times" w:hAnsi="times new roman;times"/>
                <w:b/>
                <w:sz w:val="20"/>
              </w:rPr>
              <w:t>(b)</w:t>
            </w:r>
            <w:r>
              <w:rPr/>
              <w:br/>
            </w:r>
            <w:r>
              <w:rPr>
                <w:rFonts w:ascii="times new roman;times" w:hAnsi="times new roman;times"/>
                <w:b/>
                <w:sz w:val="20"/>
              </w:rPr>
              <w:t>Weighted</w:t>
            </w:r>
            <w:r>
              <w:rPr>
                <w:rFonts w:ascii="times new roman;times" w:hAnsi="times new roman;times"/>
                <w:sz w:val="20"/>
              </w:rPr>
              <w:noBreakHyphen/>
            </w:r>
            <w:r>
              <w:rPr>
                <w:rFonts w:ascii="times new roman;times" w:hAnsi="times new roman;times"/>
                <w:b/>
                <w:sz w:val="20"/>
              </w:rPr>
              <w:t>average exercise price of outstanding options and rights</w:t>
            </w:r>
          </w:p>
        </w:tc>
        <w:tc>
          <w:tcPr>
            <w:tcW w:w="60" w:type="dxa"/>
            <w:tcBorders/>
            <w:vAlign w:val="center"/>
          </w:tcPr>
          <w:p>
            <w:pPr>
              <w:pStyle w:val="TableContents"/>
              <w:keepNext w:val="true"/>
              <w:bidi w:val="0"/>
              <w:spacing w:before="0" w:after="0"/>
              <w:ind w:left="0" w:right="0" w:hanging="0"/>
              <w:jc w:val="center"/>
              <w:rPr/>
            </w:pPr>
            <w:r>
              <w:rPr/>
              <w:t> </w:t>
            </w:r>
          </w:p>
        </w:tc>
        <w:tc>
          <w:tcPr>
            <w:tcW w:w="3405" w:type="dxa"/>
            <w:tcBorders/>
            <w:vAlign w:val="center"/>
          </w:tcPr>
          <w:p>
            <w:pPr>
              <w:pStyle w:val="TableContents"/>
              <w:keepNext w:val="true"/>
              <w:bidi w:val="0"/>
              <w:spacing w:lineRule="atLeast" w:line="200" w:before="0" w:after="0"/>
              <w:ind w:left="0" w:right="0" w:hanging="0"/>
              <w:jc w:val="center"/>
              <w:rPr/>
            </w:pPr>
            <w:r>
              <w:rPr>
                <w:rFonts w:ascii="times new roman;times" w:hAnsi="times new roman;times"/>
                <w:b/>
                <w:sz w:val="20"/>
              </w:rPr>
              <w:t>(c)</w:t>
            </w:r>
            <w:r>
              <w:rPr/>
              <w:br/>
            </w:r>
            <w:r>
              <w:rPr>
                <w:rFonts w:ascii="times new roman;times" w:hAnsi="times new roman;times"/>
                <w:b/>
                <w:sz w:val="20"/>
              </w:rPr>
              <w:t>Number of securities remaining available for future issuance under equity compensation plans (excluding securities reflected in column(a))</w:t>
            </w:r>
          </w:p>
        </w:tc>
      </w:tr>
      <w:tr>
        <w:trPr/>
        <w:tc>
          <w:tcPr>
            <w:tcW w:w="1982"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Approved by Stockholders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6"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422"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3405"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r>
        <w:trPr/>
        <w:tc>
          <w:tcPr>
            <w:tcW w:w="1982"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Not Approved by Stockholders</w:t>
            </w:r>
          </w:p>
        </w:tc>
        <w:tc>
          <w:tcPr>
            <w:tcW w:w="60" w:type="dxa"/>
            <w:tcBorders/>
            <w:vAlign w:val="center"/>
          </w:tcPr>
          <w:p>
            <w:pPr>
              <w:pStyle w:val="TableContents"/>
              <w:keepNext w:val="true"/>
              <w:bidi w:val="0"/>
              <w:spacing w:before="0" w:after="0"/>
              <w:ind w:left="0" w:right="0" w:hanging="0"/>
              <w:jc w:val="left"/>
              <w:rPr/>
            </w:pPr>
            <w:r>
              <w:rPr/>
              <w:t> </w:t>
            </w:r>
          </w:p>
        </w:tc>
        <w:tc>
          <w:tcPr>
            <w:tcW w:w="2216"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left"/>
              <w:rPr/>
            </w:pPr>
            <w:r>
              <w:rPr/>
              <w:t> </w:t>
            </w:r>
          </w:p>
        </w:tc>
        <w:tc>
          <w:tcPr>
            <w:tcW w:w="2422"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left"/>
              <w:rPr/>
            </w:pPr>
            <w:r>
              <w:rPr/>
              <w:t> </w:t>
            </w:r>
          </w:p>
        </w:tc>
        <w:tc>
          <w:tcPr>
            <w:tcW w:w="3405"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r>
      <w:tr>
        <w:trPr/>
        <w:tc>
          <w:tcPr>
            <w:tcW w:w="198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2216"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center"/>
          </w:tcPr>
          <w:p>
            <w:pPr>
              <w:pStyle w:val="TableContents"/>
              <w:bidi w:val="0"/>
              <w:spacing w:before="0" w:after="0"/>
              <w:ind w:left="0" w:right="0" w:hanging="0"/>
              <w:jc w:val="center"/>
              <w:rPr/>
            </w:pPr>
            <w:r>
              <w:rPr/>
              <w:t> </w:t>
            </w:r>
          </w:p>
        </w:tc>
        <w:tc>
          <w:tcPr>
            <w:tcW w:w="2422"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center"/>
          </w:tcPr>
          <w:p>
            <w:pPr>
              <w:pStyle w:val="TableContents"/>
              <w:bidi w:val="0"/>
              <w:spacing w:before="0" w:after="0"/>
              <w:ind w:left="0" w:right="0" w:hanging="0"/>
              <w:jc w:val="center"/>
              <w:rPr/>
            </w:pPr>
            <w:r>
              <w:rPr/>
              <w:t> </w:t>
            </w:r>
          </w:p>
        </w:tc>
        <w:tc>
          <w:tcPr>
            <w:tcW w:w="3405"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bl>
    <w:p>
      <w:pPr>
        <w:pStyle w:val="TextBody"/>
        <w:bidi w:val="0"/>
        <w:spacing w:before="0" w:after="0"/>
        <w:ind w:left="0" w:right="0" w:hanging="0"/>
        <w:jc w:val="left"/>
        <w:rPr/>
      </w:pPr>
      <w:r>
        <w:rPr/>
      </w:r>
    </w:p>
    <w:p>
      <w:pPr>
        <w:pStyle w:val="TextBody"/>
        <w:widowControl/>
        <w:bidi w:val="0"/>
        <w:spacing w:before="0" w:after="24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Interests of Certain Persons in Action No. 2</w:t>
      </w:r>
    </w:p>
    <w:p>
      <w:pPr>
        <w:pStyle w:val="TextBody"/>
        <w:widowControl/>
        <w:bidi w:val="0"/>
        <w:spacing w:before="0" w:after="24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considering and approving Action No. 2, the Board of Directors considered the interests of Eric Boehnke, a director of the Company since June 20, 2025, in the Gang3 Compensation.</w:t>
      </w:r>
    </w:p>
    <w:p>
      <w:pPr>
        <w:pStyle w:val="TextBody"/>
        <w:widowControl/>
        <w:bidi w:val="0"/>
        <w:spacing w:before="20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EXECUTIVE COMPENSATION</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sets forth the compensation paid or earned by each named executive officer for the years ended December 31, 2025 and 2024.</w:t>
      </w:r>
    </w:p>
    <w:p>
      <w:pPr>
        <w:pStyle w:val="TextBody"/>
        <w:widowControl/>
        <w:bidi w:val="0"/>
        <w:spacing w:before="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Summary Compensation Table</w:t>
      </w:r>
    </w:p>
    <w:tbl>
      <w:tblPr>
        <w:tblW w:w="5000" w:type="pct"/>
        <w:jc w:val="left"/>
        <w:tblInd w:w="0" w:type="dxa"/>
        <w:tblLayout w:type="fixed"/>
        <w:tblCellMar>
          <w:top w:w="0" w:type="dxa"/>
          <w:left w:w="0" w:type="dxa"/>
          <w:bottom w:w="0" w:type="dxa"/>
          <w:right w:w="0" w:type="dxa"/>
        </w:tblCellMar>
      </w:tblPr>
      <w:tblGrid>
        <w:gridCol w:w="2584"/>
        <w:gridCol w:w="60"/>
        <w:gridCol w:w="150"/>
        <w:gridCol w:w="695"/>
        <w:gridCol w:w="60"/>
        <w:gridCol w:w="60"/>
        <w:gridCol w:w="221"/>
        <w:gridCol w:w="840"/>
        <w:gridCol w:w="60"/>
        <w:gridCol w:w="60"/>
        <w:gridCol w:w="1540"/>
        <w:gridCol w:w="986"/>
        <w:gridCol w:w="60"/>
        <w:gridCol w:w="60"/>
        <w:gridCol w:w="283"/>
        <w:gridCol w:w="1442"/>
        <w:gridCol w:w="60"/>
        <w:gridCol w:w="59"/>
        <w:gridCol w:w="150"/>
        <w:gridCol w:w="695"/>
        <w:gridCol w:w="80"/>
      </w:tblGrid>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and Principal Position </w:t>
            </w:r>
          </w:p>
        </w:tc>
        <w:tc>
          <w:tcPr>
            <w:tcW w:w="60" w:type="dxa"/>
            <w:tcBorders/>
            <w:vAlign w:val="center"/>
          </w:tcPr>
          <w:p>
            <w:pPr>
              <w:pStyle w:val="TableContents"/>
              <w:keepNext w:val="true"/>
              <w:bidi w:val="0"/>
              <w:spacing w:before="0" w:after="0"/>
              <w:ind w:left="0" w:right="0" w:hanging="0"/>
              <w:jc w:val="left"/>
              <w:rPr/>
            </w:pPr>
            <w:r>
              <w:rPr/>
              <w:t> </w:t>
            </w:r>
          </w:p>
        </w:tc>
        <w:tc>
          <w:tcPr>
            <w:tcW w:w="84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Salary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061"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526" w:type="dxa"/>
            <w:gridSpan w:val="2"/>
            <w:tcBorders/>
            <w:vAlign w:val="center"/>
          </w:tcPr>
          <w:p>
            <w:pPr>
              <w:pStyle w:val="TableContents"/>
              <w:keepNext w:val="true"/>
              <w:bidi w:val="0"/>
              <w:spacing w:lineRule="atLeast" w:line="220" w:before="0" w:after="0"/>
              <w:ind w:left="0" w:right="0" w:hanging="0"/>
              <w:jc w:val="center"/>
              <w:rPr>
                <w:rFonts w:ascii="times new roman;times" w:hAnsi="times new roman;times"/>
                <w:b/>
                <w:sz w:val="20"/>
              </w:rPr>
            </w:pPr>
            <w:r>
              <w:rPr>
                <w:rFonts w:ascii="times new roman;times" w:hAnsi="times new roman;times"/>
                <w:b/>
                <w:sz w:val="20"/>
              </w:rPr>
              <w:t xml:space="preserve">Non-Equity Incentive Plan Compensation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72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All Other Compensation </w:t>
            </w:r>
          </w:p>
        </w:tc>
        <w:tc>
          <w:tcPr>
            <w:tcW w:w="60" w:type="dxa"/>
            <w:tcBorders/>
            <w:vAlign w:val="center"/>
          </w:tcPr>
          <w:p>
            <w:pPr>
              <w:pStyle w:val="TableContents"/>
              <w:keepNext w:val="true"/>
              <w:bidi w:val="0"/>
              <w:spacing w:before="0" w:after="0"/>
              <w:ind w:left="0" w:right="0" w:hanging="0"/>
              <w:jc w:val="left"/>
              <w:rPr/>
            </w:pPr>
            <w:r>
              <w:rPr/>
              <w:t> </w:t>
            </w:r>
          </w:p>
        </w:tc>
        <w:tc>
          <w:tcPr>
            <w:tcW w:w="59" w:type="dxa"/>
            <w:tcBorders/>
            <w:vAlign w:val="center"/>
          </w:tcPr>
          <w:p>
            <w:pPr>
              <w:pStyle w:val="TableContents"/>
              <w:keepNext w:val="true"/>
              <w:bidi w:val="0"/>
              <w:spacing w:before="0" w:after="0"/>
              <w:ind w:left="0" w:right="0" w:hanging="0"/>
              <w:jc w:val="left"/>
              <w:rPr/>
            </w:pPr>
            <w:r>
              <w:rPr/>
              <w:t> </w:t>
            </w:r>
          </w:p>
        </w:tc>
        <w:tc>
          <w:tcPr>
            <w:tcW w:w="84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b/>
                <w:sz w:val="20"/>
              </w:rPr>
              <w:t>Derek Graham, Chief Executive Officer</w:t>
            </w:r>
            <w:r>
              <w:rPr>
                <w:rFonts w:ascii="times new roman;times" w:hAnsi="times new roman;times"/>
                <w:b/>
                <w:position w:val="5"/>
                <w:sz w:val="13"/>
                <w:sz w:val="16"/>
              </w:rPr>
              <w:t>(1)</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pPr>
            <w:r>
              <w:rPr/>
              <w:t> </w:t>
            </w:r>
          </w:p>
        </w:tc>
        <w:tc>
          <w:tcPr>
            <w:tcW w:w="695"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 w:type="dxa"/>
            <w:tcBorders/>
            <w:shd w:fill="CCEEFF" w:val="clear"/>
            <w:vAlign w:val="center"/>
          </w:tcPr>
          <w:p>
            <w:pPr>
              <w:pStyle w:val="TableContents"/>
              <w:keepNext w:val="true"/>
              <w:bidi w:val="0"/>
              <w:spacing w:before="0" w:after="0"/>
              <w:ind w:left="0" w:right="0" w:hanging="0"/>
              <w:jc w:val="left"/>
              <w:rPr/>
            </w:pPr>
            <w:r>
              <w:rPr/>
              <w:t> </w:t>
            </w:r>
          </w:p>
        </w:tc>
        <w:tc>
          <w:tcPr>
            <w:tcW w:w="84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40" w:type="dxa"/>
            <w:tcBorders/>
            <w:shd w:fill="CCEEFF" w:val="clear"/>
            <w:vAlign w:val="center"/>
          </w:tcPr>
          <w:p>
            <w:pPr>
              <w:pStyle w:val="TableContents"/>
              <w:keepNext w:val="true"/>
              <w:bidi w:val="0"/>
              <w:spacing w:before="0" w:after="0"/>
              <w:ind w:left="0" w:right="0" w:hanging="0"/>
              <w:jc w:val="left"/>
              <w:rPr/>
            </w:pPr>
            <w:r>
              <w:rPr/>
              <w:t> </w:t>
            </w:r>
          </w:p>
        </w:tc>
        <w:tc>
          <w:tcPr>
            <w:tcW w:w="986"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83" w:type="dxa"/>
            <w:tcBorders/>
            <w:shd w:fill="CCEEFF" w:val="clear"/>
            <w:vAlign w:val="center"/>
          </w:tcPr>
          <w:p>
            <w:pPr>
              <w:pStyle w:val="TableContents"/>
              <w:keepNext w:val="true"/>
              <w:bidi w:val="0"/>
              <w:spacing w:before="0" w:after="0"/>
              <w:ind w:left="0" w:right="0" w:hanging="0"/>
              <w:jc w:val="left"/>
              <w:rPr/>
            </w:pPr>
            <w:r>
              <w:rPr/>
              <w:t> </w:t>
            </w:r>
          </w:p>
        </w:tc>
        <w:tc>
          <w:tcPr>
            <w:tcW w:w="1442"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59"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pPr>
            <w:r>
              <w:rPr/>
              <w:t> </w:t>
            </w:r>
          </w:p>
        </w:tc>
        <w:tc>
          <w:tcPr>
            <w:tcW w:w="695" w:type="dxa"/>
            <w:tcBorders/>
            <w:shd w:fill="CCEEFF" w:val="clear"/>
            <w:vAlign w:val="center"/>
          </w:tcPr>
          <w:p>
            <w:pPr>
              <w:pStyle w:val="TableContents"/>
              <w:keepNext w:val="true"/>
              <w:bidi w:val="0"/>
              <w:spacing w:before="0" w:after="0"/>
              <w:ind w:left="0" w:right="0" w:hanging="0"/>
              <w:jc w:val="left"/>
              <w:rPr/>
            </w:pPr>
            <w:r>
              <w:rPr/>
              <w:t> </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2025</w:t>
            </w:r>
          </w:p>
        </w:tc>
        <w:tc>
          <w:tcPr>
            <w:tcW w:w="60"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22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154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283"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59" w:type="dxa"/>
            <w:tcBorders/>
            <w:vAlign w:val="center"/>
          </w:tcPr>
          <w:p>
            <w:pPr>
              <w:pStyle w:val="TableContents"/>
              <w:keepNext w:val="true"/>
              <w:bidi w:val="0"/>
              <w:spacing w:before="0" w:after="0"/>
              <w:ind w:left="0" w:right="0" w:hanging="0"/>
              <w:jc w:val="right"/>
              <w:rPr/>
            </w:pPr>
            <w:r>
              <w:rPr/>
              <w:t> </w:t>
            </w:r>
          </w:p>
        </w:tc>
        <w:tc>
          <w:tcPr>
            <w:tcW w:w="15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238,621</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22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24,336</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154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283"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20,096</w:t>
            </w:r>
            <w:r>
              <w:rPr>
                <w:rFonts w:ascii="times new roman;times" w:hAnsi="times new roman;times"/>
                <w:position w:val="5"/>
                <w:sz w:val="13"/>
                <w:sz w:val="16"/>
              </w:rPr>
              <w:t>(3)</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59" w:type="dxa"/>
            <w:tcBorders/>
            <w:shd w:fill="CCEEFF" w:val="clear"/>
            <w:vAlign w:val="center"/>
          </w:tcPr>
          <w:p>
            <w:pPr>
              <w:pStyle w:val="TableContents"/>
              <w:keepNext w:val="true"/>
              <w:bidi w:val="0"/>
              <w:spacing w:before="0" w:after="0"/>
              <w:ind w:left="0" w:right="0" w:hanging="0"/>
              <w:jc w:val="righ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283,053</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b/>
                <w:sz w:val="20"/>
              </w:rPr>
              <w:t>Simon Brewer, Chief Financial Officer</w:t>
            </w:r>
            <w:r>
              <w:rPr>
                <w:rFonts w:ascii="times new roman;times" w:hAnsi="times new roman;times"/>
                <w:b/>
                <w:position w:val="5"/>
                <w:sz w:val="13"/>
                <w:sz w:val="16"/>
              </w:rPr>
              <w:t>(2)</w:t>
            </w:r>
          </w:p>
        </w:tc>
        <w:tc>
          <w:tcPr>
            <w:tcW w:w="60"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pPr>
            <w:r>
              <w:rPr/>
              <w:t> </w:t>
            </w:r>
          </w:p>
        </w:tc>
        <w:tc>
          <w:tcPr>
            <w:tcW w:w="695"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21" w:type="dxa"/>
            <w:tcBorders/>
            <w:vAlign w:val="center"/>
          </w:tcPr>
          <w:p>
            <w:pPr>
              <w:pStyle w:val="TableContents"/>
              <w:keepNext w:val="true"/>
              <w:bidi w:val="0"/>
              <w:spacing w:before="0" w:after="0"/>
              <w:ind w:left="0" w:right="0" w:hanging="0"/>
              <w:jc w:val="left"/>
              <w:rPr/>
            </w:pPr>
            <w:r>
              <w:rPr/>
              <w:t> </w:t>
            </w:r>
          </w:p>
        </w:tc>
        <w:tc>
          <w:tcPr>
            <w:tcW w:w="84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540" w:type="dxa"/>
            <w:tcBorders/>
            <w:vAlign w:val="center"/>
          </w:tcPr>
          <w:p>
            <w:pPr>
              <w:pStyle w:val="TableContents"/>
              <w:keepNext w:val="true"/>
              <w:bidi w:val="0"/>
              <w:spacing w:before="0" w:after="0"/>
              <w:ind w:left="0" w:right="0" w:hanging="0"/>
              <w:jc w:val="left"/>
              <w:rPr/>
            </w:pPr>
            <w:r>
              <w:rPr/>
              <w:t> </w:t>
            </w:r>
          </w:p>
        </w:tc>
        <w:tc>
          <w:tcPr>
            <w:tcW w:w="986"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83" w:type="dxa"/>
            <w:tcBorders/>
            <w:vAlign w:val="center"/>
          </w:tcPr>
          <w:p>
            <w:pPr>
              <w:pStyle w:val="TableContents"/>
              <w:keepNext w:val="true"/>
              <w:bidi w:val="0"/>
              <w:spacing w:before="0" w:after="0"/>
              <w:ind w:left="0" w:right="0" w:hanging="0"/>
              <w:jc w:val="left"/>
              <w:rPr/>
            </w:pPr>
            <w:r>
              <w:rPr/>
              <w:t> </w:t>
            </w:r>
          </w:p>
        </w:tc>
        <w:tc>
          <w:tcPr>
            <w:tcW w:w="1442"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59"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pPr>
            <w:r>
              <w:rPr/>
              <w:t> </w:t>
            </w:r>
          </w:p>
        </w:tc>
        <w:tc>
          <w:tcPr>
            <w:tcW w:w="695" w:type="dxa"/>
            <w:tcBorders/>
            <w:vAlign w:val="center"/>
          </w:tcPr>
          <w:p>
            <w:pPr>
              <w:pStyle w:val="TableContents"/>
              <w:keepNext w:val="true"/>
              <w:bidi w:val="0"/>
              <w:spacing w:before="0" w:after="0"/>
              <w:ind w:left="0" w:right="0" w:hanging="0"/>
              <w:jc w:val="left"/>
              <w:rPr/>
            </w:pPr>
            <w:r>
              <w:rPr/>
              <w:t> </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2025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4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83"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4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59"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193,846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40,560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59"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234,406</w:t>
            </w:r>
          </w:p>
        </w:tc>
        <w:tc>
          <w:tcPr>
            <w:tcW w:w="8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(1) </w:t>
            </w:r>
          </w:p>
        </w:tc>
        <w:tc>
          <w:tcPr>
            <w:tcW w:w="9874" w:type="dxa"/>
            <w:tcBorders/>
            <w:vAlign w:val="center"/>
          </w:tcPr>
          <w:p>
            <w:pPr>
              <w:pStyle w:val="TableContents"/>
              <w:keepNext w:val="true"/>
              <w:bidi w:val="0"/>
              <w:spacing w:before="0" w:after="0"/>
              <w:ind w:left="0" w:right="0" w:hanging="0"/>
              <w:jc w:val="both"/>
              <w:rPr>
                <w:rFonts w:ascii="times new roman;times" w:hAnsi="times new roman;times"/>
                <w:sz w:val="20"/>
              </w:rPr>
            </w:pPr>
            <w:r>
              <w:rPr>
                <w:rFonts w:ascii="times new roman;times" w:hAnsi="times new roman;times"/>
                <w:sz w:val="20"/>
              </w:rPr>
              <w:t xml:space="preserve">Derek L. Graham was appointed as Interim CEO on May 24, 2022 and became permanent CEO on Jan 26, 2023. </w:t>
            </w:r>
          </w:p>
        </w:tc>
      </w:tr>
      <w:tr>
        <w:trPr/>
        <w:tc>
          <w:tcPr>
            <w:tcW w:w="33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(2)</w:t>
            </w:r>
          </w:p>
        </w:tc>
        <w:tc>
          <w:tcPr>
            <w:tcW w:w="9874" w:type="dxa"/>
            <w:tcBorders/>
            <w:vAlign w:val="center"/>
          </w:tcPr>
          <w:p>
            <w:pPr>
              <w:pStyle w:val="TableContents"/>
              <w:keepNext w:val="true"/>
              <w:bidi w:val="0"/>
              <w:spacing w:before="0" w:after="0"/>
              <w:ind w:left="0" w:right="0" w:hanging="0"/>
              <w:jc w:val="both"/>
              <w:rPr>
                <w:rFonts w:ascii="times new roman;times" w:hAnsi="times new roman;times"/>
                <w:sz w:val="20"/>
              </w:rPr>
            </w:pPr>
            <w:r>
              <w:rPr>
                <w:rFonts w:ascii="times new roman;times" w:hAnsi="times new roman;times"/>
                <w:sz w:val="20"/>
              </w:rPr>
              <w:t>Simon Brewer was appointed as Chief Financial Officer on April 15, 2024.</w:t>
            </w:r>
          </w:p>
        </w:tc>
      </w:tr>
      <w:tr>
        <w:trPr/>
        <w:tc>
          <w:tcPr>
            <w:tcW w:w="33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w:t>
            </w:r>
          </w:p>
        </w:tc>
        <w:tc>
          <w:tcPr>
            <w:tcW w:w="987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Bonuses reflect achievement of specific performance metrics approved by our Compensation Committee.</w:t>
            </w:r>
          </w:p>
        </w:tc>
      </w:tr>
    </w:tbl>
    <w:p>
      <w:pPr>
        <w:pStyle w:val="TextBody"/>
        <w:bidi w:val="0"/>
        <w:spacing w:before="0" w:after="0"/>
        <w:jc w:val="left"/>
        <w:rPr/>
      </w:pPr>
      <w:r>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Executive Separations and Rehirings</w:t>
      </w:r>
      <w:r>
        <w:rPr>
          <w:rFonts w:ascii="times new roman;times" w:hAnsi="times new roman;times"/>
          <w:b w:val="false"/>
          <w:i w:val="false"/>
          <w:caps w:val="false"/>
          <w:smallCaps w:val="false"/>
          <w:color w:val="000000"/>
          <w:spacing w:val="0"/>
          <w:sz w:val="20"/>
        </w:rPr>
        <w:t> </w:t>
      </w:r>
      <w:r>
        <w:rPr>
          <w:rFonts w:ascii="times new roman;times" w:hAnsi="times new roman;times"/>
          <w:b/>
          <w:i w:val="false"/>
          <w:caps w:val="false"/>
          <w:smallCaps w:val="false"/>
          <w:color w:val="000000"/>
          <w:spacing w:val="0"/>
          <w:sz w:val="20"/>
        </w:rPr>
        <w:t>(Subsequent Event)</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December 31, 2025, the Company terminated the employment of Derek Graham (Chief Executive Officer). Mr. Graham received severance of $57,500 (three months base salary), which was accrued at December 31, 2025. Mr. Graham was rehired effective January 2, 2026 under a new employment agreement. A retention bonus was granted to Mr. Graham, contingent upon finishing projects on an agreed upon timeframe.</w:t>
      </w:r>
    </w:p>
    <w:p>
      <w:pPr>
        <w:pStyle w:val="TextBody"/>
        <w:bidi w:val="0"/>
        <w:spacing w:before="0" w:after="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ind w:left="0" w:right="0" w:hanging="0"/>
        <w:jc w:val="left"/>
        <w:rPr/>
      </w:pPr>
      <w:r>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December 31, 2025 the Company terminated the employment of Simon Brewer (Chief Financial Officer). Mr. Brewer received no material severance. Mr. Brewer was rehired effective January 1, 2026 under a new employment agreement. Mr. Brewer received a $75,000 sign-on bonus paid on January 9, 2026. A retention bonus was granted to Mr. Brewer, contingent upon the closing of a future transaction of the Company.</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July 31, 2026, the Company entered into an employment agreement (the “Employment Agreement”) with Simon Brewer (Chief Financial Officer), whereby the Company has retained Mr. Brewer as the chief financial officer of the Company to be effective upon completion of the acquisition of Cortigent, Inc. (“Cortigent”) for an indefinite period, provided that either party may terminate the Employment Agreement upon providing the other party with 30 days’ prior written notice. Mr. Brewer is to be paid an annual base salary of $300,000 and is eligible for an annual discretionary performance bonus. The Company has agreed to grant to Mr. Brewer stock options to purchase up to 200,000 shares of the Company’s common stock at an exercise price equal to the price of the financing to be completed in connection with the acquisition of Cortigent, which options will vest as to 25% on each anniversary of the Employment Agreement. Mr. Brewer is eligible to participate in any benefit plans offered by the Company. The Company may terminate the Employment Agreement with cause at any time by paying any unpaid salary and expenses/benefits. The Company may terminate the Employment Agreement without cause, or Mr. Brewer may resign for good reason (as defined in the Employment Agreement), on 30 days prior written notice, by paying any unpaid salary and expenses/benefits plus a severance payment of six months of the annual salary and continuing any COBRA benefits for such six month period. Mr. Brewer has agreed to not solicit employees or customers for a period of 12 months following any termination of the Employment Agreement and not to disparage the Company or its pas or present officers, directors, managers, employees, products, services or business.</w:t>
      </w:r>
    </w:p>
    <w:p>
      <w:pPr>
        <w:pStyle w:val="TextBody"/>
        <w:widowControl/>
        <w:bidi w:val="0"/>
        <w:spacing w:before="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Outstanding Equity Awards at Fiscal Year-End</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provides information on the holdings of stock options by the named executive officers as of December 31, 2025.</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035"/>
        <w:gridCol w:w="60"/>
        <w:gridCol w:w="1160"/>
        <w:gridCol w:w="490"/>
        <w:gridCol w:w="361"/>
        <w:gridCol w:w="361"/>
        <w:gridCol w:w="1226"/>
        <w:gridCol w:w="462"/>
        <w:gridCol w:w="60"/>
        <w:gridCol w:w="60"/>
        <w:gridCol w:w="151"/>
        <w:gridCol w:w="1512"/>
        <w:gridCol w:w="60"/>
        <w:gridCol w:w="60"/>
        <w:gridCol w:w="60"/>
        <w:gridCol w:w="1217"/>
        <w:gridCol w:w="60"/>
        <w:gridCol w:w="60"/>
        <w:gridCol w:w="60"/>
        <w:gridCol w:w="1605"/>
        <w:gridCol w:w="85"/>
      </w:tblGrid>
      <w:tr>
        <w:trPr/>
        <w:tc>
          <w:tcPr>
            <w:tcW w:w="103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4060"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Number of Securities Underlying Unexercised Options</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51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21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05" w:type="dxa"/>
            <w:tcBorders/>
            <w:vAlign w:val="center"/>
          </w:tcPr>
          <w:p>
            <w:pPr>
              <w:pStyle w:val="TableContents"/>
              <w:bidi w:val="0"/>
              <w:spacing w:before="0" w:after="283"/>
              <w:jc w:val="left"/>
              <w:rPr/>
            </w:pPr>
            <w:r>
              <w:rPr/>
            </w:r>
          </w:p>
        </w:tc>
        <w:tc>
          <w:tcPr>
            <w:tcW w:w="85" w:type="dxa"/>
            <w:tcBorders/>
            <w:vAlign w:val="center"/>
          </w:tcPr>
          <w:p>
            <w:pPr>
              <w:pStyle w:val="TableContents"/>
              <w:bidi w:val="0"/>
              <w:spacing w:before="0" w:after="283"/>
              <w:jc w:val="left"/>
              <w:rPr/>
            </w:pPr>
            <w:r>
              <w:rPr/>
            </w:r>
          </w:p>
        </w:tc>
      </w:tr>
      <w:tr>
        <w:trPr/>
        <w:tc>
          <w:tcPr>
            <w:tcW w:w="1035" w:type="dxa"/>
            <w:tcBorders/>
            <w:vAlign w:val="center"/>
          </w:tcPr>
          <w:p>
            <w:pPr>
              <w:pStyle w:val="TableContents"/>
              <w:widowControl/>
              <w:bidi w:val="0"/>
              <w:spacing w:before="0" w:after="283"/>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Name</w:t>
            </w:r>
          </w:p>
        </w:tc>
        <w:tc>
          <w:tcPr>
            <w:tcW w:w="60" w:type="dxa"/>
            <w:tcBorders/>
            <w:vAlign w:val="center"/>
          </w:tcPr>
          <w:p>
            <w:pPr>
              <w:pStyle w:val="TableContents"/>
              <w:bidi w:val="0"/>
              <w:spacing w:before="0" w:after="283"/>
              <w:jc w:val="left"/>
              <w:rPr/>
            </w:pPr>
            <w:r>
              <w:rPr/>
            </w:r>
          </w:p>
        </w:tc>
        <w:tc>
          <w:tcPr>
            <w:tcW w:w="1650"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Exercisable</w:t>
            </w:r>
          </w:p>
        </w:tc>
        <w:tc>
          <w:tcPr>
            <w:tcW w:w="361" w:type="dxa"/>
            <w:tcBorders/>
            <w:vAlign w:val="center"/>
          </w:tcPr>
          <w:p>
            <w:pPr>
              <w:pStyle w:val="TableContents"/>
              <w:bidi w:val="0"/>
              <w:spacing w:before="0" w:after="283"/>
              <w:jc w:val="left"/>
              <w:rPr/>
            </w:pPr>
            <w:r>
              <w:rPr/>
            </w:r>
          </w:p>
        </w:tc>
        <w:tc>
          <w:tcPr>
            <w:tcW w:w="361" w:type="dxa"/>
            <w:tcBorders/>
            <w:vAlign w:val="center"/>
          </w:tcPr>
          <w:p>
            <w:pPr>
              <w:pStyle w:val="TableContents"/>
              <w:bidi w:val="0"/>
              <w:spacing w:before="0" w:after="283"/>
              <w:jc w:val="left"/>
              <w:rPr/>
            </w:pPr>
            <w:r>
              <w:rPr/>
            </w:r>
          </w:p>
        </w:tc>
        <w:tc>
          <w:tcPr>
            <w:tcW w:w="1688"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Unexercisable</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63"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Exercise Price ($)</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277"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Grant Date</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65"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Expiration Date</w:t>
            </w:r>
          </w:p>
        </w:tc>
        <w:tc>
          <w:tcPr>
            <w:tcW w:w="85" w:type="dxa"/>
            <w:tcBorders/>
            <w:vAlign w:val="center"/>
          </w:tcPr>
          <w:p>
            <w:pPr>
              <w:pStyle w:val="TableContents"/>
              <w:bidi w:val="0"/>
              <w:spacing w:before="0" w:after="283"/>
              <w:jc w:val="left"/>
              <w:rPr/>
            </w:pPr>
            <w:r>
              <w:rPr/>
            </w:r>
          </w:p>
        </w:tc>
      </w:tr>
      <w:tr>
        <w:trPr/>
        <w:tc>
          <w:tcPr>
            <w:tcW w:w="103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Graham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60" w:type="dxa"/>
            <w:tcBorders/>
            <w:shd w:fill="CCEEFF" w:val="clear"/>
            <w:vAlign w:val="center"/>
          </w:tcPr>
          <w:p>
            <w:pPr>
              <w:pStyle w:val="TableContents"/>
              <w:keepNext w:val="true"/>
              <w:bidi w:val="0"/>
              <w:spacing w:before="0" w:after="0"/>
              <w:ind w:left="0" w:right="0" w:hanging="0"/>
              <w:jc w:val="left"/>
              <w:rPr/>
            </w:pPr>
            <w:r>
              <w:rPr/>
              <w:t> </w:t>
            </w:r>
          </w:p>
        </w:tc>
        <w:tc>
          <w:tcPr>
            <w:tcW w:w="49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667</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1226" w:type="dxa"/>
            <w:tcBorders/>
            <w:shd w:fill="CCEEFF" w:val="clear"/>
            <w:vAlign w:val="center"/>
          </w:tcPr>
          <w:p>
            <w:pPr>
              <w:pStyle w:val="TableContents"/>
              <w:keepNext w:val="true"/>
              <w:bidi w:val="0"/>
              <w:spacing w:before="0" w:after="0"/>
              <w:ind w:left="0" w:right="0" w:hanging="0"/>
              <w:jc w:val="left"/>
              <w:rPr/>
            </w:pPr>
            <w:r>
              <w:rPr/>
              <w:t> </w:t>
            </w:r>
          </w:p>
        </w:tc>
        <w:tc>
          <w:tcPr>
            <w:tcW w:w="4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1" w:type="dxa"/>
            <w:tcBorders/>
            <w:shd w:fill="CCEEFF" w:val="clear"/>
            <w:vAlign w:val="center"/>
          </w:tcPr>
          <w:p>
            <w:pPr>
              <w:pStyle w:val="TableContents"/>
              <w:keepNext w:val="true"/>
              <w:bidi w:val="0"/>
              <w:spacing w:before="0" w:after="0"/>
              <w:ind w:left="0" w:right="0" w:hanging="0"/>
              <w:jc w:val="left"/>
              <w:rPr/>
            </w:pPr>
            <w:r>
              <w:rPr/>
              <w:t> </w:t>
            </w:r>
          </w:p>
        </w:tc>
        <w:tc>
          <w:tcPr>
            <w:tcW w:w="151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37.500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1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60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85" w:type="dxa"/>
            <w:tcBorders/>
            <w:shd w:fill="CCEEFF" w:val="clear"/>
            <w:vAlign w:val="center"/>
          </w:tcPr>
          <w:p>
            <w:pPr>
              <w:pStyle w:val="TableContents"/>
              <w:keepNext w:val="true"/>
              <w:bidi w:val="0"/>
              <w:spacing w:before="0" w:after="0"/>
              <w:ind w:left="0" w:right="0" w:hanging="0"/>
              <w:jc w:val="left"/>
              <w:rPr/>
            </w:pPr>
            <w:r>
              <w:rPr/>
              <w:t> </w:t>
            </w:r>
          </w:p>
        </w:tc>
      </w:tr>
      <w:tr>
        <w:trPr/>
        <w:tc>
          <w:tcPr>
            <w:tcW w:w="1035"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160" w:type="dxa"/>
            <w:tcBorders/>
            <w:vAlign w:val="center"/>
          </w:tcPr>
          <w:p>
            <w:pPr>
              <w:pStyle w:val="TableContents"/>
              <w:keepNext w:val="true"/>
              <w:bidi w:val="0"/>
              <w:spacing w:before="0" w:after="0"/>
              <w:ind w:left="0" w:right="0" w:hanging="0"/>
              <w:jc w:val="left"/>
              <w:rPr/>
            </w:pPr>
            <w:r>
              <w:rPr/>
              <w:t> </w:t>
            </w:r>
          </w:p>
        </w:tc>
        <w:tc>
          <w:tcPr>
            <w:tcW w:w="49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1,666</w:t>
            </w:r>
          </w:p>
        </w:tc>
        <w:tc>
          <w:tcPr>
            <w:tcW w:w="361" w:type="dxa"/>
            <w:tcBorders/>
            <w:vAlign w:val="center"/>
          </w:tcPr>
          <w:p>
            <w:pPr>
              <w:pStyle w:val="TableContents"/>
              <w:keepNext w:val="true"/>
              <w:bidi w:val="0"/>
              <w:spacing w:before="0" w:after="0"/>
              <w:ind w:left="0" w:right="0" w:hanging="0"/>
              <w:jc w:val="left"/>
              <w:rPr/>
            </w:pPr>
            <w:r>
              <w:rPr/>
              <w:t> </w:t>
            </w:r>
          </w:p>
        </w:tc>
        <w:tc>
          <w:tcPr>
            <w:tcW w:w="361" w:type="dxa"/>
            <w:tcBorders/>
            <w:vAlign w:val="center"/>
          </w:tcPr>
          <w:p>
            <w:pPr>
              <w:pStyle w:val="TableContents"/>
              <w:keepNext w:val="true"/>
              <w:bidi w:val="0"/>
              <w:spacing w:before="0" w:after="0"/>
              <w:ind w:left="0" w:right="0" w:hanging="0"/>
              <w:jc w:val="left"/>
              <w:rPr/>
            </w:pPr>
            <w:r>
              <w:rPr/>
              <w:t> </w:t>
            </w:r>
          </w:p>
        </w:tc>
        <w:tc>
          <w:tcPr>
            <w:tcW w:w="1226" w:type="dxa"/>
            <w:tcBorders/>
            <w:vAlign w:val="center"/>
          </w:tcPr>
          <w:p>
            <w:pPr>
              <w:pStyle w:val="TableContents"/>
              <w:keepNext w:val="true"/>
              <w:bidi w:val="0"/>
              <w:spacing w:before="0" w:after="0"/>
              <w:ind w:left="0" w:right="0" w:hanging="0"/>
              <w:jc w:val="left"/>
              <w:rPr/>
            </w:pPr>
            <w:r>
              <w:rPr/>
              <w:t> </w:t>
            </w:r>
          </w:p>
        </w:tc>
        <w:tc>
          <w:tcPr>
            <w:tcW w:w="46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334</w:t>
            </w:r>
            <w:r>
              <w:rPr>
                <w:rFonts w:ascii="times new roman;times" w:hAnsi="times new roman;times"/>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51" w:type="dxa"/>
            <w:tcBorders/>
            <w:vAlign w:val="center"/>
          </w:tcPr>
          <w:p>
            <w:pPr>
              <w:pStyle w:val="TableContents"/>
              <w:keepNext w:val="true"/>
              <w:bidi w:val="0"/>
              <w:spacing w:before="0" w:after="0"/>
              <w:ind w:left="0" w:right="0" w:hanging="0"/>
              <w:jc w:val="left"/>
              <w:rPr/>
            </w:pPr>
            <w:r>
              <w:rPr/>
              <w:t> </w:t>
            </w:r>
          </w:p>
        </w:tc>
        <w:tc>
          <w:tcPr>
            <w:tcW w:w="151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15.150</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217"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06-15-2023</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60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06-15-2029</w:t>
            </w:r>
          </w:p>
        </w:tc>
        <w:tc>
          <w:tcPr>
            <w:tcW w:w="85" w:type="dxa"/>
            <w:tcBorders/>
            <w:vAlign w:val="center"/>
          </w:tcPr>
          <w:p>
            <w:pPr>
              <w:pStyle w:val="TableContents"/>
              <w:keepNext w:val="true"/>
              <w:bidi w:val="0"/>
              <w:spacing w:before="0" w:after="0"/>
              <w:ind w:left="0" w:right="0" w:hanging="0"/>
              <w:jc w:val="left"/>
              <w:rPr/>
            </w:pPr>
            <w:r>
              <w:rPr/>
              <w:t> </w:t>
            </w:r>
          </w:p>
        </w:tc>
      </w:tr>
      <w:tr>
        <w:trPr/>
        <w:tc>
          <w:tcPr>
            <w:tcW w:w="1035"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60" w:type="dxa"/>
            <w:tcBorders/>
            <w:shd w:fill="CCEEFF" w:val="clear"/>
            <w:vAlign w:val="center"/>
          </w:tcPr>
          <w:p>
            <w:pPr>
              <w:pStyle w:val="TableContents"/>
              <w:keepNext w:val="true"/>
              <w:bidi w:val="0"/>
              <w:spacing w:before="0" w:after="0"/>
              <w:ind w:left="0" w:right="0" w:hanging="0"/>
              <w:jc w:val="left"/>
              <w:rPr/>
            </w:pPr>
            <w:r>
              <w:rPr/>
              <w:t> </w:t>
            </w:r>
          </w:p>
        </w:tc>
        <w:tc>
          <w:tcPr>
            <w:tcW w:w="49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1226" w:type="dxa"/>
            <w:tcBorders/>
            <w:shd w:fill="CCEEFF" w:val="clear"/>
            <w:vAlign w:val="center"/>
          </w:tcPr>
          <w:p>
            <w:pPr>
              <w:pStyle w:val="TableContents"/>
              <w:keepNext w:val="true"/>
              <w:bidi w:val="0"/>
              <w:spacing w:before="0" w:after="0"/>
              <w:ind w:left="0" w:right="0" w:hanging="0"/>
              <w:jc w:val="left"/>
              <w:rPr/>
            </w:pPr>
            <w:r>
              <w:rPr/>
              <w:t> </w:t>
            </w:r>
          </w:p>
        </w:tc>
        <w:tc>
          <w:tcPr>
            <w:tcW w:w="4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1" w:type="dxa"/>
            <w:tcBorders/>
            <w:shd w:fill="CCEEFF" w:val="clear"/>
            <w:vAlign w:val="center"/>
          </w:tcPr>
          <w:p>
            <w:pPr>
              <w:pStyle w:val="TableContents"/>
              <w:keepNext w:val="true"/>
              <w:bidi w:val="0"/>
              <w:spacing w:before="0" w:after="0"/>
              <w:ind w:left="0" w:right="0" w:hanging="0"/>
              <w:jc w:val="left"/>
              <w:rPr/>
            </w:pPr>
            <w:r>
              <w:rPr/>
              <w:t> </w:t>
            </w:r>
          </w:p>
        </w:tc>
        <w:tc>
          <w:tcPr>
            <w:tcW w:w="151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1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60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5" w:type="dxa"/>
            <w:tcBorders/>
            <w:shd w:fill="CCEEFF" w:val="clear"/>
            <w:vAlign w:val="center"/>
          </w:tcPr>
          <w:p>
            <w:pPr>
              <w:pStyle w:val="TableContents"/>
              <w:keepNext w:val="true"/>
              <w:bidi w:val="0"/>
              <w:spacing w:before="0" w:after="0"/>
              <w:ind w:left="0" w:right="0" w:hanging="0"/>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Simon Brewer</w:t>
            </w:r>
          </w:p>
        </w:tc>
        <w:tc>
          <w:tcPr>
            <w:tcW w:w="60"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6,667</w:t>
            </w:r>
          </w:p>
        </w:tc>
        <w:tc>
          <w:tcPr>
            <w:tcW w:w="3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226"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60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left"/>
              <w:rPr>
                <w:rFonts w:ascii="times new roman;times" w:hAnsi="times new roman;times"/>
                <w:position w:val="7"/>
                <w:sz w:val="16"/>
                <w:sz w:val="20"/>
              </w:rPr>
            </w:pPr>
            <w:r>
              <w:rPr>
                <w:rFonts w:ascii="times new roman;times" w:hAnsi="times new roman;times"/>
                <w:position w:val="7"/>
                <w:sz w:val="16"/>
                <w:sz w:val="20"/>
              </w:rPr>
              <w:t xml:space="preserve">(1) </w:t>
            </w:r>
          </w:p>
        </w:tc>
        <w:tc>
          <w:tcPr>
            <w:tcW w:w="996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One-third of the shares underlying each stock option vest on the first anniversary of the grant date and the remaining shares vest equally over a period of 24 months following the first anniversary of the grant date. </w:t>
            </w:r>
          </w:p>
        </w:tc>
      </w:tr>
    </w:tbl>
    <w:p>
      <w:pPr>
        <w:pStyle w:val="TextBody"/>
        <w:bidi w:val="0"/>
        <w:ind w:left="0" w:right="0" w:hanging="0"/>
        <w:jc w:val="left"/>
        <w:rPr/>
      </w:pPr>
      <w:r>
        <w:rPr/>
      </w:r>
    </w:p>
    <w:p>
      <w:pPr>
        <w:pStyle w:val="TextBody"/>
        <w:widowControl/>
        <w:bidi w:val="0"/>
        <w:spacing w:before="0" w:after="1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Option Exercises and Stock Veste</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were no exercises of stock options by named executive officers during 2025.</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1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Director Compensation</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compensation paid to non-employee directors for the year ended December 31, 2025.</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781"/>
        <w:gridCol w:w="73"/>
        <w:gridCol w:w="672"/>
        <w:gridCol w:w="2333"/>
        <w:gridCol w:w="73"/>
        <w:gridCol w:w="73"/>
        <w:gridCol w:w="996"/>
        <w:gridCol w:w="638"/>
        <w:gridCol w:w="73"/>
        <w:gridCol w:w="73"/>
        <w:gridCol w:w="1875"/>
        <w:gridCol w:w="344"/>
        <w:gridCol w:w="36"/>
        <w:gridCol w:w="37"/>
        <w:gridCol w:w="36"/>
        <w:gridCol w:w="40"/>
        <w:gridCol w:w="33"/>
        <w:gridCol w:w="207"/>
        <w:gridCol w:w="720"/>
        <w:gridCol w:w="92"/>
      </w:tblGrid>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w:t>
            </w:r>
          </w:p>
        </w:tc>
        <w:tc>
          <w:tcPr>
            <w:tcW w:w="73" w:type="dxa"/>
            <w:tcBorders/>
            <w:vAlign w:val="center"/>
          </w:tcPr>
          <w:p>
            <w:pPr>
              <w:pStyle w:val="TableContents"/>
              <w:keepNext w:val="true"/>
              <w:bidi w:val="0"/>
              <w:spacing w:before="0" w:after="0"/>
              <w:ind w:left="0" w:right="0" w:hanging="0"/>
              <w:jc w:val="left"/>
              <w:rPr/>
            </w:pPr>
            <w:r>
              <w:rPr/>
              <w:t> </w:t>
            </w:r>
          </w:p>
        </w:tc>
        <w:tc>
          <w:tcPr>
            <w:tcW w:w="3005" w:type="dxa"/>
            <w:gridSpan w:val="2"/>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Fees Earned or Paid in Cash </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634"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2219"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Other Compensation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6" w:type="dxa"/>
            <w:gridSpan w:val="2"/>
            <w:tcBorders/>
            <w:vAlign w:val="center"/>
          </w:tcPr>
          <w:p>
            <w:pPr>
              <w:pStyle w:val="TableContents"/>
              <w:keepNext w:val="true"/>
              <w:bidi w:val="0"/>
              <w:spacing w:before="0" w:after="0"/>
              <w:ind w:left="0" w:right="0" w:hanging="0"/>
              <w:jc w:val="left"/>
              <w:rPr/>
            </w:pPr>
            <w:r>
              <w:rPr/>
              <w:t> </w:t>
            </w:r>
          </w:p>
        </w:tc>
        <w:tc>
          <w:tcPr>
            <w:tcW w:w="960" w:type="dxa"/>
            <w:gridSpan w:val="3"/>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2"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333"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6"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3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87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380" w:type="dxa"/>
            <w:gridSpan w:val="2"/>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20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2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Lisa B. Higley</w:t>
            </w:r>
          </w:p>
        </w:tc>
        <w:tc>
          <w:tcPr>
            <w:tcW w:w="73" w:type="dxa"/>
            <w:tcBorders/>
            <w:vAlign w:val="center"/>
          </w:tcPr>
          <w:p>
            <w:pPr>
              <w:pStyle w:val="TableContents"/>
              <w:keepNext w:val="true"/>
              <w:bidi w:val="0"/>
              <w:spacing w:before="0" w:after="0"/>
              <w:ind w:left="0" w:right="0" w:hanging="0"/>
              <w:jc w:val="left"/>
              <w:rPr/>
            </w:pPr>
            <w:r>
              <w:rPr/>
              <w:t> </w:t>
            </w:r>
          </w:p>
        </w:tc>
        <w:tc>
          <w:tcPr>
            <w:tcW w:w="672" w:type="dxa"/>
            <w:tcBorders/>
            <w:vAlign w:val="center"/>
          </w:tcPr>
          <w:p>
            <w:pPr>
              <w:pStyle w:val="TableContents"/>
              <w:keepNext w:val="true"/>
              <w:bidi w:val="0"/>
              <w:spacing w:before="0" w:after="0"/>
              <w:ind w:left="0" w:right="0" w:hanging="0"/>
              <w:jc w:val="left"/>
              <w:rPr/>
            </w:pPr>
            <w:r>
              <w:rPr/>
              <w:t> </w:t>
            </w:r>
          </w:p>
        </w:tc>
        <w:tc>
          <w:tcPr>
            <w:tcW w:w="2333"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6" w:type="dxa"/>
            <w:tcBorders/>
            <w:vAlign w:val="center"/>
          </w:tcPr>
          <w:p>
            <w:pPr>
              <w:pStyle w:val="TableContents"/>
              <w:keepNext w:val="true"/>
              <w:bidi w:val="0"/>
              <w:spacing w:before="0" w:after="0"/>
              <w:ind w:left="0" w:right="0" w:hanging="0"/>
              <w:jc w:val="left"/>
              <w:rPr/>
            </w:pPr>
            <w:r>
              <w:rPr/>
              <w:t> </w:t>
            </w:r>
          </w:p>
        </w:tc>
        <w:tc>
          <w:tcPr>
            <w:tcW w:w="638"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875" w:type="dxa"/>
            <w:tcBorders/>
            <w:vAlign w:val="center"/>
          </w:tcPr>
          <w:p>
            <w:pPr>
              <w:pStyle w:val="TableContents"/>
              <w:keepNext w:val="true"/>
              <w:bidi w:val="0"/>
              <w:spacing w:before="0" w:after="0"/>
              <w:ind w:left="0" w:right="0" w:hanging="0"/>
              <w:jc w:val="left"/>
              <w:rPr/>
            </w:pPr>
            <w:r>
              <w:rPr/>
              <w:t> </w:t>
            </w:r>
          </w:p>
        </w:tc>
        <w:tc>
          <w:tcPr>
            <w:tcW w:w="380" w:type="dxa"/>
            <w:gridSpan w:val="2"/>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207" w:type="dxa"/>
            <w:tcBorders/>
            <w:vAlign w:val="center"/>
          </w:tcPr>
          <w:p>
            <w:pPr>
              <w:pStyle w:val="TableContents"/>
              <w:keepNext w:val="true"/>
              <w:bidi w:val="0"/>
              <w:spacing w:before="0" w:after="0"/>
              <w:ind w:left="0" w:right="0" w:hanging="0"/>
              <w:jc w:val="left"/>
              <w:rPr/>
            </w:pPr>
            <w:r>
              <w:rPr/>
              <w:t> </w:t>
            </w:r>
          </w:p>
        </w:tc>
        <w:tc>
          <w:tcPr>
            <w:tcW w:w="72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Eric Boehnke</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2" w:type="dxa"/>
            <w:tcBorders/>
            <w:shd w:fill="CCEEFF" w:val="clear"/>
            <w:vAlign w:val="center"/>
          </w:tcPr>
          <w:p>
            <w:pPr>
              <w:pStyle w:val="TableContents"/>
              <w:keepNext w:val="true"/>
              <w:bidi w:val="0"/>
              <w:spacing w:before="0" w:after="0"/>
              <w:ind w:left="0" w:right="0" w:hanging="0"/>
              <w:jc w:val="left"/>
              <w:rPr/>
            </w:pPr>
            <w:r>
              <w:rPr/>
              <w:t> </w:t>
            </w:r>
          </w:p>
        </w:tc>
        <w:tc>
          <w:tcPr>
            <w:tcW w:w="2333"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6" w:type="dxa"/>
            <w:tcBorders/>
            <w:shd w:fill="CCEEFF" w:val="clear"/>
            <w:vAlign w:val="center"/>
          </w:tcPr>
          <w:p>
            <w:pPr>
              <w:pStyle w:val="TableContents"/>
              <w:keepNext w:val="true"/>
              <w:bidi w:val="0"/>
              <w:spacing w:before="0" w:after="0"/>
              <w:ind w:left="0" w:right="0" w:hanging="0"/>
              <w:jc w:val="left"/>
              <w:rPr/>
            </w:pPr>
            <w:r>
              <w:rPr/>
              <w:t> </w:t>
            </w:r>
          </w:p>
        </w:tc>
        <w:tc>
          <w:tcPr>
            <w:tcW w:w="63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875" w:type="dxa"/>
            <w:tcBorders/>
            <w:shd w:fill="CCEEFF" w:val="clear"/>
            <w:vAlign w:val="center"/>
          </w:tcPr>
          <w:p>
            <w:pPr>
              <w:pStyle w:val="TableContents"/>
              <w:keepNext w:val="true"/>
              <w:bidi w:val="0"/>
              <w:spacing w:before="0" w:after="0"/>
              <w:ind w:left="0" w:right="0" w:hanging="0"/>
              <w:jc w:val="left"/>
              <w:rPr/>
            </w:pPr>
            <w:r>
              <w:rPr/>
              <w:t> </w:t>
            </w:r>
          </w:p>
        </w:tc>
        <w:tc>
          <w:tcPr>
            <w:tcW w:w="380" w:type="dxa"/>
            <w:gridSpan w:val="2"/>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207" w:type="dxa"/>
            <w:tcBorders/>
            <w:shd w:fill="CCEEFF" w:val="clear"/>
            <w:vAlign w:val="center"/>
          </w:tcPr>
          <w:p>
            <w:pPr>
              <w:pStyle w:val="TableContents"/>
              <w:keepNext w:val="true"/>
              <w:bidi w:val="0"/>
              <w:spacing w:before="0" w:after="0"/>
              <w:ind w:left="0" w:right="0" w:hanging="0"/>
              <w:jc w:val="left"/>
              <w:rPr/>
            </w:pPr>
            <w:r>
              <w:rPr/>
              <w:t> </w:t>
            </w:r>
          </w:p>
        </w:tc>
        <w:tc>
          <w:tcPr>
            <w:tcW w:w="72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73" w:type="dxa"/>
            <w:tcBorders/>
            <w:vAlign w:val="center"/>
          </w:tcPr>
          <w:p>
            <w:pPr>
              <w:pStyle w:val="TableContents"/>
              <w:keepNext w:val="true"/>
              <w:bidi w:val="0"/>
              <w:spacing w:before="0" w:after="0"/>
              <w:ind w:left="0" w:right="0" w:hanging="0"/>
              <w:jc w:val="left"/>
              <w:rPr/>
            </w:pPr>
            <w:r>
              <w:rPr/>
              <w:t> </w:t>
            </w:r>
          </w:p>
        </w:tc>
        <w:tc>
          <w:tcPr>
            <w:tcW w:w="672" w:type="dxa"/>
            <w:tcBorders/>
            <w:vAlign w:val="center"/>
          </w:tcPr>
          <w:p>
            <w:pPr>
              <w:pStyle w:val="TableContents"/>
              <w:keepNext w:val="true"/>
              <w:bidi w:val="0"/>
              <w:spacing w:before="0" w:after="0"/>
              <w:ind w:left="0" w:right="0" w:hanging="0"/>
              <w:jc w:val="left"/>
              <w:rPr/>
            </w:pPr>
            <w:r>
              <w:rPr/>
              <w:t> </w:t>
            </w:r>
          </w:p>
        </w:tc>
        <w:tc>
          <w:tcPr>
            <w:tcW w:w="2333"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6" w:type="dxa"/>
            <w:tcBorders/>
            <w:vAlign w:val="center"/>
          </w:tcPr>
          <w:p>
            <w:pPr>
              <w:pStyle w:val="TableContents"/>
              <w:keepNext w:val="true"/>
              <w:bidi w:val="0"/>
              <w:spacing w:before="0" w:after="0"/>
              <w:ind w:left="0" w:right="0" w:hanging="0"/>
              <w:jc w:val="left"/>
              <w:rPr/>
            </w:pPr>
            <w:r>
              <w:rPr/>
              <w:t> </w:t>
            </w:r>
          </w:p>
        </w:tc>
        <w:tc>
          <w:tcPr>
            <w:tcW w:w="638"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875" w:type="dxa"/>
            <w:tcBorders/>
            <w:vAlign w:val="center"/>
          </w:tcPr>
          <w:p>
            <w:pPr>
              <w:pStyle w:val="TableContents"/>
              <w:keepNext w:val="true"/>
              <w:bidi w:val="0"/>
              <w:spacing w:before="0" w:after="0"/>
              <w:ind w:left="0" w:right="0" w:hanging="0"/>
              <w:jc w:val="left"/>
              <w:rPr/>
            </w:pPr>
            <w:r>
              <w:rPr/>
              <w:t> </w:t>
            </w:r>
          </w:p>
        </w:tc>
        <w:tc>
          <w:tcPr>
            <w:tcW w:w="380" w:type="dxa"/>
            <w:gridSpan w:val="2"/>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207" w:type="dxa"/>
            <w:tcBorders/>
            <w:vAlign w:val="center"/>
          </w:tcPr>
          <w:p>
            <w:pPr>
              <w:pStyle w:val="TableContents"/>
              <w:keepNext w:val="true"/>
              <w:bidi w:val="0"/>
              <w:spacing w:before="0" w:after="0"/>
              <w:ind w:left="0" w:right="0" w:hanging="0"/>
              <w:jc w:val="left"/>
              <w:rPr/>
            </w:pPr>
            <w:r>
              <w:rPr/>
              <w:t> </w:t>
            </w:r>
          </w:p>
        </w:tc>
        <w:tc>
          <w:tcPr>
            <w:tcW w:w="72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Youngsun Park</w:t>
            </w:r>
          </w:p>
        </w:tc>
        <w:tc>
          <w:tcPr>
            <w:tcW w:w="73"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left"/>
              <w:rPr/>
            </w:pPr>
            <w:r>
              <w:rPr/>
              <w:t> </w:t>
            </w:r>
          </w:p>
        </w:tc>
        <w:tc>
          <w:tcPr>
            <w:tcW w:w="233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875" w:type="dxa"/>
            <w:tcBorders/>
            <w:shd w:fill="CCEEFF" w:val="clear"/>
            <w:vAlign w:val="center"/>
          </w:tcPr>
          <w:p>
            <w:pPr>
              <w:pStyle w:val="TableContents"/>
              <w:bidi w:val="0"/>
              <w:spacing w:before="0" w:after="0"/>
              <w:ind w:left="0" w:right="0" w:hanging="0"/>
              <w:jc w:val="left"/>
              <w:rPr/>
            </w:pPr>
            <w:r>
              <w:rPr/>
              <w:t> </w:t>
            </w:r>
          </w:p>
        </w:tc>
        <w:tc>
          <w:tcPr>
            <w:tcW w:w="3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shd w:fill="CCEEFF" w:val="clear"/>
            <w:vAlign w:val="center"/>
          </w:tcPr>
          <w:p>
            <w:pPr>
              <w:pStyle w:val="TableContents"/>
              <w:bidi w:val="0"/>
              <w:spacing w:before="0" w:after="0"/>
              <w:ind w:left="0" w:right="0" w:hanging="0"/>
              <w:jc w:val="left"/>
              <w:rPr/>
            </w:pPr>
            <w:r>
              <w:rPr/>
              <w:t> </w:t>
            </w:r>
          </w:p>
        </w:tc>
        <w:tc>
          <w:tcPr>
            <w:tcW w:w="73" w:type="dxa"/>
            <w:gridSpan w:val="2"/>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9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All directors are reimbursed by the Company for their out-of-pocket travel and related expenses, if any, incurred in attending all Board of Directors and committee meetings. However, during 2025,</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no expenses were reimbursed to any director.</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283"/>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SECURITY OWNERSHIP OF CERTAIN BENEFICIAL OWNERS AND MANAGEMENT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certain information with respect to the beneficial ownership of our Common Stock as of , 2026:</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of our directors;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all of our current directors, named executive officers and executive officers as a group; and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person or group known by us to be the beneficial owner of more than 5%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based our calculation of the percentage of beneficial ownership on 2,675,412 shares of our Common Stock, NIL shares of our Class A Preferred Stock and NIL shares of our Class B Preferred Stock outstanding as of , 2026. We have deemed shares of our Common Stock subject to stock options that are currently exercisable or exercisable within 60 days of ,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 </w:t>
      </w:r>
    </w:p>
    <w:tbl>
      <w:tblPr>
        <w:tblW w:w="5000" w:type="pct"/>
        <w:jc w:val="left"/>
        <w:tblInd w:w="0" w:type="dxa"/>
        <w:tblLayout w:type="fixed"/>
        <w:tblCellMar>
          <w:top w:w="0" w:type="dxa"/>
          <w:left w:w="0" w:type="dxa"/>
          <w:bottom w:w="0" w:type="dxa"/>
          <w:right w:w="0" w:type="dxa"/>
        </w:tblCellMar>
      </w:tblPr>
      <w:tblGrid>
        <w:gridCol w:w="6103"/>
        <w:gridCol w:w="63"/>
        <w:gridCol w:w="1574"/>
        <w:gridCol w:w="72"/>
        <w:gridCol w:w="2314"/>
        <w:gridCol w:w="79"/>
      </w:tblGrid>
      <w:tr>
        <w:trPr/>
        <w:tc>
          <w:tcPr>
            <w:tcW w:w="6103" w:type="dxa"/>
            <w:tcBorders/>
            <w:shd w:fill="FFFFFF" w:val="clear"/>
            <w:vAlign w:val="center"/>
          </w:tcPr>
          <w:p>
            <w:pPr>
              <w:pStyle w:val="TableContents"/>
              <w:keepNext w:val="true"/>
              <w:bidi w:val="0"/>
              <w:spacing w:before="0" w:after="0"/>
              <w:ind w:left="200" w:right="0" w:hanging="200"/>
              <w:jc w:val="left"/>
              <w:rPr/>
            </w:pPr>
            <w:r>
              <w:rPr/>
              <w:t>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103" w:type="dxa"/>
            <w:tcBorders/>
            <w:shd w:fill="FFFFFF" w:val="clear"/>
            <w:vAlign w:val="center"/>
          </w:tcPr>
          <w:p>
            <w:pPr>
              <w:pStyle w:val="TableContents"/>
              <w:keepNext w:val="true"/>
              <w:bidi w:val="0"/>
              <w:spacing w:before="0" w:after="0"/>
              <w:ind w:left="200" w:right="0" w:hanging="200"/>
              <w:jc w:val="left"/>
              <w:rPr/>
            </w:pPr>
            <w:r>
              <w:rPr/>
              <w:t>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3960" w:type="dxa"/>
            <w:gridSpan w:val="3"/>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Amount and Nature of Beneficial Ownership </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b/>
                <w:sz w:val="20"/>
              </w:rPr>
              <w:t>Name of Beneficial Owner</w:t>
            </w:r>
            <w:r>
              <w:rPr>
                <w:rFonts w:ascii="times new roman;times" w:hAnsi="times new roman;times"/>
                <w:b/>
                <w:position w:val="5"/>
                <w:sz w:val="13"/>
                <w:sz w:val="16"/>
              </w:rPr>
              <w:t>(1)</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Common Stock</w:t>
            </w:r>
          </w:p>
        </w:tc>
        <w:tc>
          <w:tcPr>
            <w:tcW w:w="72" w:type="dxa"/>
            <w:tcBorders/>
            <w:shd w:fill="FFFFFF" w:val="clear"/>
            <w:vAlign w:val="center"/>
          </w:tcPr>
          <w:p>
            <w:pPr>
              <w:pStyle w:val="TableContents"/>
              <w:keepNext w:val="true"/>
              <w:bidi w:val="0"/>
              <w:spacing w:before="0" w:after="0"/>
              <w:ind w:left="0" w:right="0" w:hanging="0"/>
              <w:jc w:val="center"/>
              <w:rPr/>
            </w:pPr>
            <w:r>
              <w:rPr/>
              <w:t> </w:t>
            </w:r>
          </w:p>
        </w:tc>
        <w:tc>
          <w:tcPr>
            <w:tcW w:w="2314" w:type="dxa"/>
            <w:tcBorders/>
            <w:shd w:fill="FFFF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b/>
                <w:sz w:val="20"/>
              </w:rPr>
              <w:t>% of Common Stock</w:t>
            </w:r>
            <w:r>
              <w:rPr>
                <w:rFonts w:ascii="times new roman;times" w:hAnsi="times new roman;times"/>
                <w:b/>
                <w:position w:val="5"/>
                <w:sz w:val="13"/>
                <w:sz w:val="16"/>
              </w:rPr>
              <w:t>(2)</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Directors and Executive Officers</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pPr>
            <w:r>
              <w:rPr/>
              <w:t> </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pPr>
            <w:r>
              <w:rPr/>
              <w:t> </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Derek L. Graham</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351</w:t>
            </w:r>
          </w:p>
        </w:tc>
        <w:tc>
          <w:tcPr>
            <w:tcW w:w="72" w:type="dxa"/>
            <w:tcBorders/>
            <w:shd w:fill="FFFFFF" w:val="clear"/>
            <w:vAlign w:val="center"/>
          </w:tcPr>
          <w:p>
            <w:pPr>
              <w:pStyle w:val="TableContents"/>
              <w:keepNext w:val="true"/>
              <w:bidi w:val="0"/>
              <w:spacing w:before="0" w:after="0"/>
              <w:ind w:left="0" w:right="0" w:hanging="0"/>
              <w:jc w:val="lef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Boehnke</w:t>
            </w:r>
            <w:r>
              <w:rPr>
                <w:rFonts w:ascii="times new roman;times" w:hAnsi="times new roman;times"/>
                <w:position w:val="5"/>
                <w:sz w:val="13"/>
                <w:sz w:val="16"/>
              </w:rPr>
              <w:t>(3)</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Lisa B. Higley</w:t>
            </w:r>
            <w:r>
              <w:rPr>
                <w:rFonts w:ascii="times new roman;times" w:hAnsi="times new roman;times"/>
                <w:position w:val="5"/>
                <w:sz w:val="13"/>
                <w:sz w:val="16"/>
              </w:rPr>
              <w:t xml:space="preserve">(4)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1,633</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Youngsun Park</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L. Robinson</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2,006</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Bruce Whaley</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1,467</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Simon Brewer</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All current directors and executive officers as a group (seven persons)</w:t>
            </w:r>
            <w:r>
              <w:rPr>
                <w:rFonts w:ascii="times new roman;times" w:hAnsi="times new roman;times"/>
                <w:position w:val="7"/>
                <w:sz w:val="16"/>
                <w:sz w:val="20"/>
              </w:rPr>
              <w:t xml:space="preserve"> </w:t>
            </w:r>
            <w:r>
              <w:rPr>
                <w:rFonts w:ascii="times new roman;times" w:hAnsi="times new roman;times"/>
                <w:position w:val="5"/>
                <w:sz w:val="13"/>
                <w:sz w:val="16"/>
              </w:rPr>
              <w:t>(5)</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5,457</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Greater than 5% stockholders</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pPr>
            <w:r>
              <w:rPr/>
              <w:t> </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pPr>
            <w:r>
              <w:rPr/>
              <w:t> </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First Finance Ltd.</w:t>
            </w:r>
            <w:r>
              <w:rPr>
                <w:rFonts w:ascii="times new roman;times" w:hAnsi="times new roman;times"/>
                <w:position w:val="5"/>
                <w:sz w:val="13"/>
                <w:sz w:val="16"/>
              </w:rPr>
              <w:t>(6)</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1,641,162</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61.3%</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Edward D. Bagley</w:t>
            </w:r>
            <w:r>
              <w:rPr>
                <w:rFonts w:ascii="times new roman;times" w:hAnsi="times new roman;times"/>
                <w:position w:val="5"/>
                <w:sz w:val="13"/>
                <w:sz w:val="16"/>
              </w:rPr>
              <w:t>(7)</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142,669</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5.3%</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bl>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______________</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360" w:right="0" w:hanging="360"/>
        <w:jc w:val="left"/>
        <w:rPr>
          <w:rFonts w:ascii="times new roman;times" w:hAnsi="times new roman;times"/>
          <w:sz w:val="20"/>
        </w:rPr>
      </w:pPr>
      <w:r>
        <w:rPr>
          <w:rFonts w:ascii="times new roman;times" w:hAnsi="times new roman;times"/>
          <w:sz w:val="20"/>
        </w:rPr>
        <w:t xml:space="preserve">*              Represents less than 1%.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w:t>
            </w:r>
            <w:r>
              <w:rPr>
                <w:color w:val="000000"/>
                <w:spacing w:val="0"/>
              </w:rPr>
              <w:t> </w:t>
            </w:r>
            <w:r>
              <w:rPr>
                <w:rFonts w:ascii="times new roman;times" w:hAnsi="times new roman;times"/>
                <w:b w:val="false"/>
                <w:color w:val="000000"/>
                <w:spacing w:val="0"/>
                <w:sz w:val="20"/>
              </w:rPr>
              <w:t>or preferred stock subject to options, warrants</w:t>
            </w:r>
            <w:r>
              <w:rPr>
                <w:color w:val="000000"/>
                <w:spacing w:val="0"/>
              </w:rPr>
              <w:t> </w:t>
            </w:r>
            <w:r>
              <w:rPr>
                <w:rFonts w:ascii="times new roman;times" w:hAnsi="times new roman;times"/>
                <w:b w:val="false"/>
                <w:color w:val="000000"/>
                <w:spacing w:val="0"/>
                <w:sz w:val="20"/>
              </w:rPr>
              <w:t>or convertible securities currently exercisable or convertible or exercisable or convertible within 60 days, are deemed outstanding for purposes of computing the percentage ownership of the person holding such options, warrants</w:t>
            </w:r>
            <w:r>
              <w:rPr>
                <w:color w:val="000000"/>
                <w:spacing w:val="0"/>
              </w:rPr>
              <w:t> </w:t>
            </w:r>
            <w:r>
              <w:rPr>
                <w:rFonts w:ascii="times new roman;times" w:hAnsi="times new roman;times"/>
                <w:b w:val="false"/>
                <w:color w:val="000000"/>
                <w:spacing w:val="0"/>
                <w:sz w:val="20"/>
              </w:rPr>
              <w:t>or convertible securities, but are not deemed outstanding for purposes of computing the percentage ownership of any other person.</w:t>
            </w:r>
          </w:p>
        </w:tc>
      </w:tr>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Percentage of Common Stock is based on 2,675,412 shares of our Common Stock issued and outstanding as of</w:t>
            </w:r>
            <w:r>
              <w:rPr>
                <w:color w:val="000000"/>
                <w:spacing w:val="0"/>
              </w:rPr>
              <w:t> </w:t>
            </w:r>
            <w:r>
              <w:rPr>
                <w:rFonts w:ascii="times new roman;times" w:hAnsi="times new roman;times"/>
                <w:b w:val="false"/>
                <w:color w:val="000000"/>
                <w:spacing w:val="0"/>
                <w:sz w:val="20"/>
              </w:rPr>
              <w:t>, 2026. No shares of Class A Preferred Stock or Class B Preferred Stock</w:t>
            </w:r>
            <w:r>
              <w:rPr>
                <w:color w:val="000000"/>
                <w:spacing w:val="0"/>
              </w:rPr>
              <w:t> </w:t>
            </w:r>
            <w:r>
              <w:rPr>
                <w:rFonts w:ascii="times new roman;times" w:hAnsi="times new roman;times"/>
                <w:b w:val="false"/>
                <w:color w:val="000000"/>
                <w:spacing w:val="0"/>
                <w:sz w:val="20"/>
              </w:rPr>
              <w:t>are outstanding.</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(3)</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Subject to the approval of our stockholders and other applicable requirements, Gang3 Capital Ltd. will receive 140,000 shares of our Common Stock to be issued pursuant to an agreement with the Company in connection with past advisory services provided to the Company </w:t>
            </w:r>
            <w:r>
              <w:rPr>
                <w:rFonts w:ascii="Times New Roman;serif" w:hAnsi="Times New Roman;serif"/>
                <w:b w:val="false"/>
                <w:color w:val="000000"/>
                <w:spacing w:val="0"/>
                <w:sz w:val="20"/>
              </w:rPr>
              <w:t xml:space="preserve">and </w:t>
            </w:r>
            <w:r>
              <w:rPr>
                <w:rFonts w:ascii="times new roman;times" w:hAnsi="times new roman;times"/>
                <w:b w:val="false"/>
                <w:color w:val="000000"/>
                <w:spacing w:val="0"/>
                <w:sz w:val="20"/>
              </w:rPr>
              <w:t>to be provided on an ongoing basis</w:t>
            </w:r>
            <w:r>
              <w:rPr>
                <w:rFonts w:ascii="times new roman;times" w:hAnsi="times new roman;times"/>
                <w:b w:val="false"/>
                <w:color w:val="000000"/>
                <w:spacing w:val="0"/>
                <w:sz w:val="20"/>
              </w:rPr>
              <w:t>. Eric Boehnke exercises voting and dispositive power with respect to the shares of our Common Stock that are beneficially owned by Gang3 Capital Ltd.</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(4)</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Lisa </w:t>
            </w:r>
            <w:r>
              <w:rPr/>
              <w:t>Higley</w:t>
            </w:r>
            <w:r>
              <w:rPr>
                <w:rFonts w:ascii="times new roman;times" w:hAnsi="times new roman;times"/>
                <w:b w:val="false"/>
                <w:color w:val="000000"/>
                <w:spacing w:val="0"/>
                <w:sz w:val="20"/>
              </w:rPr>
              <w:t>, who was appointed a Director effective July 20, 2020, is the daughter of Edward D. Bagley, and each of them has previously disclaimed beneficial ownership of Common Stock beneficially owned by the other. The share amounts indicated for Ms. </w:t>
            </w:r>
            <w:r>
              <w:rPr/>
              <w:t>Higley</w:t>
            </w:r>
            <w:r>
              <w:rPr>
                <w:color w:val="000000"/>
                <w:spacing w:val="0"/>
              </w:rPr>
              <w:t> </w:t>
            </w:r>
            <w:r>
              <w:rPr>
                <w:rFonts w:ascii="times new roman;times" w:hAnsi="times new roman;times"/>
                <w:b w:val="false"/>
                <w:color w:val="000000"/>
                <w:spacing w:val="0"/>
                <w:sz w:val="20"/>
              </w:rPr>
              <w:t>do not include any shares held by Edward D. Bagley, 437 shares owned by her spouse, or 150,175 shares held by a trust in which she is a co-trustee.</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(5)</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Excludes 140,000 shares of our Common Stock to be issued to Gang3 Capital Ltd.</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(6)</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Hromyk</w:t>
            </w:r>
            <w:r>
              <w:rPr>
                <w:color w:val="000000"/>
                <w:spacing w:val="0"/>
              </w:rPr>
              <w:t> </w:t>
            </w:r>
            <w:r>
              <w:rPr>
                <w:rFonts w:ascii="times new roman;times" w:hAnsi="times new roman;times"/>
                <w:b w:val="false"/>
                <w:color w:val="000000"/>
                <w:spacing w:val="0"/>
                <w:sz w:val="20"/>
              </w:rPr>
              <w:t>may be deemed to beneficially own all such shares. The principal business address of First Finance Ltd. and Mr. Hromyk is 520 Newport Center Drive, Suite 650, Newport Beach, CA 92660.</w:t>
            </w:r>
          </w:p>
        </w:tc>
      </w:tr>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w:t>
            </w:r>
          </w:p>
        </w:tc>
        <w:tc>
          <w:tcPr>
            <w:tcW w:w="9887" w:type="dxa"/>
            <w:tcBorders/>
            <w:vAlign w:val="center"/>
          </w:tcPr>
          <w:p>
            <w:pPr>
              <w:pStyle w:val="TableContents"/>
              <w:widowControl/>
              <w:bidi w:val="0"/>
              <w:spacing w:before="0" w:after="0"/>
              <w:ind w:left="0" w:right="0" w:hanging="360"/>
              <w:jc w:val="both"/>
              <w:rPr/>
            </w:pPr>
            <w:r>
              <w:rPr>
                <w:rFonts w:ascii="times new roman;times" w:hAnsi="times new roman;times"/>
                <w:b w:val="false"/>
                <w:color w:val="000000"/>
                <w:spacing w:val="0"/>
                <w:sz w:val="20"/>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w:t>
            </w:r>
            <w:r>
              <w:rPr/>
              <w:t>Higley</w:t>
            </w:r>
            <w:r>
              <w:rPr>
                <w:rFonts w:ascii="times new roman;times" w:hAnsi="times new roman;times"/>
                <w:b w:val="false"/>
                <w:color w:val="000000"/>
                <w:spacing w:val="0"/>
                <w:sz w:val="20"/>
              </w:rPr>
              <w:t>.</w:t>
            </w:r>
          </w:p>
        </w:tc>
      </w:tr>
    </w:tbl>
    <w:p>
      <w:pPr>
        <w:pStyle w:val="Heading2"/>
        <w:bidi w:val="0"/>
        <w:spacing w:before="0" w:after="0"/>
        <w:ind w:left="0" w:right="0" w:hanging="0"/>
        <w:jc w:val="center"/>
        <w:rPr>
          <w:rFonts w:ascii="times new roman;times" w:hAnsi="times new roman;times"/>
          <w:b/>
          <w:sz w:val="20"/>
        </w:rPr>
      </w:pPr>
      <w:r>
        <w:rPr>
          <w:rFonts w:ascii="times new roman;times" w:hAnsi="times new roman;times"/>
          <w:b/>
          <w:sz w:val="20"/>
        </w:rPr>
      </w:r>
    </w:p>
    <w:p>
      <w:pPr>
        <w:pStyle w:val="Heading2"/>
        <w:bidi w:val="0"/>
        <w:spacing w:before="0" w:after="0"/>
        <w:ind w:left="0" w:right="0" w:hanging="0"/>
        <w:jc w:val="center"/>
        <w:rPr>
          <w:rFonts w:ascii="times new roman;times" w:hAnsi="times new roman;times"/>
          <w:b/>
          <w:sz w:val="20"/>
        </w:rPr>
      </w:pPr>
      <w:r>
        <w:rPr>
          <w:rFonts w:ascii="times new roman;times" w:hAnsi="times new roman;times"/>
          <w:b/>
          <w:sz w:val="20"/>
        </w:rPr>
        <w:t>DELIVERY OF DOCUMENTS TO SECURITY HOLDERS SHARING AN ADDRESS</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ClearOne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ClearOne should direct the additional copy of the Information Statement, to ClearOne at 7533 S. Center View Ct., #5311, West Jordan, Utah 84084.</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multiple stockholders sharing an address have received one copy of this Information Statement or any other corporate mailing and would prefer ClearOne to mail each stockholder a separate copy of future mailings, you may mail notification to, or call ClearOne at, its principal executive offices. Additionally, if current stockholders with a shared address received multiple copies of this Information Statement or other corporate mailings and would prefer ClearOne to mail one copy of future mailings to stockholders at the shared address, notification of such request may also be made by mail or telephone to ClearOne’s principal executive offices.</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WHERE YOU CAN FIND MORE INFORMATION ABOUT 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ClearOne is subject to the informational requirements of the Exchange Act, and in accordance therewith files reports and other information with the SEC. The SEC maintains a web site that contains reports, proxy and information statements and other information regarding registrants that file electronically with the SEC. The address of the web site is www.sec.gov.</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you would like to request documents from ClearOne, please send a request in writing or by telephone to ClearOne at the following addresses: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br/>
      </w:r>
      <w:r>
        <w:rPr>
          <w:rFonts w:ascii="times new roman;times" w:hAnsi="times new roman;times"/>
          <w:b/>
          <w:sz w:val="20"/>
        </w:rPr>
        <w:t>7533 S Center View Ct. # 5311</w:t>
      </w:r>
      <w:r>
        <w:rPr>
          <w:rFonts w:ascii="times new roman;times" w:hAnsi="times new roman;times"/>
          <w:sz w:val="20"/>
        </w:rPr>
        <w:br/>
      </w:r>
      <w:r>
        <w:rPr>
          <w:rFonts w:ascii="times new roman;times" w:hAnsi="times new roman;times"/>
          <w:b/>
          <w:sz w:val="20"/>
        </w:rPr>
        <w:t>West Jordan, Utah 84084</w:t>
      </w:r>
      <w:r>
        <w:rPr>
          <w:rFonts w:ascii="times new roman;times" w:hAnsi="times new roman;times"/>
          <w:sz w:val="20"/>
        </w:rPr>
        <w:br/>
      </w:r>
      <w:r>
        <w:rPr>
          <w:rFonts w:ascii="times new roman;times" w:hAnsi="times new roman;times"/>
          <w:b/>
          <w:sz w:val="20"/>
        </w:rPr>
        <w:t>+1 (801) 975-7200</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w:t>
      </w:r>
      <w:r>
        <w:rPr>
          <w:rFonts w:ascii="times new roman;times" w:hAnsi="times new roman;times"/>
          <w:spacing w:val="-2"/>
          <w:sz w:val="20"/>
        </w:rPr>
        <w:t>Directors,</w:t>
      </w:r>
    </w:p>
    <w:p>
      <w:pPr>
        <w:pStyle w:val="TextBody"/>
        <w:bidi w:val="0"/>
        <w:spacing w:lineRule="auto" w:line="240" w:before="240" w:after="0"/>
        <w:ind w:left="0" w:right="0" w:hanging="0"/>
        <w:jc w:val="left"/>
        <w:rPr/>
      </w:pPr>
      <w:r>
        <w:rPr/>
      </w:r>
    </w:p>
    <w:p>
      <w:pPr>
        <w:pStyle w:val="TextBody"/>
        <w:bidi w:val="0"/>
        <w:spacing w:lineRule="auto" w:line="240" w:before="240" w:after="0"/>
        <w:ind w:left="0" w:right="0" w:hanging="0"/>
        <w:jc w:val="left"/>
        <w:rPr>
          <w:rFonts w:ascii="times new roman;times" w:hAnsi="times new roman;times"/>
          <w:sz w:val="20"/>
        </w:rPr>
      </w:pPr>
      <w:r>
        <w:rPr>
          <w:rFonts w:ascii="times new roman;times" w:hAnsi="times new roman;times"/>
          <w:sz w:val="20"/>
        </w:rPr>
        <w:t>____________________</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____________________, 2026</w:t>
      </w:r>
    </w:p>
    <w:p>
      <w:pPr>
        <w:pStyle w:val="TextBody"/>
        <w:widowControl/>
        <w:bidi w:val="0"/>
        <w:spacing w:lineRule="auto" w:line="288" w:before="73"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5265</Words>
  <Characters>27479</Characters>
  <CharactersWithSpaces>32766</CharactersWithSpaces>
  <Paragraphs>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