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79"/>
        <w:spacing w:after="0"/>
        <w:rPr>
          <w:sz w:val="20"/>
          <w:szCs w:val="20"/>
          <w:color w:val="auto"/>
        </w:rPr>
      </w:pPr>
      <w:r>
        <w:rPr>
          <w:rFonts w:ascii="Arial" w:cs="Arial" w:eastAsia="Arial" w:hAnsi="Arial"/>
          <w:sz w:val="22"/>
          <w:szCs w:val="22"/>
          <w:b w:val="1"/>
          <w:bCs w:val="1"/>
          <w:color w:val="auto"/>
        </w:rPr>
        <w:t>WASHINGTON, DC 20549</w:t>
      </w:r>
    </w:p>
    <w:p>
      <w:pPr>
        <w:spacing w:after="0" w:line="142"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(Rule 14a-101)</w:t>
      </w:r>
    </w:p>
    <w:p>
      <w:pPr>
        <w:spacing w:after="0" w:line="142"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SCHEDULE 14A INFORMATION</w:t>
      </w:r>
    </w:p>
    <w:p>
      <w:pPr>
        <w:spacing w:after="0" w:line="185" w:lineRule="exact"/>
        <w:rPr>
          <w:sz w:val="24"/>
          <w:szCs w:val="24"/>
          <w:color w:val="auto"/>
        </w:rPr>
      </w:pPr>
    </w:p>
    <w:p>
      <w:pPr>
        <w:ind w:left="2260"/>
        <w:spacing w:after="0"/>
        <w:rPr>
          <w:sz w:val="20"/>
          <w:szCs w:val="20"/>
          <w:color w:val="auto"/>
        </w:rPr>
      </w:pPr>
      <w:r>
        <w:rPr>
          <w:rFonts w:ascii="Arial" w:cs="Arial" w:eastAsia="Arial" w:hAnsi="Arial"/>
          <w:sz w:val="22"/>
          <w:szCs w:val="22"/>
          <w:color w:val="auto"/>
        </w:rPr>
        <w:t>Proxy Statement Pursuant to Section 14(a) of</w:t>
      </w:r>
    </w:p>
    <w:p>
      <w:pPr>
        <w:spacing w:after="0" w:line="8"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the Securities Exchange Act of 1934</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 x</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Filed by a Party other than the Registrant o</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166"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Preliminary Proxy Statement.</w:t>
      </w:r>
    </w:p>
    <w:p>
      <w:pPr>
        <w:spacing w:after="0" w:line="8"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Confidential, for Use of the Commission Only (as permitted by Rule 14a-6(e)(2)).</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x</w:t>
      </w:r>
      <w:r>
        <w:rPr>
          <w:rFonts w:ascii="Arial" w:cs="Arial" w:eastAsia="Arial" w:hAnsi="Arial"/>
          <w:sz w:val="19"/>
          <w:szCs w:val="19"/>
          <w:color w:val="auto"/>
        </w:rPr>
        <w:t>Definitive Proxy Statement.</w:t>
      </w:r>
    </w:p>
    <w:p>
      <w:pPr>
        <w:ind w:left="620" w:hanging="612"/>
        <w:spacing w:after="0" w:line="230"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Additional Materials.</w:t>
      </w: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§240.14a-12.</w:t>
      </w:r>
    </w:p>
    <w:p>
      <w:pPr>
        <w:spacing w:after="0" w:line="155"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ind w:right="1779"/>
        <w:spacing w:after="0"/>
        <w:rPr>
          <w:sz w:val="20"/>
          <w:szCs w:val="20"/>
          <w:color w:val="auto"/>
        </w:rPr>
      </w:pPr>
      <w:r>
        <w:rPr>
          <w:rFonts w:ascii="Arial" w:cs="Arial" w:eastAsia="Arial" w:hAnsi="Arial"/>
          <w:sz w:val="18"/>
          <w:szCs w:val="18"/>
          <w:color w:val="auto"/>
        </w:rPr>
        <w:t>(Name of Registrant as Specified in its Charter)</w:t>
      </w:r>
    </w:p>
    <w:p>
      <w:pPr>
        <w:spacing w:after="0" w:line="175"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(Name of Person(s) Filing Proxy Statement, if other than Registrant)</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179" w:lineRule="exact"/>
        <w:rPr>
          <w:sz w:val="24"/>
          <w:szCs w:val="24"/>
          <w:color w:val="auto"/>
        </w:rPr>
      </w:pPr>
    </w:p>
    <w:p>
      <w:pPr>
        <w:ind w:left="620" w:hanging="612"/>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 fee required.</w:t>
      </w:r>
    </w:p>
    <w:p>
      <w:pPr>
        <w:ind w:left="620" w:hanging="612"/>
        <w:spacing w:after="0" w:line="238"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Fee computed on table below per Exchange Act Rules 14a-6(i)(4) and 0-11.</w:t>
      </w: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Aggregate</w:t>
      </w:r>
    </w:p>
    <w:p>
      <w:pPr>
        <w:ind w:left="1300" w:right="1799" w:hanging="644"/>
        <w:spacing w:after="0" w:line="230" w:lineRule="auto"/>
        <w:tabs>
          <w:tab w:leader="none" w:pos="1273" w:val="left"/>
        </w:tabs>
        <w:numPr>
          <w:ilvl w:val="1"/>
          <w:numId w:val="3"/>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Arial" w:cs="Arial" w:eastAsia="Arial" w:hAnsi="Arial"/>
          <w:sz w:val="22"/>
          <w:szCs w:val="22"/>
          <w:color w:val="auto"/>
        </w:rPr>
      </w:pP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Total fee paid:</w:t>
      </w:r>
    </w:p>
    <w:p>
      <w:pPr>
        <w:ind w:left="620" w:hanging="612"/>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ind w:left="660" w:right="1939" w:hanging="652"/>
        <w:spacing w:after="0" w:line="233"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rFonts w:ascii="Arial" w:cs="Arial" w:eastAsia="Arial" w:hAnsi="Arial"/>
          <w:sz w:val="22"/>
          <w:szCs w:val="22"/>
          <w:color w:val="auto"/>
        </w:rPr>
      </w:pPr>
    </w:p>
    <w:p>
      <w:pPr>
        <w:ind w:left="1280" w:hanging="624"/>
        <w:spacing w:after="0"/>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8" w:lineRule="exact"/>
        <w:rPr>
          <w:rFonts w:ascii="Arial" w:cs="Arial" w:eastAsia="Arial" w:hAnsi="Arial"/>
          <w:sz w:val="22"/>
          <w:szCs w:val="22"/>
          <w:color w:val="auto"/>
        </w:rPr>
      </w:pP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Filing Party:</w:t>
      </w:r>
    </w:p>
    <w:p>
      <w:pPr>
        <w:ind w:left="1280" w:hanging="624"/>
        <w:spacing w:after="0"/>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535114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jc w:val="center"/>
        <w:ind w:right="17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2970530</wp:posOffset>
            </wp:positionH>
            <wp:positionV relativeFrom="page">
              <wp:posOffset>88900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CLEARONE COMMUNICATIONS, INC.</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5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JUNE 8, 2011</w:t>
      </w:r>
    </w:p>
    <w:p>
      <w:pPr>
        <w:spacing w:after="0" w:line="172" w:lineRule="exact"/>
        <w:rPr>
          <w:sz w:val="20"/>
          <w:szCs w:val="20"/>
          <w:color w:val="auto"/>
        </w:rPr>
      </w:pPr>
    </w:p>
    <w:p>
      <w:pPr>
        <w:ind w:right="2019" w:firstLine="648"/>
        <w:spacing w:after="0" w:line="258" w:lineRule="auto"/>
        <w:rPr>
          <w:sz w:val="20"/>
          <w:szCs w:val="20"/>
          <w:color w:val="auto"/>
        </w:rPr>
      </w:pPr>
      <w:r>
        <w:rPr>
          <w:rFonts w:ascii="Arial" w:cs="Arial" w:eastAsia="Arial" w:hAnsi="Arial"/>
          <w:sz w:val="21"/>
          <w:szCs w:val="21"/>
          <w:color w:val="auto"/>
        </w:rPr>
        <w:t>The Annual Meeting of Shareholders of ClearOne Communications, Inc., a Utah corporation, will be held at 9:00 a.m., local time, on Wednesday, June 8, 2011, at our corporate offices, 5225 Wiley Post Way, Suite 500, Salt Lake City, Utah 84116.</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describes the purpose of the Annual Meeting:</w:t>
      </w:r>
    </w:p>
    <w:p>
      <w:pPr>
        <w:spacing w:after="0" w:line="166" w:lineRule="exact"/>
        <w:rPr>
          <w:sz w:val="20"/>
          <w:szCs w:val="20"/>
          <w:color w:val="auto"/>
        </w:rPr>
      </w:pPr>
    </w:p>
    <w:p>
      <w:pPr>
        <w:ind w:left="1280" w:hanging="624"/>
        <w:spacing w:after="0"/>
        <w:tabs>
          <w:tab w:leader="none" w:pos="1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elect five members of our Board of Directors;</w:t>
      </w:r>
    </w:p>
    <w:p>
      <w:pPr>
        <w:spacing w:after="0" w:line="165" w:lineRule="exact"/>
        <w:rPr>
          <w:rFonts w:ascii="Arial" w:cs="Arial" w:eastAsia="Arial" w:hAnsi="Arial"/>
          <w:sz w:val="22"/>
          <w:szCs w:val="22"/>
          <w:color w:val="auto"/>
        </w:rPr>
      </w:pPr>
    </w:p>
    <w:p>
      <w:pPr>
        <w:ind w:left="1280" w:hanging="624"/>
        <w:spacing w:after="0"/>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ratify the appointment of the Company's independent public accountants; and</w:t>
      </w:r>
    </w:p>
    <w:p>
      <w:pPr>
        <w:spacing w:after="0" w:line="200" w:lineRule="exact"/>
        <w:rPr>
          <w:rFonts w:ascii="Arial" w:cs="Arial" w:eastAsia="Arial" w:hAnsi="Arial"/>
          <w:sz w:val="19"/>
          <w:szCs w:val="19"/>
          <w:color w:val="auto"/>
        </w:rPr>
      </w:pPr>
    </w:p>
    <w:p>
      <w:pPr>
        <w:ind w:left="1140" w:right="2179" w:hanging="484"/>
        <w:spacing w:after="0" w:line="251" w:lineRule="auto"/>
        <w:tabs>
          <w:tab w:leader="none" w:pos="1113"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133" w:lineRule="exact"/>
        <w:rPr>
          <w:sz w:val="20"/>
          <w:szCs w:val="20"/>
          <w:color w:val="auto"/>
        </w:rPr>
      </w:pPr>
    </w:p>
    <w:p>
      <w:pPr>
        <w:ind w:right="1959" w:firstLine="648"/>
        <w:spacing w:after="0" w:line="238" w:lineRule="auto"/>
        <w:rPr>
          <w:sz w:val="20"/>
          <w:szCs w:val="20"/>
          <w:color w:val="auto"/>
        </w:rPr>
      </w:pPr>
      <w:r>
        <w:rPr>
          <w:rFonts w:ascii="Arial" w:cs="Arial" w:eastAsia="Arial" w:hAnsi="Arial"/>
          <w:sz w:val="22"/>
          <w:szCs w:val="22"/>
          <w:color w:val="auto"/>
        </w:rPr>
        <w:t>The foregoing items of business are more fully described in the proxy statement accompanying this notice. Our Board of Directors recommends that an affirmative vote be cast in favor of all nominees listed in the proxy statement and the ratification of the appointment of the Company’s independent public accountants.</w:t>
      </w:r>
    </w:p>
    <w:p>
      <w:pPr>
        <w:spacing w:after="0" w:line="145" w:lineRule="exact"/>
        <w:rPr>
          <w:sz w:val="20"/>
          <w:szCs w:val="20"/>
          <w:color w:val="auto"/>
        </w:rPr>
      </w:pPr>
    </w:p>
    <w:p>
      <w:pPr>
        <w:ind w:right="1859" w:firstLine="648"/>
        <w:spacing w:after="0" w:line="251" w:lineRule="auto"/>
        <w:rPr>
          <w:sz w:val="20"/>
          <w:szCs w:val="20"/>
          <w:color w:val="auto"/>
        </w:rPr>
      </w:pPr>
      <w:r>
        <w:rPr>
          <w:rFonts w:ascii="Arial" w:cs="Arial" w:eastAsia="Arial" w:hAnsi="Arial"/>
          <w:sz w:val="22"/>
          <w:szCs w:val="22"/>
          <w:color w:val="auto"/>
        </w:rPr>
        <w:t>Only shareholders of record at the close of business on May 2, 2011 are entitled to notice of and to vote at the meeting.</w:t>
      </w:r>
    </w:p>
    <w:p>
      <w:pPr>
        <w:spacing w:after="0" w:line="133" w:lineRule="exact"/>
        <w:rPr>
          <w:sz w:val="20"/>
          <w:szCs w:val="20"/>
          <w:color w:val="auto"/>
        </w:rPr>
      </w:pPr>
    </w:p>
    <w:p>
      <w:pPr>
        <w:ind w:right="1839" w:firstLine="648"/>
        <w:spacing w:after="0" w:line="235" w:lineRule="auto"/>
        <w:rPr>
          <w:sz w:val="20"/>
          <w:szCs w:val="20"/>
          <w:color w:val="auto"/>
        </w:rPr>
      </w:pPr>
      <w:r>
        <w:rPr>
          <w:rFonts w:ascii="Arial" w:cs="Arial" w:eastAsia="Arial" w:hAnsi="Arial"/>
          <w:sz w:val="22"/>
          <w:szCs w:val="22"/>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w:t>
      </w:r>
    </w:p>
    <w:p>
      <w:pPr>
        <w:spacing w:after="0" w:line="1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118745</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Narsi Narayanan</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Corporate Secretary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May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948055</wp:posOffset>
            </wp:positionV>
            <wp:extent cx="5351145"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2" w:name="page3"/>
    <w:bookmarkEnd w:id="2"/>
    <w:p>
      <w:pPr>
        <w:jc w:val="center"/>
        <w:ind w:right="1779"/>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5225 Wiley Post Way, Suite 500</w:t>
      </w:r>
    </w:p>
    <w:p>
      <w:pPr>
        <w:jc w:val="center"/>
        <w:ind w:right="1779"/>
        <w:spacing w:after="0" w:line="230" w:lineRule="auto"/>
        <w:rPr>
          <w:sz w:val="20"/>
          <w:szCs w:val="20"/>
          <w:color w:val="auto"/>
        </w:rPr>
      </w:pPr>
      <w:r>
        <w:rPr>
          <w:rFonts w:ascii="Arial" w:cs="Arial" w:eastAsia="Arial" w:hAnsi="Arial"/>
          <w:sz w:val="22"/>
          <w:szCs w:val="22"/>
          <w:b w:val="1"/>
          <w:bCs w:val="1"/>
          <w:color w:val="auto"/>
        </w:rPr>
        <w:t>Salt Lake City, Utah 84116</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6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61"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ANNUAL MEETING OF SHAREHOLDERS</w:t>
      </w:r>
    </w:p>
    <w:p>
      <w:pPr>
        <w:spacing w:after="0" w:line="71"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JUNE 8, 2011</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91" w:lineRule="exact"/>
        <w:rPr>
          <w:sz w:val="20"/>
          <w:szCs w:val="20"/>
          <w:color w:val="auto"/>
        </w:rPr>
      </w:pPr>
    </w:p>
    <w:p>
      <w:pPr>
        <w:ind w:right="1859" w:firstLine="648"/>
        <w:spacing w:after="0" w:line="282" w:lineRule="auto"/>
        <w:rPr>
          <w:sz w:val="20"/>
          <w:szCs w:val="20"/>
          <w:color w:val="auto"/>
        </w:rPr>
      </w:pPr>
      <w:r>
        <w:rPr>
          <w:rFonts w:ascii="Arial" w:cs="Arial" w:eastAsia="Arial" w:hAnsi="Arial"/>
          <w:sz w:val="19"/>
          <w:szCs w:val="19"/>
          <w:color w:val="auto"/>
        </w:rPr>
        <w:t>The accompanying proxy is solicited on behalf of ClearOne Communications, Inc., a Utah corporation, by the Board of Directors for use at our 2011 Annual Meeting of Shareholders to be held at the corporate offices of the company, 5225 Wiley Post Way, Suite 500, Salt Lake City, Utah on June 8, 2011 at 9:00 a.m., local time, or at any postponement or adjournment thereof, for the purposes set forth herein and in the accompanying notice.</w:t>
      </w:r>
    </w:p>
    <w:p>
      <w:pPr>
        <w:spacing w:after="0" w:line="26" w:lineRule="exact"/>
        <w:rPr>
          <w:sz w:val="20"/>
          <w:szCs w:val="20"/>
          <w:color w:val="auto"/>
        </w:rPr>
      </w:pPr>
    </w:p>
    <w:p>
      <w:pPr>
        <w:ind w:right="2219" w:firstLine="648"/>
        <w:spacing w:after="0" w:line="251" w:lineRule="auto"/>
        <w:rPr>
          <w:sz w:val="20"/>
          <w:szCs w:val="20"/>
          <w:color w:val="auto"/>
        </w:rPr>
      </w:pPr>
      <w:r>
        <w:rPr>
          <w:rFonts w:ascii="Arial" w:cs="Arial" w:eastAsia="Arial" w:hAnsi="Arial"/>
          <w:sz w:val="22"/>
          <w:szCs w:val="22"/>
          <w:color w:val="auto"/>
        </w:rPr>
        <w:t>These proxy solicitation materials will be distributed on or about May 10, 2011 to all shareholders entitled to vote at the meeting.</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 and Shares Outstanding</w:t>
      </w:r>
    </w:p>
    <w:p>
      <w:pPr>
        <w:spacing w:after="0" w:line="91" w:lineRule="exact"/>
        <w:rPr>
          <w:sz w:val="20"/>
          <w:szCs w:val="20"/>
          <w:color w:val="auto"/>
        </w:rPr>
      </w:pPr>
    </w:p>
    <w:p>
      <w:pPr>
        <w:jc w:val="both"/>
        <w:ind w:right="1959" w:firstLine="648"/>
        <w:spacing w:after="0"/>
        <w:rPr>
          <w:sz w:val="20"/>
          <w:szCs w:val="20"/>
          <w:color w:val="auto"/>
        </w:rPr>
      </w:pPr>
      <w:r>
        <w:rPr>
          <w:rFonts w:ascii="Arial" w:cs="Arial" w:eastAsia="Arial" w:hAnsi="Arial"/>
          <w:sz w:val="22"/>
          <w:szCs w:val="22"/>
          <w:color w:val="auto"/>
        </w:rPr>
        <w:t>Shareholders of record at the close of business on May 2, 2011 are entitled to notice of, and to vote at, the meeting. On the record date, 8,938,925 shares of common stock were issued and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of Proxies</w:t>
      </w:r>
    </w:p>
    <w:p>
      <w:pPr>
        <w:spacing w:after="0" w:line="91" w:lineRule="exact"/>
        <w:rPr>
          <w:sz w:val="20"/>
          <w:szCs w:val="20"/>
          <w:color w:val="auto"/>
        </w:rPr>
      </w:pPr>
    </w:p>
    <w:p>
      <w:pPr>
        <w:ind w:right="1899" w:firstLine="648"/>
        <w:spacing w:after="0" w:line="246" w:lineRule="auto"/>
        <w:rPr>
          <w:sz w:val="20"/>
          <w:szCs w:val="20"/>
          <w:color w:val="auto"/>
        </w:rPr>
      </w:pPr>
      <w:r>
        <w:rPr>
          <w:rFonts w:ascii="Arial" w:cs="Arial" w:eastAsia="Arial" w:hAnsi="Arial"/>
          <w:sz w:val="21"/>
          <w:szCs w:val="21"/>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the election of each of the nominees set forth in this proxy statement and FOR the ratification of the appointment of the Company’s independent public accountants.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w:t>
      </w:r>
    </w:p>
    <w:p>
      <w:pPr>
        <w:spacing w:after="0" w:line="91" w:lineRule="exact"/>
        <w:rPr>
          <w:sz w:val="20"/>
          <w:szCs w:val="20"/>
          <w:color w:val="auto"/>
        </w:rPr>
      </w:pPr>
    </w:p>
    <w:p>
      <w:pPr>
        <w:ind w:right="1799" w:firstLine="648"/>
        <w:spacing w:after="0" w:line="244" w:lineRule="auto"/>
        <w:rPr>
          <w:sz w:val="20"/>
          <w:szCs w:val="20"/>
          <w:color w:val="auto"/>
        </w:rPr>
      </w:pPr>
      <w:r>
        <w:rPr>
          <w:rFonts w:ascii="Arial" w:cs="Arial" w:eastAsia="Arial" w:hAnsi="Arial"/>
          <w:sz w:val="21"/>
          <w:szCs w:val="21"/>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indications by a broker that it does not have discretionary authority to vote on a particular matter, will be counted as “represented” for the purpose of determining the presence or absence of a quorum. The election of directors is a non-routine matter on which brokers are not allowed to vote unless they have received voting instructions from their customers. Accordingly, it is particularly important that beneficial owners instruct their brokers how they wish to vote their shares. The ratification of the Company’s independent public accountants is considered a routine matter for which brokerage firms may vote un-instructed shares.</w:t>
      </w:r>
    </w:p>
    <w:p>
      <w:pPr>
        <w:spacing w:after="0" w:line="54" w:lineRule="exact"/>
        <w:rPr>
          <w:sz w:val="20"/>
          <w:szCs w:val="20"/>
          <w:color w:val="auto"/>
        </w:rPr>
      </w:pPr>
    </w:p>
    <w:p>
      <w:pPr>
        <w:ind w:right="1779" w:firstLine="648"/>
        <w:spacing w:after="0" w:line="272" w:lineRule="auto"/>
        <w:rPr>
          <w:sz w:val="20"/>
          <w:szCs w:val="20"/>
          <w:color w:val="auto"/>
        </w:rPr>
      </w:pPr>
      <w:r>
        <w:rPr>
          <w:rFonts w:ascii="Arial" w:cs="Arial" w:eastAsia="Arial" w:hAnsi="Arial"/>
          <w:sz w:val="19"/>
          <w:szCs w:val="19"/>
          <w:color w:val="auto"/>
        </w:rPr>
        <w:t>Each holder of common stock will be entitled to one vote for each share of common stock held on the record date. In the election of directors, shareholders will not be allowed to cumulate their votes. Assuming that a quorum is present, the election of directors will be determined by plurality vote and the proposal to ratify the appointment of Jones Simkins, P.C. to serve as our independent public accountants for the year ending December 31, 2011 requires that the votes cast in favor of the proposal must exceed the votes cast against the proposal. Abstentions and broker non-votes will not affect the outcome of the election of directors or the proposal to ratify the appointment of the Company’s independent public accountants. Any other matter properly presented for approval by the shareholders at the Annual Meeting will generally be approved if the number of votes cast in favor of a matter exceeds the number of votes cast in opposition. With respect to any such matter, abstentions and broker non-votes are not likely to affect the outcome of a vote on such matter. The Company is not currently aware of any other matters to be presented at the Annual Meeting.</w:t>
      </w:r>
    </w:p>
    <w:p>
      <w:pPr>
        <w:spacing w:after="0" w:line="22" w:lineRule="exact"/>
        <w:rPr>
          <w:sz w:val="20"/>
          <w:szCs w:val="20"/>
          <w:color w:val="auto"/>
        </w:rPr>
      </w:pPr>
    </w:p>
    <w:p>
      <w:pPr>
        <w:ind w:right="1919" w:firstLine="752"/>
        <w:spacing w:after="0"/>
        <w:rPr>
          <w:sz w:val="20"/>
          <w:szCs w:val="20"/>
          <w:color w:val="auto"/>
        </w:rPr>
      </w:pPr>
      <w:r>
        <w:rPr>
          <w:rFonts w:ascii="Arial" w:cs="Arial" w:eastAsia="Arial" w:hAnsi="Arial"/>
          <w:sz w:val="22"/>
          <w:szCs w:val="22"/>
          <w:color w:val="auto"/>
        </w:rPr>
        <w:t>The Board of Directors recommends that an affirmative vote be cast in favor of all nominees listed in the proxy statement and the ratification of the appointment of the Company’s independent public accountants.</w:t>
      </w:r>
    </w:p>
    <w:p>
      <w:pPr>
        <w:sectPr>
          <w:pgSz w:w="11900" w:h="16838" w:orient="portrait"/>
          <w:cols w:equalWidth="0" w:num="1">
            <w:col w:w="10219"/>
          </w:cols>
          <w:pgMar w:left="240" w:top="598" w:right="1440" w:bottom="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1049655</wp:posOffset>
            </wp:positionV>
            <wp:extent cx="5351145"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Revocability of Proxies</w:t>
      </w:r>
    </w:p>
    <w:p>
      <w:pPr>
        <w:spacing w:after="0" w:line="185" w:lineRule="exact"/>
        <w:rPr>
          <w:sz w:val="20"/>
          <w:szCs w:val="20"/>
          <w:color w:val="auto"/>
        </w:rPr>
      </w:pPr>
    </w:p>
    <w:p>
      <w:pPr>
        <w:jc w:val="both"/>
        <w:ind w:right="1999" w:firstLine="648"/>
        <w:spacing w:after="0" w:line="297" w:lineRule="auto"/>
        <w:rPr>
          <w:sz w:val="20"/>
          <w:szCs w:val="20"/>
          <w:color w:val="auto"/>
        </w:rPr>
      </w:pPr>
      <w:r>
        <w:rPr>
          <w:rFonts w:ascii="Arial" w:cs="Arial" w:eastAsia="Arial" w:hAnsi="Arial"/>
          <w:sz w:val="19"/>
          <w:szCs w:val="19"/>
          <w:color w:val="auto"/>
        </w:rPr>
        <w:t>Any proxy given pursuant to this solicitation may be revoked by the person giving it at any time prior to its use by delivering to our Corporate Secretary a written notice of revocation or a duly executed proxy bearing a later date, or by attending the meeting and voting in person.</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185" w:lineRule="exact"/>
        <w:rPr>
          <w:sz w:val="20"/>
          <w:szCs w:val="20"/>
          <w:color w:val="auto"/>
        </w:rPr>
      </w:pPr>
    </w:p>
    <w:p>
      <w:pPr>
        <w:ind w:right="1899" w:firstLine="648"/>
        <w:spacing w:after="0" w:line="236" w:lineRule="auto"/>
        <w:rPr>
          <w:sz w:val="20"/>
          <w:szCs w:val="20"/>
          <w:color w:val="auto"/>
        </w:rPr>
      </w:pPr>
      <w:r>
        <w:rPr>
          <w:rFonts w:ascii="Arial" w:cs="Arial" w:eastAsia="Arial" w:hAnsi="Arial"/>
          <w:sz w:val="22"/>
          <w:szCs w:val="22"/>
          <w:color w:val="auto"/>
        </w:rPr>
        <w:t>We will pay the cost of this solicitation. In addition, we may reimburse brokerage firms and other persons representing beneficial owners of shares for their expenses in forwarding solicitation material to such beneficial owners. Proxies may also be solicited by certain of our directors, officers, and employees, without additional compensation, personally or by telephone, facsimile, or e-mail.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and Other Matters</w:t>
      </w:r>
    </w:p>
    <w:p>
      <w:pPr>
        <w:spacing w:after="0" w:line="185" w:lineRule="exact"/>
        <w:rPr>
          <w:sz w:val="20"/>
          <w:szCs w:val="20"/>
          <w:color w:val="auto"/>
        </w:rPr>
      </w:pPr>
    </w:p>
    <w:p>
      <w:pPr>
        <w:ind w:right="1859" w:firstLine="648"/>
        <w:spacing w:after="0" w:line="246" w:lineRule="auto"/>
        <w:rPr>
          <w:sz w:val="20"/>
          <w:szCs w:val="20"/>
          <w:color w:val="auto"/>
        </w:rPr>
      </w:pPr>
      <w:r>
        <w:rPr>
          <w:rFonts w:ascii="Arial" w:cs="Arial" w:eastAsia="Arial" w:hAnsi="Arial"/>
          <w:sz w:val="21"/>
          <w:szCs w:val="21"/>
          <w:color w:val="auto"/>
        </w:rPr>
        <w:t>Our 2010 Annual Report on Form 10-K, which was made available to shareholders with or preceding this proxy statement,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information contained in the “Audit and Compliance Committee Report” shall not be deemed “filed” with the Securities and Exchange Commission or subject to Regulations 14A or 14C or to the liabilities of Section 18 of the Exchange Act.</w:t>
      </w:r>
    </w:p>
    <w:p>
      <w:pPr>
        <w:spacing w:after="0" w:line="148" w:lineRule="exact"/>
        <w:rPr>
          <w:sz w:val="20"/>
          <w:szCs w:val="20"/>
          <w:color w:val="auto"/>
        </w:rPr>
      </w:pPr>
    </w:p>
    <w:p>
      <w:pPr>
        <w:jc w:val="both"/>
        <w:ind w:right="1779" w:firstLine="648"/>
        <w:spacing w:after="0" w:line="289" w:lineRule="auto"/>
        <w:rPr>
          <w:sz w:val="20"/>
          <w:szCs w:val="20"/>
          <w:color w:val="auto"/>
        </w:rPr>
      </w:pPr>
      <w:r>
        <w:rPr>
          <w:rFonts w:ascii="Arial" w:cs="Arial" w:eastAsia="Arial" w:hAnsi="Arial"/>
          <w:sz w:val="19"/>
          <w:szCs w:val="19"/>
          <w:b w:val="1"/>
          <w:bCs w:val="1"/>
          <w:color w:val="auto"/>
        </w:rPr>
        <w:t>We will provide, without charge, a printed copy of our 2010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339"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PROPOSAL ONE</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ELECTION OF DIRECTORS</w:t>
      </w:r>
    </w:p>
    <w:p>
      <w:pPr>
        <w:spacing w:after="0" w:line="161" w:lineRule="exact"/>
        <w:rPr>
          <w:sz w:val="20"/>
          <w:szCs w:val="20"/>
          <w:color w:val="auto"/>
        </w:rPr>
      </w:pPr>
    </w:p>
    <w:p>
      <w:pPr>
        <w:ind w:right="1799" w:firstLine="648"/>
        <w:spacing w:after="0" w:line="274" w:lineRule="auto"/>
        <w:rPr>
          <w:sz w:val="20"/>
          <w:szCs w:val="20"/>
          <w:color w:val="auto"/>
        </w:rPr>
      </w:pPr>
      <w:r>
        <w:rPr>
          <w:rFonts w:ascii="Arial" w:cs="Arial" w:eastAsia="Arial" w:hAnsi="Arial"/>
          <w:sz w:val="19"/>
          <w:szCs w:val="19"/>
          <w:color w:val="auto"/>
        </w:rPr>
        <w:t>Our articles of incorporation and bylaws provide that our Board of Directors shall consist of not less than three nor more than nine members as the Board of Directors or our shareholders shall determine from time to time. The Board of Directors has currently fixed the number of directors at five. The term of each of our directors expires at the 2011 Annual Meeting. We have nominated all five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26" w:lineRule="exact"/>
        <w:rPr>
          <w:sz w:val="20"/>
          <w:szCs w:val="20"/>
          <w:color w:val="auto"/>
        </w:rPr>
      </w:pPr>
    </w:p>
    <w:p>
      <w:pPr>
        <w:ind w:right="2199"/>
        <w:spacing w:after="0" w:line="256" w:lineRule="auto"/>
        <w:rPr>
          <w:sz w:val="20"/>
          <w:szCs w:val="20"/>
          <w:color w:val="auto"/>
        </w:rPr>
      </w:pPr>
      <w:r>
        <w:rPr>
          <w:rFonts w:ascii="Arial" w:cs="Arial" w:eastAsia="Arial" w:hAnsi="Arial"/>
          <w:sz w:val="22"/>
          <w:szCs w:val="22"/>
          <w:b w:val="1"/>
          <w:bCs w:val="1"/>
          <w:color w:val="auto"/>
        </w:rPr>
        <w:t>The Board of Directors unanimously recommends a vote “for” election of the nominees named herein.</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Director</w:t>
      </w:r>
    </w:p>
    <w:p>
      <w:pPr>
        <w:spacing w:after="0" w:line="91" w:lineRule="exact"/>
        <w:rPr>
          <w:sz w:val="20"/>
          <w:szCs w:val="20"/>
          <w:color w:val="auto"/>
        </w:rPr>
      </w:pPr>
    </w:p>
    <w:p>
      <w:pPr>
        <w:ind w:right="1779" w:firstLine="648"/>
        <w:spacing w:after="0" w:line="251" w:lineRule="auto"/>
        <w:rPr>
          <w:sz w:val="20"/>
          <w:szCs w:val="20"/>
          <w:color w:val="auto"/>
        </w:rPr>
      </w:pPr>
      <w:r>
        <w:rPr>
          <w:rFonts w:ascii="Arial" w:cs="Arial" w:eastAsia="Arial" w:hAnsi="Arial"/>
          <w:sz w:val="22"/>
          <w:szCs w:val="22"/>
          <w:color w:val="auto"/>
        </w:rPr>
        <w:t>The following table set forth certain information regarding our directors and nominees for directors.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40" w:type="dxa"/>
            <w:vAlign w:val="bottom"/>
          </w:tcPr>
          <w:p>
            <w:pPr>
              <w:ind w:left="86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7"/>
                <w:szCs w:val="17"/>
                <w:color w:val="auto"/>
              </w:rPr>
            </w:pPr>
          </w:p>
        </w:tc>
        <w:tc>
          <w:tcPr>
            <w:tcW w:w="3820" w:type="dxa"/>
            <w:vAlign w:val="bottom"/>
          </w:tcPr>
          <w:p>
            <w:pPr>
              <w:ind w:left="1620"/>
              <w:spacing w:after="0"/>
              <w:rPr>
                <w:sz w:val="20"/>
                <w:szCs w:val="20"/>
                <w:color w:val="auto"/>
              </w:rPr>
            </w:pPr>
            <w:r>
              <w:rPr>
                <w:rFonts w:ascii="Arial" w:cs="Arial" w:eastAsia="Arial" w:hAnsi="Arial"/>
                <w:sz w:val="16"/>
                <w:szCs w:val="16"/>
                <w:b w:val="1"/>
                <w:bCs w:val="1"/>
                <w:color w:val="auto"/>
              </w:rPr>
              <w:t>Position</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Director</w:t>
            </w:r>
          </w:p>
        </w:tc>
      </w:tr>
      <w:tr>
        <w:trPr>
          <w:trHeight w:val="223"/>
        </w:trPr>
        <w:tc>
          <w:tcPr>
            <w:tcW w:w="2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Since</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Zeynep “Zee” Hakimoglu</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Chairman, Chief Executive Officer, and President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r>
      <w:tr>
        <w:trPr>
          <w:trHeight w:val="257"/>
        </w:trPr>
        <w:tc>
          <w:tcPr>
            <w:tcW w:w="2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Brad R. Baldwin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2"/>
                <w:szCs w:val="22"/>
                <w:color w:val="auto"/>
              </w:rPr>
            </w:pPr>
          </w:p>
        </w:tc>
        <w:tc>
          <w:tcPr>
            <w:tcW w:w="382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1988</w:t>
            </w:r>
          </w:p>
        </w:tc>
      </w:tr>
      <w:tr>
        <w:trPr>
          <w:trHeight w:val="257"/>
        </w:trPr>
        <w:tc>
          <w:tcPr>
            <w:tcW w:w="20" w:type="dxa"/>
            <w:vAlign w:val="bottom"/>
          </w:tcPr>
          <w:p>
            <w:pPr>
              <w:spacing w:after="0"/>
              <w:rPr>
                <w:sz w:val="22"/>
                <w:szCs w:val="2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Larry R. Hendricks</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2003</w:t>
            </w:r>
          </w:p>
        </w:tc>
      </w:tr>
      <w:tr>
        <w:trPr>
          <w:trHeight w:val="257"/>
        </w:trPr>
        <w:tc>
          <w:tcPr>
            <w:tcW w:w="2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Scott M. Huntsman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2"/>
                <w:szCs w:val="22"/>
                <w:color w:val="auto"/>
              </w:rPr>
            </w:pPr>
          </w:p>
        </w:tc>
        <w:tc>
          <w:tcPr>
            <w:tcW w:w="382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2003</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 Bryan Bagley</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2009</w:t>
            </w:r>
          </w:p>
        </w:tc>
      </w:tr>
      <w:tr>
        <w:trPr>
          <w:trHeight w:val="206"/>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69"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Member of the Audit and Compliance Committee</w:t>
      </w:r>
    </w:p>
    <w:p>
      <w:pPr>
        <w:spacing w:after="0" w:line="71" w:lineRule="exact"/>
        <w:rPr>
          <w:rFonts w:ascii="Arial" w:cs="Arial" w:eastAsia="Arial" w:hAnsi="Arial"/>
          <w:sz w:val="22"/>
          <w:szCs w:val="22"/>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Member of the Compensation Committee</w:t>
      </w:r>
    </w:p>
    <w:p>
      <w:pPr>
        <w:spacing w:after="0" w:line="71" w:lineRule="exact"/>
        <w:rPr>
          <w:rFonts w:ascii="Arial" w:cs="Arial" w:eastAsia="Arial" w:hAnsi="Arial"/>
          <w:sz w:val="22"/>
          <w:szCs w:val="22"/>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Member of the Nominating Committee</w:t>
      </w:r>
    </w:p>
    <w:p>
      <w:pPr>
        <w:sectPr>
          <w:pgSz w:w="11900" w:h="16838" w:orient="portrait"/>
          <w:cols w:equalWidth="0" w:num="1">
            <w:col w:w="10219"/>
          </w:cols>
          <w:pgMar w:left="240" w:top="598" w:right="1440" w:bottom="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35114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36195"/>
                    </a:xfrm>
                    <a:prstGeom prst="rect">
                      <a:avLst/>
                    </a:prstGeom>
                    <a:noFill/>
                  </pic:spPr>
                </pic:pic>
              </a:graphicData>
            </a:graphic>
          </wp:anchor>
        </w:drawing>
      </w:r>
    </w:p>
    <w:p>
      <w:pPr>
        <w:sectPr>
          <w:pgSz w:w="11900" w:h="16838" w:orient="portrait"/>
          <w:cols w:equalWidth="0" w:num="1">
            <w:col w:w="10219"/>
          </w:cols>
          <w:pgMar w:left="240" w:top="598" w:right="1440" w:bottom="37" w:gutter="0" w:footer="0" w:header="0"/>
          <w:type w:val="continuous"/>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98" w:lineRule="exact"/>
        <w:rPr>
          <w:sz w:val="20"/>
          <w:szCs w:val="20"/>
          <w:color w:val="auto"/>
        </w:rPr>
      </w:pPr>
    </w:p>
    <w:p>
      <w:pPr>
        <w:ind w:right="1779" w:firstLine="648"/>
        <w:spacing w:after="0" w:line="270" w:lineRule="auto"/>
        <w:rPr>
          <w:sz w:val="20"/>
          <w:szCs w:val="20"/>
          <w:color w:val="auto"/>
        </w:rPr>
      </w:pPr>
      <w:r>
        <w:rPr>
          <w:rFonts w:ascii="Arial" w:cs="Arial" w:eastAsia="Arial" w:hAnsi="Arial"/>
          <w:sz w:val="19"/>
          <w:szCs w:val="19"/>
          <w:b w:val="1"/>
          <w:bCs w:val="1"/>
          <w:color w:val="auto"/>
        </w:rPr>
        <w:t xml:space="preserve">Zee Hakimoglu </w:t>
      </w:r>
      <w:r>
        <w:rPr>
          <w:rFonts w:ascii="Arial" w:cs="Arial" w:eastAsia="Arial" w:hAnsi="Arial"/>
          <w:sz w:val="19"/>
          <w:szCs w:val="19"/>
          <w:color w:val="auto"/>
        </w:rPr>
        <w:t>has served as a director of our company since April 2006. Ms.</w:t>
      </w:r>
      <w:r>
        <w:rPr>
          <w:rFonts w:ascii="Arial" w:cs="Arial" w:eastAsia="Arial" w:hAnsi="Arial"/>
          <w:sz w:val="19"/>
          <w:szCs w:val="19"/>
          <w:b w:val="1"/>
          <w:bCs w:val="1"/>
          <w:color w:val="auto"/>
        </w:rPr>
        <w:t xml:space="preserve"> </w:t>
      </w:r>
      <w:r>
        <w:rPr>
          <w:rFonts w:ascii="Arial" w:cs="Arial" w:eastAsia="Arial" w:hAnsi="Arial"/>
          <w:sz w:val="19"/>
          <w:szCs w:val="19"/>
          <w:color w:val="auto"/>
        </w:rPr>
        <w:t>Hakimoglu joined our company in December 2003 with more than 15 years of 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378" w:lineRule="exact"/>
        <w:rPr>
          <w:sz w:val="20"/>
          <w:szCs w:val="20"/>
          <w:color w:val="auto"/>
        </w:rPr>
      </w:pPr>
    </w:p>
    <w:p>
      <w:pPr>
        <w:ind w:right="1819" w:firstLine="648"/>
        <w:spacing w:after="0" w:line="272" w:lineRule="auto"/>
        <w:rPr>
          <w:sz w:val="20"/>
          <w:szCs w:val="20"/>
          <w:color w:val="auto"/>
        </w:rPr>
      </w:pPr>
      <w:r>
        <w:rPr>
          <w:rFonts w:ascii="Arial" w:cs="Arial" w:eastAsia="Arial" w:hAnsi="Arial"/>
          <w:sz w:val="19"/>
          <w:szCs w:val="19"/>
          <w:b w:val="1"/>
          <w:bCs w:val="1"/>
          <w:color w:val="auto"/>
        </w:rPr>
        <w:t xml:space="preserve">Brad R. Baldwin </w:t>
      </w:r>
      <w:r>
        <w:rPr>
          <w:rFonts w:ascii="Arial" w:cs="Arial" w:eastAsia="Arial" w:hAnsi="Arial"/>
          <w:sz w:val="19"/>
          <w:szCs w:val="19"/>
          <w:color w:val="auto"/>
        </w:rPr>
        <w:t>has served as a director of our company since October 1988. Mr.</w:t>
      </w:r>
      <w:r>
        <w:rPr>
          <w:rFonts w:ascii="Arial" w:cs="Arial" w:eastAsia="Arial" w:hAnsi="Arial"/>
          <w:sz w:val="19"/>
          <w:szCs w:val="19"/>
          <w:b w:val="1"/>
          <w:bCs w:val="1"/>
          <w:color w:val="auto"/>
        </w:rPr>
        <w:t xml:space="preserve"> </w:t>
      </w:r>
      <w:r>
        <w:rPr>
          <w:rFonts w:ascii="Arial" w:cs="Arial" w:eastAsia="Arial" w:hAnsi="Arial"/>
          <w:sz w:val="19"/>
          <w:szCs w:val="19"/>
          <w:color w:val="auto"/>
        </w:rPr>
        <w:t>Baldwin is an attorney licensed to practice in Utah. Since April 2009, Mr. Baldwin has served as general counsel to the Wasatch Front Regional Multiple Listing Service (“WFRMLS “). The WFRMLS currently assists over 12,000 brokers,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360" w:lineRule="exact"/>
        <w:rPr>
          <w:sz w:val="20"/>
          <w:szCs w:val="20"/>
          <w:color w:val="auto"/>
        </w:rPr>
      </w:pPr>
    </w:p>
    <w:p>
      <w:pPr>
        <w:ind w:right="1839" w:firstLine="648"/>
        <w:spacing w:after="0" w:line="245" w:lineRule="auto"/>
        <w:rPr>
          <w:sz w:val="20"/>
          <w:szCs w:val="20"/>
          <w:color w:val="auto"/>
        </w:rPr>
      </w:pPr>
      <w:r>
        <w:rPr>
          <w:rFonts w:ascii="Arial" w:cs="Arial" w:eastAsia="Arial" w:hAnsi="Arial"/>
          <w:sz w:val="21"/>
          <w:szCs w:val="21"/>
          <w:b w:val="1"/>
          <w:bCs w:val="1"/>
          <w:color w:val="auto"/>
        </w:rPr>
        <w:t xml:space="preserve">Larry R. Hendricks </w:t>
      </w:r>
      <w:r>
        <w:rPr>
          <w:rFonts w:ascii="Arial" w:cs="Arial" w:eastAsia="Arial" w:hAnsi="Arial"/>
          <w:sz w:val="21"/>
          <w:szCs w:val="21"/>
          <w:color w:val="auto"/>
        </w:rPr>
        <w:t>has served as a director of our company since June 2003. Mr.</w:t>
      </w:r>
      <w:r>
        <w:rPr>
          <w:rFonts w:ascii="Arial" w:cs="Arial" w:eastAsia="Arial" w:hAnsi="Arial"/>
          <w:sz w:val="21"/>
          <w:szCs w:val="21"/>
          <w:b w:val="1"/>
          <w:bCs w:val="1"/>
          <w:color w:val="auto"/>
        </w:rPr>
        <w:t xml:space="preserve"> </w:t>
      </w:r>
      <w:r>
        <w:rPr>
          <w:rFonts w:ascii="Arial" w:cs="Arial" w:eastAsia="Arial" w:hAnsi="Arial"/>
          <w:sz w:val="21"/>
          <w:szCs w:val="21"/>
          <w:color w:val="auto"/>
        </w:rPr>
        <w:t>Hendricks is a Certified Public Accountant who retired in 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pacing w:after="0" w:line="151" w:lineRule="exact"/>
        <w:rPr>
          <w:sz w:val="20"/>
          <w:szCs w:val="20"/>
          <w:color w:val="auto"/>
        </w:rPr>
      </w:pPr>
    </w:p>
    <w:p>
      <w:pPr>
        <w:ind w:right="1879" w:firstLine="648"/>
        <w:spacing w:after="0" w:line="272" w:lineRule="auto"/>
        <w:rPr>
          <w:sz w:val="20"/>
          <w:szCs w:val="20"/>
          <w:color w:val="auto"/>
        </w:rPr>
      </w:pPr>
      <w:r>
        <w:rPr>
          <w:rFonts w:ascii="Arial" w:cs="Arial" w:eastAsia="Arial" w:hAnsi="Arial"/>
          <w:sz w:val="19"/>
          <w:szCs w:val="19"/>
          <w:b w:val="1"/>
          <w:bCs w:val="1"/>
          <w:color w:val="auto"/>
        </w:rPr>
        <w:t xml:space="preserve">Scott M. Huntsman </w:t>
      </w:r>
      <w:r>
        <w:rPr>
          <w:rFonts w:ascii="Arial" w:cs="Arial" w:eastAsia="Arial" w:hAnsi="Arial"/>
          <w:sz w:val="19"/>
          <w:szCs w:val="19"/>
          <w:color w:val="auto"/>
        </w:rPr>
        <w:t>has served as a director of our company since June 2003. Mr.</w:t>
      </w:r>
      <w:r>
        <w:rPr>
          <w:rFonts w:ascii="Arial" w:cs="Arial" w:eastAsia="Arial" w:hAnsi="Arial"/>
          <w:sz w:val="19"/>
          <w:szCs w:val="19"/>
          <w:b w:val="1"/>
          <w:bCs w:val="1"/>
          <w:color w:val="auto"/>
        </w:rPr>
        <w:t xml:space="preserve"> </w:t>
      </w:r>
      <w:r>
        <w:rPr>
          <w:rFonts w:ascii="Arial" w:cs="Arial" w:eastAsia="Arial" w:hAnsi="Arial"/>
          <w:sz w:val="19"/>
          <w:szCs w:val="19"/>
          <w:color w:val="auto"/>
        </w:rPr>
        <w:t>Huntsman has served as President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30" w:lineRule="exact"/>
        <w:rPr>
          <w:sz w:val="20"/>
          <w:szCs w:val="20"/>
          <w:color w:val="auto"/>
        </w:rPr>
      </w:pPr>
    </w:p>
    <w:p>
      <w:pPr>
        <w:ind w:right="2139" w:firstLine="648"/>
        <w:spacing w:after="0" w:line="289" w:lineRule="auto"/>
        <w:rPr>
          <w:sz w:val="20"/>
          <w:szCs w:val="20"/>
          <w:color w:val="auto"/>
        </w:rPr>
      </w:pPr>
      <w:r>
        <w:rPr>
          <w:rFonts w:ascii="Arial" w:cs="Arial" w:eastAsia="Arial" w:hAnsi="Arial"/>
          <w:sz w:val="19"/>
          <w:szCs w:val="19"/>
          <w:b w:val="1"/>
          <w:bCs w:val="1"/>
          <w:color w:val="auto"/>
        </w:rPr>
        <w:t xml:space="preserve">E. Bryan Bagley </w:t>
      </w:r>
      <w:r>
        <w:rPr>
          <w:rFonts w:ascii="Arial" w:cs="Arial" w:eastAsia="Arial" w:hAnsi="Arial"/>
          <w:sz w:val="19"/>
          <w:szCs w:val="19"/>
          <w:color w:val="auto"/>
        </w:rPr>
        <w:t>has served as a director of our company since November 2009. Mr.</w:t>
      </w:r>
      <w:r>
        <w:rPr>
          <w:rFonts w:ascii="Arial" w:cs="Arial" w:eastAsia="Arial" w:hAnsi="Arial"/>
          <w:sz w:val="19"/>
          <w:szCs w:val="19"/>
          <w:b w:val="1"/>
          <w:bCs w:val="1"/>
          <w:color w:val="auto"/>
        </w:rPr>
        <w:t xml:space="preserve"> </w:t>
      </w:r>
      <w:r>
        <w:rPr>
          <w:rFonts w:ascii="Arial" w:cs="Arial" w:eastAsia="Arial" w:hAnsi="Arial"/>
          <w:sz w:val="19"/>
          <w:szCs w:val="19"/>
          <w:color w:val="auto"/>
        </w:rPr>
        <w:t>Bagley was a director of Nevada Chemicals from June 2000 until the company was sold in September 2008 and served as Chairman of the Board of Nevada Chemicals from December 2001 until September 2008. Since November 2002, Mr. Bagley has been a private investor</w:t>
      </w:r>
    </w:p>
    <w:p>
      <w:pPr>
        <w:sectPr>
          <w:pgSz w:w="11900" w:h="16936" w:orient="portrait"/>
          <w:cols w:equalWidth="0" w:num="1">
            <w:col w:w="10219"/>
          </w:cols>
          <w:pgMar w:left="240" w:top="598" w:right="1440" w:bottom="0" w:gutter="0" w:footer="0" w:header="0"/>
        </w:sectPr>
      </w:pPr>
    </w:p>
    <w:bookmarkStart w:id="7" w:name="page8"/>
    <w:bookmarkEnd w:id="7"/>
    <w:p>
      <w:pPr>
        <w:ind w:right="2139"/>
        <w:spacing w:after="0" w:line="251" w:lineRule="auto"/>
        <w:rPr>
          <w:sz w:val="20"/>
          <w:szCs w:val="20"/>
          <w:color w:val="auto"/>
        </w:rPr>
      </w:pPr>
      <w:r>
        <w:rPr>
          <w:rFonts w:ascii="Arial" w:cs="Arial" w:eastAsia="Arial" w:hAnsi="Arial"/>
          <w:sz w:val="22"/>
          <w:szCs w:val="22"/>
          <w:color w:val="auto"/>
        </w:rPr>
        <w:t>managing accounts on his own behalf. From December 1991 to November 2002, Mr. Bagley served as a market maker for Wilson-Davis &amp;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8" w:name="page9"/>
    <w:bookmarkEnd w:id="8"/>
    <w:p>
      <w:pPr>
        <w:ind w:right="1819" w:firstLine="648"/>
        <w:spacing w:after="0" w:line="277" w:lineRule="auto"/>
        <w:rPr>
          <w:sz w:val="20"/>
          <w:szCs w:val="20"/>
          <w:color w:val="auto"/>
        </w:rPr>
      </w:pPr>
      <w:r>
        <w:rPr>
          <w:rFonts w:ascii="Arial" w:cs="Arial" w:eastAsia="Arial" w:hAnsi="Arial"/>
          <w:sz w:val="19"/>
          <w:szCs w:val="19"/>
          <w:color w:val="auto"/>
        </w:rPr>
        <w:t>Prior to that position, he served as a trader for Covey &amp; Co. and Bagley Securities. Mr. Bagley graduated from the University of Utah in 1987 with a Bachelor of Science degree in Economics. Mr. Bryan Bagley is the son of Edward D. Bagley, our former Chairman of the Board. Mr. Edward D. Bagley beneficially owns 23.3% of our issued and outstanding common stock. In light of Mr. Bagley’s prior experience as the chairman of a public company and the benefit that may accrue to our company from his leadership experience, the Board has concluded that Mr. Bagley should continue to serve as a director.</w:t>
      </w:r>
    </w:p>
    <w:p>
      <w:pPr>
        <w:spacing w:after="0" w:line="126" w:lineRule="exact"/>
        <w:rPr>
          <w:sz w:val="20"/>
          <w:szCs w:val="20"/>
          <w:color w:val="auto"/>
        </w:rPr>
      </w:pPr>
    </w:p>
    <w:p>
      <w:pPr>
        <w:ind w:right="1939" w:firstLine="648"/>
        <w:spacing w:after="0" w:line="277" w:lineRule="auto"/>
        <w:rPr>
          <w:sz w:val="20"/>
          <w:szCs w:val="20"/>
          <w:color w:val="auto"/>
        </w:rPr>
      </w:pPr>
      <w:r>
        <w:rPr>
          <w:rFonts w:ascii="Arial" w:cs="Arial" w:eastAsia="Arial" w:hAnsi="Arial"/>
          <w:sz w:val="19"/>
          <w:szCs w:val="19"/>
          <w:color w:val="auto"/>
        </w:rPr>
        <w:t>Security holders who would like to send communications to any director or the entire Board may do so by submitting such communications to ClearOne Communications,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1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Relating to Corporate Governance and the Board of Directors</w:t>
      </w:r>
    </w:p>
    <w:p>
      <w:pPr>
        <w:spacing w:after="0" w:line="185" w:lineRule="exact"/>
        <w:rPr>
          <w:sz w:val="20"/>
          <w:szCs w:val="20"/>
          <w:color w:val="auto"/>
        </w:rPr>
      </w:pPr>
    </w:p>
    <w:p>
      <w:pPr>
        <w:ind w:right="2119" w:firstLine="648"/>
        <w:spacing w:after="0" w:line="287" w:lineRule="auto"/>
        <w:rPr>
          <w:sz w:val="20"/>
          <w:szCs w:val="20"/>
          <w:color w:val="auto"/>
        </w:rPr>
      </w:pPr>
      <w:r>
        <w:rPr>
          <w:rFonts w:ascii="Arial" w:cs="Arial" w:eastAsia="Arial" w:hAnsi="Arial"/>
          <w:sz w:val="19"/>
          <w:szCs w:val="19"/>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16" w:lineRule="exact"/>
        <w:rPr>
          <w:sz w:val="20"/>
          <w:szCs w:val="20"/>
          <w:color w:val="auto"/>
        </w:rPr>
      </w:pPr>
    </w:p>
    <w:p>
      <w:pPr>
        <w:ind w:right="2219" w:firstLine="648"/>
        <w:spacing w:after="0" w:line="328" w:lineRule="auto"/>
        <w:rPr>
          <w:sz w:val="20"/>
          <w:szCs w:val="20"/>
          <w:color w:val="auto"/>
        </w:rPr>
      </w:pPr>
      <w:r>
        <w:rPr>
          <w:rFonts w:ascii="Arial" w:cs="Arial" w:eastAsia="Arial" w:hAnsi="Arial"/>
          <w:sz w:val="19"/>
          <w:szCs w:val="19"/>
          <w:color w:val="auto"/>
        </w:rPr>
        <w:t>Our Board of Directors has an Audit and Compliance Committee, a Compensation Committee, and a Nominating Committee, each consisting entirely of independent directors.</w:t>
      </w:r>
    </w:p>
    <w:p>
      <w:pPr>
        <w:spacing w:after="0" w:line="78" w:lineRule="exact"/>
        <w:rPr>
          <w:sz w:val="20"/>
          <w:szCs w:val="20"/>
          <w:color w:val="auto"/>
        </w:rPr>
      </w:pPr>
    </w:p>
    <w:p>
      <w:pPr>
        <w:ind w:right="1899" w:firstLine="648"/>
        <w:spacing w:after="0" w:line="275" w:lineRule="auto"/>
        <w:rPr>
          <w:sz w:val="20"/>
          <w:szCs w:val="20"/>
          <w:color w:val="auto"/>
        </w:rPr>
      </w:pPr>
      <w:r>
        <w:rPr>
          <w:rFonts w:ascii="Arial" w:cs="Arial" w:eastAsia="Arial" w:hAnsi="Arial"/>
          <w:sz w:val="19"/>
          <w:szCs w:val="19"/>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9"/>
          <w:szCs w:val="19"/>
          <w:u w:val="single" w:color="auto"/>
          <w:color w:val="auto"/>
        </w:rPr>
        <w:t>www.clearone.com</w:t>
      </w:r>
      <w:r>
        <w:rPr>
          <w:rFonts w:ascii="Arial" w:cs="Arial" w:eastAsia="Arial" w:hAnsi="Arial"/>
          <w:sz w:val="19"/>
          <w:szCs w:val="19"/>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stockholder requesting a copy in writing from our Corporate Secretary at our corporate offices set forth in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72" w:lineRule="exact"/>
        <w:rPr>
          <w:sz w:val="20"/>
          <w:szCs w:val="20"/>
          <w:color w:val="auto"/>
        </w:rPr>
      </w:pPr>
    </w:p>
    <w:p>
      <w:pPr>
        <w:ind w:right="1799" w:firstLine="648"/>
        <w:spacing w:after="0" w:line="244" w:lineRule="auto"/>
        <w:rPr>
          <w:sz w:val="20"/>
          <w:szCs w:val="20"/>
          <w:color w:val="auto"/>
        </w:rPr>
      </w:pPr>
      <w:r>
        <w:rPr>
          <w:rFonts w:ascii="Arial" w:cs="Arial" w:eastAsia="Arial" w:hAnsi="Arial"/>
          <w:sz w:val="21"/>
          <w:szCs w:val="21"/>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42" w:lineRule="exact"/>
        <w:rPr>
          <w:sz w:val="20"/>
          <w:szCs w:val="20"/>
          <w:color w:val="auto"/>
        </w:rPr>
      </w:pPr>
    </w:p>
    <w:p>
      <w:pPr>
        <w:ind w:right="1859" w:firstLine="648"/>
        <w:spacing w:after="0" w:line="272" w:lineRule="auto"/>
        <w:rPr>
          <w:sz w:val="20"/>
          <w:szCs w:val="20"/>
          <w:color w:val="auto"/>
        </w:rPr>
      </w:pPr>
      <w:r>
        <w:rPr>
          <w:rFonts w:ascii="Arial" w:cs="Arial" w:eastAsia="Arial" w:hAnsi="Arial"/>
          <w:sz w:val="19"/>
          <w:szCs w:val="19"/>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Given the Board’s confidence in the effectiveness of the current balance of positions and personalities, we have not appointed a lead independent director. The Board believes the combined role of Chief Executive Officer and Chairman, together with a Board whose majority of directors are independent, provides the appropriate balance between independent oversight of management and the development of strategy.</w:t>
      </w:r>
    </w:p>
    <w:p>
      <w:pPr>
        <w:sectPr>
          <w:pgSz w:w="11900" w:h="16838" w:orient="portrait"/>
          <w:cols w:equalWidth="0" w:num="1">
            <w:col w:w="10219"/>
          </w:cols>
          <w:pgMar w:left="240" w:top="604" w:right="1440" w:bottom="97" w:gutter="0" w:footer="0" w:header="0"/>
        </w:sectPr>
      </w:pPr>
    </w:p>
    <w:bookmarkStart w:id="9" w:name="page10"/>
    <w:bookmarkEnd w:id="9"/>
    <w:p>
      <w:pPr>
        <w:ind w:left="300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Board Role in Risk Oversight</w:t>
      </w:r>
    </w:p>
    <w:p>
      <w:pPr>
        <w:spacing w:after="0" w:line="77" w:lineRule="exact"/>
        <w:rPr>
          <w:sz w:val="20"/>
          <w:szCs w:val="20"/>
          <w:color w:val="auto"/>
        </w:rPr>
      </w:pPr>
    </w:p>
    <w:p>
      <w:pPr>
        <w:ind w:right="1839" w:firstLine="648"/>
        <w:spacing w:after="0" w:line="272" w:lineRule="auto"/>
        <w:rPr>
          <w:sz w:val="20"/>
          <w:szCs w:val="20"/>
          <w:color w:val="auto"/>
        </w:rPr>
      </w:pPr>
      <w:r>
        <w:rPr>
          <w:rFonts w:ascii="Arial" w:cs="Arial" w:eastAsia="Arial" w:hAnsi="Arial"/>
          <w:sz w:val="19"/>
          <w:szCs w:val="19"/>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7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b w:val="1"/>
          <w:bCs w:val="1"/>
          <w:color w:val="auto"/>
        </w:rPr>
        <w:t xml:space="preserve">Audit and Compliance Committee. </w:t>
      </w:r>
      <w:r>
        <w:rPr>
          <w:rFonts w:ascii="Arial" w:cs="Arial" w:eastAsia="Arial" w:hAnsi="Arial"/>
          <w:sz w:val="19"/>
          <w:szCs w:val="19"/>
          <w:color w:val="auto"/>
        </w:rPr>
        <w:t>The Audit and Compliance Committee meets to</w:t>
      </w:r>
      <w:r>
        <w:rPr>
          <w:rFonts w:ascii="Arial" w:cs="Arial" w:eastAsia="Arial" w:hAnsi="Arial"/>
          <w:sz w:val="19"/>
          <w:szCs w:val="19"/>
          <w:b w:val="1"/>
          <w:bCs w:val="1"/>
          <w:color w:val="auto"/>
        </w:rPr>
        <w:t xml:space="preserve"> </w:t>
      </w:r>
      <w:r>
        <w:rPr>
          <w:rFonts w:ascii="Arial" w:cs="Arial" w:eastAsia="Arial" w:hAnsi="Arial"/>
          <w:sz w:val="19"/>
          <w:szCs w:val="19"/>
          <w:color w:val="auto"/>
        </w:rPr>
        <w:t>review and discuss our accounting practices and procedures 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35" w:lineRule="exact"/>
        <w:rPr>
          <w:sz w:val="20"/>
          <w:szCs w:val="20"/>
          <w:color w:val="auto"/>
        </w:rPr>
      </w:pPr>
    </w:p>
    <w:p>
      <w:pPr>
        <w:ind w:right="1839" w:firstLine="648"/>
        <w:spacing w:after="0" w:line="234" w:lineRule="auto"/>
        <w:rPr>
          <w:sz w:val="20"/>
          <w:szCs w:val="20"/>
          <w:color w:val="auto"/>
        </w:rPr>
      </w:pPr>
      <w:r>
        <w:rPr>
          <w:rFonts w:ascii="Arial" w:cs="Arial" w:eastAsia="Arial" w:hAnsi="Arial"/>
          <w:sz w:val="22"/>
          <w:szCs w:val="22"/>
          <w:color w:val="auto"/>
        </w:rPr>
        <w:t>The members of the Audit and Compliance Committee are Scott M. Huntsman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64" w:lineRule="exact"/>
        <w:rPr>
          <w:sz w:val="20"/>
          <w:szCs w:val="20"/>
          <w:color w:val="auto"/>
        </w:rPr>
      </w:pPr>
    </w:p>
    <w:p>
      <w:pPr>
        <w:ind w:right="2199" w:firstLine="648"/>
        <w:spacing w:after="0" w:line="247" w:lineRule="auto"/>
        <w:rPr>
          <w:sz w:val="20"/>
          <w:szCs w:val="20"/>
          <w:color w:val="auto"/>
        </w:rPr>
      </w:pPr>
      <w:r>
        <w:rPr>
          <w:rFonts w:ascii="Arial" w:cs="Arial" w:eastAsia="Arial" w:hAnsi="Arial"/>
          <w:sz w:val="21"/>
          <w:szCs w:val="21"/>
          <w:b w:val="1"/>
          <w:bCs w:val="1"/>
          <w:color w:val="auto"/>
        </w:rPr>
        <w:t xml:space="preserve">Compensation Committee. </w:t>
      </w:r>
      <w:r>
        <w:rPr>
          <w:rFonts w:ascii="Arial" w:cs="Arial" w:eastAsia="Arial" w:hAnsi="Arial"/>
          <w:sz w:val="21"/>
          <w:szCs w:val="21"/>
          <w:color w:val="auto"/>
        </w:rPr>
        <w:t>The Compensation Committee is responsible for</w:t>
      </w:r>
      <w:r>
        <w:rPr>
          <w:rFonts w:ascii="Arial" w:cs="Arial" w:eastAsia="Arial" w:hAnsi="Arial"/>
          <w:sz w:val="21"/>
          <w:szCs w:val="21"/>
          <w:b w:val="1"/>
          <w:bCs w:val="1"/>
          <w:color w:val="auto"/>
        </w:rPr>
        <w:t xml:space="preserve"> </w:t>
      </w:r>
      <w:r>
        <w:rPr>
          <w:rFonts w:ascii="Arial" w:cs="Arial" w:eastAsia="Arial" w:hAnsi="Arial"/>
          <w:sz w:val="21"/>
          <w:szCs w:val="21"/>
          <w:color w:val="auto"/>
        </w:rPr>
        <w:t>overseeing, reviewing, and approving our executive compensation 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compensation objectives for executive officers are as follows:</w:t>
      </w:r>
    </w:p>
    <w:p>
      <w:pPr>
        <w:spacing w:after="0" w:line="8" w:lineRule="exact"/>
        <w:rPr>
          <w:sz w:val="20"/>
          <w:szCs w:val="20"/>
          <w:color w:val="auto"/>
        </w:rPr>
      </w:pPr>
    </w:p>
    <w:p>
      <w:pPr>
        <w:ind w:left="1300" w:right="2199" w:hanging="320"/>
        <w:spacing w:after="0" w:line="230" w:lineRule="auto"/>
        <w:tabs>
          <w:tab w:leader="none" w:pos="1273"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attract and retain highly qualified individuals capable of making significant contributions to the long-term success of our company;</w:t>
      </w:r>
    </w:p>
    <w:p>
      <w:pPr>
        <w:spacing w:after="0" w:line="1" w:lineRule="exact"/>
        <w:rPr>
          <w:rFonts w:ascii="Arial" w:cs="Arial" w:eastAsia="Arial" w:hAnsi="Arial"/>
          <w:sz w:val="22"/>
          <w:szCs w:val="22"/>
          <w:color w:val="auto"/>
        </w:rPr>
      </w:pPr>
    </w:p>
    <w:p>
      <w:pPr>
        <w:ind w:left="1280" w:hanging="300"/>
        <w:spacing w:after="0"/>
        <w:tabs>
          <w:tab w:leader="none" w:pos="12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to use incentive compensation to reinforce strategic performance objectives;</w:t>
      </w:r>
    </w:p>
    <w:p>
      <w:pPr>
        <w:spacing w:after="0" w:line="1" w:lineRule="exact"/>
        <w:rPr>
          <w:rFonts w:ascii="Arial" w:cs="Arial" w:eastAsia="Arial" w:hAnsi="Arial"/>
          <w:sz w:val="21"/>
          <w:szCs w:val="21"/>
          <w:color w:val="auto"/>
        </w:rPr>
      </w:pPr>
    </w:p>
    <w:p>
      <w:pPr>
        <w:ind w:left="1300" w:right="2039" w:hanging="320"/>
        <w:spacing w:after="0" w:line="267" w:lineRule="auto"/>
        <w:tabs>
          <w:tab w:leader="none" w:pos="1273" w:val="left"/>
        </w:tabs>
        <w:numPr>
          <w:ilvl w:val="0"/>
          <w:numId w:val="6"/>
        </w:numPr>
        <w:rPr>
          <w:rFonts w:ascii="Arial" w:cs="Arial" w:eastAsia="Arial" w:hAnsi="Arial"/>
          <w:sz w:val="19"/>
          <w:szCs w:val="19"/>
          <w:color w:val="auto"/>
        </w:rPr>
      </w:pPr>
      <w:r>
        <w:rPr>
          <w:rFonts w:ascii="Arial" w:cs="Arial" w:eastAsia="Arial" w:hAnsi="Arial"/>
          <w:sz w:val="19"/>
          <w:szCs w:val="19"/>
          <w:color w:val="auto"/>
        </w:rPr>
        <w:t>to align the interest of our executives with the interests of our shareholders such that risks and rewards of strategic decisions are shared; and</w:t>
      </w:r>
    </w:p>
    <w:p>
      <w:pPr>
        <w:ind w:left="1300" w:right="2159" w:hanging="320"/>
        <w:spacing w:after="0" w:line="237" w:lineRule="auto"/>
        <w:tabs>
          <w:tab w:leader="none" w:pos="1273"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reflect the value of each officer’s position in the marketplace and within our company.</w:t>
      </w:r>
    </w:p>
    <w:p>
      <w:pPr>
        <w:spacing w:after="0" w:line="63"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i w:val="1"/>
          <w:iCs w:val="1"/>
          <w:color w:val="auto"/>
        </w:rPr>
        <w:t>Policies and Practices Related to ClearOne’s Compensation Program</w:t>
      </w:r>
      <w:r>
        <w:rPr>
          <w:rFonts w:ascii="Arial" w:cs="Arial" w:eastAsia="Arial" w:hAnsi="Arial"/>
          <w:sz w:val="19"/>
          <w:szCs w:val="19"/>
          <w:color w:val="auto"/>
        </w:rPr>
        <w:t>. We strive to</w:t>
      </w:r>
      <w:r>
        <w:rPr>
          <w:rFonts w:ascii="Arial" w:cs="Arial" w:eastAsia="Arial" w:hAnsi="Arial"/>
          <w:sz w:val="19"/>
          <w:szCs w:val="19"/>
          <w:i w:val="1"/>
          <w:iCs w:val="1"/>
          <w:color w:val="auto"/>
        </w:rPr>
        <w:t xml:space="preserve"> </w:t>
      </w:r>
      <w:r>
        <w:rPr>
          <w:rFonts w:ascii="Arial" w:cs="Arial" w:eastAsia="Arial" w:hAnsi="Arial"/>
          <w:sz w:val="19"/>
          <w:szCs w:val="19"/>
          <w:color w:val="auto"/>
        </w:rPr>
        <w:t>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w:t>
      </w:r>
    </w:p>
    <w:p>
      <w:pPr>
        <w:sectPr>
          <w:pgSz w:w="11900" w:h="16838" w:orient="portrait"/>
          <w:cols w:equalWidth="0" w:num="1">
            <w:col w:w="10219"/>
          </w:cols>
          <w:pgMar w:left="240" w:top="598" w:right="1440" w:bottom="0" w:gutter="0" w:footer="0" w:header="0"/>
        </w:sectPr>
      </w:pPr>
    </w:p>
    <w:bookmarkStart w:id="11" w:name="page12"/>
    <w:bookmarkEnd w:id="11"/>
    <w:p>
      <w:pPr>
        <w:ind w:right="2199"/>
        <w:spacing w:after="0" w:line="238" w:lineRule="auto"/>
        <w:rPr>
          <w:sz w:val="20"/>
          <w:szCs w:val="20"/>
          <w:color w:val="auto"/>
        </w:rPr>
      </w:pPr>
      <w:r>
        <w:rPr>
          <w:rFonts w:ascii="Arial" w:cs="Arial" w:eastAsia="Arial" w:hAnsi="Arial"/>
          <w:sz w:val="22"/>
          <w:szCs w:val="22"/>
          <w:color w:val="auto"/>
        </w:rPr>
        <w:t>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2" w:name="page13"/>
    <w:bookmarkEnd w:id="12"/>
    <w:p>
      <w:pPr>
        <w:ind w:right="1779" w:firstLine="648"/>
        <w:spacing w:after="0" w:line="245" w:lineRule="auto"/>
        <w:rPr>
          <w:sz w:val="20"/>
          <w:szCs w:val="20"/>
          <w:color w:val="auto"/>
        </w:rPr>
      </w:pPr>
      <w:r>
        <w:rPr>
          <w:rFonts w:ascii="Arial" w:cs="Arial" w:eastAsia="Arial" w:hAnsi="Arial"/>
          <w:sz w:val="21"/>
          <w:szCs w:val="21"/>
          <w:i w:val="1"/>
          <w:iCs w:val="1"/>
          <w:color w:val="auto"/>
        </w:rPr>
        <w:t>Comparable Companies</w:t>
      </w:r>
      <w:r>
        <w:rPr>
          <w:rFonts w:ascii="Arial" w:cs="Arial" w:eastAsia="Arial" w:hAnsi="Arial"/>
          <w:sz w:val="21"/>
          <w:szCs w:val="21"/>
          <w:color w:val="auto"/>
        </w:rPr>
        <w:t>. In making compensation decisions, including assessing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competitiveness of the total compensation structure for each 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During February 2010, the company obtained comparable compensation data from Equilar. The Compensation Committee reviewed the compensation data to ensure the company’s compensation of executives is reasonable.</w:t>
      </w:r>
    </w:p>
    <w:p>
      <w:pPr>
        <w:spacing w:after="0" w:line="145" w:lineRule="exact"/>
        <w:rPr>
          <w:sz w:val="20"/>
          <w:szCs w:val="20"/>
          <w:color w:val="auto"/>
        </w:rPr>
      </w:pPr>
    </w:p>
    <w:p>
      <w:pPr>
        <w:ind w:right="1919" w:firstLine="648"/>
        <w:spacing w:after="0" w:line="279" w:lineRule="auto"/>
        <w:rPr>
          <w:sz w:val="20"/>
          <w:szCs w:val="20"/>
          <w:color w:val="auto"/>
        </w:rPr>
      </w:pPr>
      <w:r>
        <w:rPr>
          <w:rFonts w:ascii="Arial" w:cs="Arial" w:eastAsia="Arial" w:hAnsi="Arial"/>
          <w:sz w:val="19"/>
          <w:szCs w:val="19"/>
          <w:i w:val="1"/>
          <w:iCs w:val="1"/>
          <w:color w:val="auto"/>
        </w:rPr>
        <w:t>Equity Grant Practices</w:t>
      </w:r>
      <w:r>
        <w:rPr>
          <w:rFonts w:ascii="Arial" w:cs="Arial" w:eastAsia="Arial" w:hAnsi="Arial"/>
          <w:sz w:val="19"/>
          <w:szCs w:val="19"/>
          <w:color w:val="auto"/>
        </w:rPr>
        <w:t>. The Compensation Committee recognizes the importance of</w:t>
      </w:r>
      <w:r>
        <w:rPr>
          <w:rFonts w:ascii="Arial" w:cs="Arial" w:eastAsia="Arial" w:hAnsi="Arial"/>
          <w:sz w:val="19"/>
          <w:szCs w:val="19"/>
          <w:i w:val="1"/>
          <w:iCs w:val="1"/>
          <w:color w:val="auto"/>
        </w:rPr>
        <w:t xml:space="preserve"> </w:t>
      </w:r>
      <w:r>
        <w:rPr>
          <w:rFonts w:ascii="Arial" w:cs="Arial" w:eastAsia="Arial" w:hAnsi="Arial"/>
          <w:sz w:val="19"/>
          <w:szCs w:val="19"/>
          <w:color w:val="auto"/>
        </w:rPr>
        <w:t>equity ownership in the alignment of shareholder and 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24" w:lineRule="exact"/>
        <w:rPr>
          <w:sz w:val="20"/>
          <w:szCs w:val="20"/>
          <w:color w:val="auto"/>
        </w:rPr>
      </w:pPr>
    </w:p>
    <w:p>
      <w:pPr>
        <w:ind w:right="1819" w:firstLine="648"/>
        <w:spacing w:after="0" w:line="272" w:lineRule="auto"/>
        <w:rPr>
          <w:sz w:val="20"/>
          <w:szCs w:val="20"/>
          <w:color w:val="auto"/>
        </w:rPr>
      </w:pPr>
      <w:r>
        <w:rPr>
          <w:rFonts w:ascii="Arial" w:cs="Arial" w:eastAsia="Arial" w:hAnsi="Arial"/>
          <w:sz w:val="19"/>
          <w:szCs w:val="19"/>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2010.</w:t>
      </w:r>
    </w:p>
    <w:p>
      <w:pPr>
        <w:spacing w:after="0" w:line="129" w:lineRule="exact"/>
        <w:rPr>
          <w:sz w:val="20"/>
          <w:szCs w:val="20"/>
          <w:color w:val="auto"/>
        </w:rPr>
      </w:pPr>
    </w:p>
    <w:p>
      <w:pPr>
        <w:ind w:right="1899" w:firstLine="648"/>
        <w:spacing w:after="0" w:line="237" w:lineRule="auto"/>
        <w:rPr>
          <w:sz w:val="20"/>
          <w:szCs w:val="20"/>
          <w:color w:val="auto"/>
        </w:rPr>
      </w:pPr>
      <w:r>
        <w:rPr>
          <w:rFonts w:ascii="Arial" w:cs="Arial" w:eastAsia="Arial" w:hAnsi="Arial"/>
          <w:sz w:val="22"/>
          <w:szCs w:val="22"/>
          <w:b w:val="1"/>
          <w:bCs w:val="1"/>
          <w:color w:val="auto"/>
        </w:rPr>
        <w:t xml:space="preserve">Nominating Committee. </w:t>
      </w:r>
      <w:r>
        <w:rPr>
          <w:rFonts w:ascii="Arial" w:cs="Arial" w:eastAsia="Arial" w:hAnsi="Arial"/>
          <w:sz w:val="22"/>
          <w:szCs w:val="22"/>
          <w:color w:val="auto"/>
        </w:rPr>
        <w:t>The Nominating Committee is responsible for overseeing the</w:t>
      </w:r>
      <w:r>
        <w:rPr>
          <w:rFonts w:ascii="Arial" w:cs="Arial" w:eastAsia="Arial" w:hAnsi="Arial"/>
          <w:sz w:val="22"/>
          <w:szCs w:val="22"/>
          <w:b w:val="1"/>
          <w:bCs w:val="1"/>
          <w:color w:val="auto"/>
        </w:rPr>
        <w:t xml:space="preserve"> </w:t>
      </w:r>
      <w:r>
        <w:rPr>
          <w:rFonts w:ascii="Arial" w:cs="Arial" w:eastAsia="Arial" w:hAnsi="Arial"/>
          <w:sz w:val="22"/>
          <w:szCs w:val="22"/>
          <w:color w:val="auto"/>
        </w:rPr>
        <w:t>nomination of our directors. The Nominating Committee selects, evaluates, and recommends to the full Board of Directors qualified candidates for election to the Board of Directors. The members of the Nominating Committee are Larry R. Hendricks (Chairman), Brad R. Baldwin, and Scott M. Huntsman.</w:t>
      </w:r>
    </w:p>
    <w:p>
      <w:pPr>
        <w:spacing w:after="0" w:line="162"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Meetings</w:t>
      </w:r>
    </w:p>
    <w:p>
      <w:pPr>
        <w:spacing w:after="0" w:line="185" w:lineRule="exact"/>
        <w:rPr>
          <w:sz w:val="20"/>
          <w:szCs w:val="20"/>
          <w:color w:val="auto"/>
        </w:rPr>
      </w:pPr>
    </w:p>
    <w:p>
      <w:pPr>
        <w:ind w:right="1919" w:firstLine="648"/>
        <w:spacing w:after="0" w:line="274" w:lineRule="auto"/>
        <w:rPr>
          <w:sz w:val="20"/>
          <w:szCs w:val="20"/>
          <w:color w:val="auto"/>
        </w:rPr>
      </w:pPr>
      <w:r>
        <w:rPr>
          <w:rFonts w:ascii="Arial" w:cs="Arial" w:eastAsia="Arial" w:hAnsi="Arial"/>
          <w:sz w:val="19"/>
          <w:szCs w:val="19"/>
          <w:color w:val="auto"/>
        </w:rPr>
        <w:t>Our Board of Directors held a total of 8 meetings in 2010.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2010 Annual Meeting of Shareholders.</w:t>
      </w:r>
    </w:p>
    <w:p>
      <w:pPr>
        <w:spacing w:after="0" w:line="132" w:lineRule="exact"/>
        <w:rPr>
          <w:sz w:val="20"/>
          <w:szCs w:val="20"/>
          <w:color w:val="auto"/>
        </w:rPr>
      </w:pPr>
    </w:p>
    <w:p>
      <w:pPr>
        <w:ind w:right="2399" w:firstLine="648"/>
        <w:spacing w:after="0" w:line="328" w:lineRule="auto"/>
        <w:rPr>
          <w:sz w:val="20"/>
          <w:szCs w:val="20"/>
          <w:color w:val="auto"/>
        </w:rPr>
      </w:pPr>
      <w:r>
        <w:rPr>
          <w:rFonts w:ascii="Arial" w:cs="Arial" w:eastAsia="Arial" w:hAnsi="Arial"/>
          <w:sz w:val="19"/>
          <w:szCs w:val="19"/>
          <w:color w:val="auto"/>
        </w:rPr>
        <w:t>In 2010, the Audit and Compliance Committee held 5 meetings, the Compensation Committee held 5 meetings, and the Nominating Committee held 2 meetings.</w:t>
      </w:r>
    </w:p>
    <w:p>
      <w:pPr>
        <w:sectPr>
          <w:pgSz w:w="11900" w:h="16838" w:orient="portrait"/>
          <w:cols w:equalWidth="0" w:num="1">
            <w:col w:w="10219"/>
          </w:cols>
          <w:pgMar w:left="240" w:top="604" w:right="1440" w:bottom="0" w:gutter="0" w:footer="0" w:header="0"/>
        </w:sectPr>
      </w:pPr>
    </w:p>
    <w:bookmarkStart w:id="13" w:name="page14"/>
    <w:bookmarkEnd w:id="13"/>
    <w:p>
      <w:pPr>
        <w:ind w:left="300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Code of Ethics</w:t>
      </w:r>
    </w:p>
    <w:p>
      <w:pPr>
        <w:spacing w:after="0" w:line="185" w:lineRule="exact"/>
        <w:rPr>
          <w:sz w:val="20"/>
          <w:szCs w:val="20"/>
          <w:color w:val="auto"/>
        </w:rPr>
      </w:pPr>
    </w:p>
    <w:p>
      <w:pPr>
        <w:jc w:val="both"/>
        <w:ind w:right="2059" w:firstLine="648"/>
        <w:spacing w:after="0"/>
        <w:rPr>
          <w:sz w:val="20"/>
          <w:szCs w:val="20"/>
          <w:color w:val="auto"/>
        </w:rPr>
      </w:pPr>
      <w:r>
        <w:rPr>
          <w:rFonts w:ascii="Arial" w:cs="Arial" w:eastAsia="Arial" w:hAnsi="Arial"/>
          <w:sz w:val="22"/>
          <w:szCs w:val="22"/>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22"/>
          <w:szCs w:val="22"/>
          <w:u w:val="single" w:color="auto"/>
          <w:color w:val="auto"/>
        </w:rPr>
        <w:t>www.clearone.com</w:t>
      </w:r>
      <w:r>
        <w:rPr>
          <w:rFonts w:ascii="Arial" w:cs="Arial" w:eastAsia="Arial" w:hAnsi="Arial"/>
          <w:sz w:val="22"/>
          <w:szCs w:val="22"/>
          <w:color w:val="auto"/>
        </w:rPr>
        <w:t xml:space="preserve"> .</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5" w:lineRule="exact"/>
        <w:rPr>
          <w:sz w:val="20"/>
          <w:szCs w:val="20"/>
          <w:color w:val="auto"/>
        </w:rPr>
      </w:pPr>
    </w:p>
    <w:p>
      <w:pPr>
        <w:ind w:right="1839" w:firstLine="648"/>
        <w:spacing w:after="0" w:line="272" w:lineRule="auto"/>
        <w:rPr>
          <w:sz w:val="20"/>
          <w:szCs w:val="20"/>
          <w:color w:val="auto"/>
        </w:rPr>
      </w:pPr>
      <w:r>
        <w:rPr>
          <w:rFonts w:ascii="Arial" w:cs="Arial" w:eastAsia="Arial" w:hAnsi="Arial"/>
          <w:sz w:val="19"/>
          <w:szCs w:val="19"/>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2010, and written representations that no other reports were required, we believe that each person who, at any time during such fiscal year was a director, officer, or beneficial owner of more than 10% of our common stock, complied with all Section 16(a) filing requirements during such transition period, except that Edward Dallin Bagley, a beneficial owner of more than 10% of our common stock filed one Form 4 late for one transaction, and E. Bryan Bagley, a director, filed one Form 4 late for eight transactions, and a Form 5 for a late transaction.</w:t>
      </w:r>
    </w:p>
    <w:p>
      <w:pPr>
        <w:spacing w:after="0" w:line="129"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EXECUTIVE OFFICERS</w:t>
      </w:r>
    </w:p>
    <w:p>
      <w:pPr>
        <w:spacing w:after="0" w:line="185" w:lineRule="exact"/>
        <w:rPr>
          <w:sz w:val="20"/>
          <w:szCs w:val="20"/>
          <w:color w:val="auto"/>
        </w:rPr>
      </w:pPr>
    </w:p>
    <w:p>
      <w:pPr>
        <w:jc w:val="center"/>
        <w:ind w:right="1759"/>
        <w:spacing w:after="0"/>
        <w:rPr>
          <w:sz w:val="20"/>
          <w:szCs w:val="20"/>
          <w:color w:val="auto"/>
        </w:rPr>
      </w:pPr>
      <w:r>
        <w:rPr>
          <w:rFonts w:ascii="Arial" w:cs="Arial" w:eastAsia="Arial" w:hAnsi="Arial"/>
          <w:sz w:val="22"/>
          <w:szCs w:val="22"/>
          <w:color w:val="auto"/>
        </w:rPr>
        <w:t>The following table sets forth certain information regarding our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9"/>
                <w:szCs w:val="19"/>
                <w:color w:val="auto"/>
              </w:rPr>
            </w:pPr>
          </w:p>
        </w:tc>
        <w:tc>
          <w:tcPr>
            <w:tcW w:w="576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Position</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6"/>
              </w:rPr>
              <w:t>President, Chief Executive Officer, and Chairman of the Board of Directors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Narsi Narayanan</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Vice President of Finance and Corporate Secretary</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Tracy A. Bathurst</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Chief Strategy Officer</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w w:val="94"/>
              </w:rPr>
              <w:t>Michael E. Braithwaite</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Senior Vice President of Technology</w:t>
            </w: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biography of Ms. Hakimoglu, see “Nominees for Director.”</w:t>
      </w:r>
    </w:p>
    <w:p>
      <w:pPr>
        <w:spacing w:after="0" w:line="173" w:lineRule="exact"/>
        <w:rPr>
          <w:sz w:val="20"/>
          <w:szCs w:val="20"/>
          <w:color w:val="auto"/>
        </w:rPr>
      </w:pPr>
    </w:p>
    <w:p>
      <w:pPr>
        <w:ind w:right="1779" w:firstLine="648"/>
        <w:spacing w:after="0" w:line="244" w:lineRule="auto"/>
        <w:rPr>
          <w:sz w:val="20"/>
          <w:szCs w:val="20"/>
          <w:color w:val="auto"/>
        </w:rPr>
      </w:pPr>
      <w:r>
        <w:rPr>
          <w:rFonts w:ascii="Arial" w:cs="Arial" w:eastAsia="Arial" w:hAnsi="Arial"/>
          <w:sz w:val="21"/>
          <w:szCs w:val="21"/>
          <w:b w:val="1"/>
          <w:bCs w:val="1"/>
          <w:color w:val="auto"/>
        </w:rPr>
        <w:t xml:space="preserve">Narsi Narayanan </w:t>
      </w:r>
      <w:r>
        <w:rPr>
          <w:rFonts w:ascii="Arial" w:cs="Arial" w:eastAsia="Arial" w:hAnsi="Arial"/>
          <w:sz w:val="21"/>
          <w:szCs w:val="21"/>
          <w:color w:val="auto"/>
        </w:rPr>
        <w:t>has served as our Vice President of Finance since July 2009 and has</w:t>
      </w:r>
      <w:r>
        <w:rPr>
          <w:rFonts w:ascii="Arial" w:cs="Arial" w:eastAsia="Arial" w:hAnsi="Arial"/>
          <w:sz w:val="21"/>
          <w:szCs w:val="21"/>
          <w:b w:val="1"/>
          <w:bCs w:val="1"/>
          <w:color w:val="auto"/>
        </w:rPr>
        <w:t xml:space="preserve"> </w:t>
      </w:r>
      <w:r>
        <w:rPr>
          <w:rFonts w:ascii="Arial" w:cs="Arial" w:eastAsia="Arial" w:hAnsi="Arial"/>
          <w:sz w:val="21"/>
          <w:szCs w:val="21"/>
          <w:color w:val="auto"/>
        </w:rPr>
        <w:t>over 15 years of professional experience in the areas of 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63" w:lineRule="exact"/>
        <w:rPr>
          <w:sz w:val="20"/>
          <w:szCs w:val="20"/>
          <w:color w:val="auto"/>
        </w:rPr>
      </w:pPr>
    </w:p>
    <w:p>
      <w:pPr>
        <w:ind w:right="1859" w:firstLine="648"/>
        <w:spacing w:after="0" w:line="278" w:lineRule="auto"/>
        <w:rPr>
          <w:sz w:val="20"/>
          <w:szCs w:val="20"/>
          <w:color w:val="auto"/>
        </w:rPr>
      </w:pPr>
      <w:r>
        <w:rPr>
          <w:rFonts w:ascii="Arial" w:cs="Arial" w:eastAsia="Arial" w:hAnsi="Arial"/>
          <w:sz w:val="19"/>
          <w:szCs w:val="19"/>
          <w:b w:val="1"/>
          <w:bCs w:val="1"/>
          <w:color w:val="auto"/>
        </w:rPr>
        <w:t xml:space="preserve">Tracy A. Bathurst </w:t>
      </w:r>
      <w:r>
        <w:rPr>
          <w:rFonts w:ascii="Arial" w:cs="Arial" w:eastAsia="Arial" w:hAnsi="Arial"/>
          <w:sz w:val="19"/>
          <w:szCs w:val="19"/>
          <w:color w:val="auto"/>
        </w:rPr>
        <w:t>joined our company in September 1988 and held several positions</w:t>
      </w:r>
      <w:r>
        <w:rPr>
          <w:rFonts w:ascii="Arial" w:cs="Arial" w:eastAsia="Arial" w:hAnsi="Arial"/>
          <w:sz w:val="19"/>
          <w:szCs w:val="19"/>
          <w:b w:val="1"/>
          <w:bCs w:val="1"/>
          <w:color w:val="auto"/>
        </w:rPr>
        <w:t xml:space="preserve"> </w:t>
      </w:r>
      <w:r>
        <w:rPr>
          <w:rFonts w:ascii="Arial" w:cs="Arial" w:eastAsia="Arial" w:hAnsi="Arial"/>
          <w:sz w:val="19"/>
          <w:szCs w:val="19"/>
          <w:color w:val="auto"/>
        </w:rPr>
        <w:t>with us before being named Chief Strategy Officer in November 2009. He most recently served as our Chief Technology Officer and has nearly 20 years experience in defining and developing communications-related products and technology. Mr. Bathurst previously led the design and development of our high performance audio and telecommunications equipment. Mr. Bathurst currently oversees product market strategy and overall product strategy. He earned a Bachelor of Science degree in Industrial Technology from Southern Utah University.</w:t>
      </w:r>
    </w:p>
    <w:p>
      <w:pPr>
        <w:spacing w:after="0" w:line="106" w:lineRule="exact"/>
        <w:rPr>
          <w:sz w:val="20"/>
          <w:szCs w:val="20"/>
          <w:color w:val="auto"/>
        </w:rPr>
      </w:pPr>
    </w:p>
    <w:p>
      <w:pPr>
        <w:ind w:right="1899" w:firstLine="648"/>
        <w:spacing w:after="0" w:line="234" w:lineRule="auto"/>
        <w:rPr>
          <w:sz w:val="20"/>
          <w:szCs w:val="20"/>
          <w:color w:val="auto"/>
        </w:rPr>
      </w:pPr>
      <w:r>
        <w:rPr>
          <w:rFonts w:ascii="Arial" w:cs="Arial" w:eastAsia="Arial" w:hAnsi="Arial"/>
          <w:sz w:val="22"/>
          <w:szCs w:val="22"/>
          <w:b w:val="1"/>
          <w:bCs w:val="1"/>
          <w:color w:val="auto"/>
        </w:rPr>
        <w:t xml:space="preserve">Michael Braithwaite </w:t>
      </w:r>
      <w:r>
        <w:rPr>
          <w:rFonts w:ascii="Arial" w:cs="Arial" w:eastAsia="Arial" w:hAnsi="Arial"/>
          <w:sz w:val="22"/>
          <w:szCs w:val="22"/>
          <w:color w:val="auto"/>
        </w:rPr>
        <w:t>joined us in November 2009 through the acquisition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NetStreams, Inc. where he was the co-founder and CTO since 2004. Mr. Braithwaite has led a distinguished twenty-year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as a Chairman on the Consumer Electronics Association’s R10 working group technical committees and is a very active member in technology standard efforts.</w:t>
      </w:r>
    </w:p>
    <w:p>
      <w:pPr>
        <w:sectPr>
          <w:pgSz w:w="11900" w:h="16838" w:orient="portrait"/>
          <w:cols w:equalWidth="0" w:num="1">
            <w:col w:w="10219"/>
          </w:cols>
          <w:pgMar w:left="240" w:top="5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0219"/>
          </w:cols>
          <w:pgMar w:left="240" w:top="598" w:right="1440" w:bottom="0" w:gutter="0" w:footer="0" w:header="0"/>
          <w:type w:val="continuous"/>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35114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ind w:left="2660"/>
        <w:spacing w:after="0"/>
        <w:rPr>
          <w:sz w:val="20"/>
          <w:szCs w:val="20"/>
          <w:color w:val="auto"/>
        </w:rPr>
      </w:pPr>
      <w:r>
        <w:rPr>
          <w:rFonts w:ascii="Arial" w:cs="Arial" w:eastAsia="Arial" w:hAnsi="Arial"/>
          <w:sz w:val="22"/>
          <w:szCs w:val="22"/>
          <w:b w:val="1"/>
          <w:bCs w:val="1"/>
          <w:color w:val="auto"/>
        </w:rPr>
        <w:t>EXECUTIVE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w:t>
      </w:r>
    </w:p>
    <w:p>
      <w:pPr>
        <w:spacing w:after="0" w:line="91" w:lineRule="exact"/>
        <w:rPr>
          <w:sz w:val="20"/>
          <w:szCs w:val="20"/>
          <w:color w:val="auto"/>
        </w:rPr>
      </w:pPr>
    </w:p>
    <w:p>
      <w:pPr>
        <w:ind w:right="1979" w:firstLine="648"/>
        <w:spacing w:after="0" w:line="297" w:lineRule="auto"/>
        <w:rPr>
          <w:sz w:val="20"/>
          <w:szCs w:val="20"/>
          <w:color w:val="auto"/>
        </w:rPr>
      </w:pPr>
      <w:r>
        <w:rPr>
          <w:rFonts w:ascii="Arial" w:cs="Arial" w:eastAsia="Arial" w:hAnsi="Arial"/>
          <w:sz w:val="19"/>
          <w:szCs w:val="19"/>
          <w:color w:val="auto"/>
        </w:rPr>
        <w:t>The following tables set forth for the periods indicated the compensation paid or earned by each named executive officer for the year ended December 31, 2010, six-month transition period ended December 31, 2009, and fiscal year ending June 30, 2009.</w:t>
      </w:r>
    </w:p>
    <w:p>
      <w:pPr>
        <w:spacing w:after="0" w:line="7"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ind w:left="5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Awards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 w:type="dxa"/>
            <w:vAlign w:val="bottom"/>
          </w:tcPr>
          <w:p>
            <w:pPr>
              <w:spacing w:after="0"/>
              <w:rPr>
                <w:sz w:val="12"/>
                <w:szCs w:val="12"/>
                <w:color w:val="auto"/>
              </w:rPr>
            </w:pPr>
          </w:p>
        </w:tc>
        <w:tc>
          <w:tcPr>
            <w:tcW w:w="14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 (3)</w:t>
            </w:r>
          </w:p>
        </w:tc>
        <w:tc>
          <w:tcPr>
            <w:tcW w:w="68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Compensation (2)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w w:val="95"/>
              </w:rPr>
              <w:t xml:space="preserve">Zee Hakimoglu </w:t>
            </w:r>
            <w:r>
              <w:rPr>
                <w:rFonts w:ascii="Arial" w:cs="Arial" w:eastAsia="Arial" w:hAnsi="Arial"/>
                <w:sz w:val="16"/>
                <w:szCs w:val="16"/>
                <w:color w:val="auto"/>
                <w:w w:val="95"/>
              </w:rPr>
              <w:t>- Chairman of the Board,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Chief Executive Officer and President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73,523</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310,923</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Six months ended December 31, 2009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110,000</w:t>
            </w:r>
          </w:p>
        </w:tc>
      </w:tr>
      <w:tr>
        <w:trPr>
          <w:trHeight w:val="210"/>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Year ended June 30, 2009</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215,157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44,485</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355,032</w:t>
            </w: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rPr>
              <w:t xml:space="preserve">Tracy A. Bathurst </w:t>
            </w:r>
            <w:r>
              <w:rPr>
                <w:rFonts w:ascii="Arial" w:cs="Arial" w:eastAsia="Arial" w:hAnsi="Arial"/>
                <w:sz w:val="16"/>
                <w:szCs w:val="16"/>
                <w:color w:val="auto"/>
              </w:rPr>
              <w:t>- Chief Strategy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Officer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212,687</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Six months ended December 31, 2009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85,232</w:t>
            </w:r>
          </w:p>
        </w:tc>
      </w:tr>
      <w:tr>
        <w:trPr>
          <w:trHeight w:val="210"/>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Year ended June 30, 2009</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142,123</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34,736</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224,226</w:t>
            </w: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w w:val="96"/>
              </w:rPr>
              <w:t xml:space="preserve">Narsi Narayanan </w:t>
            </w:r>
            <w:r>
              <w:rPr>
                <w:rFonts w:ascii="Arial" w:cs="Arial" w:eastAsia="Arial" w:hAnsi="Arial"/>
                <w:sz w:val="16"/>
                <w:szCs w:val="16"/>
                <w:color w:val="auto"/>
                <w:w w:val="96"/>
              </w:rPr>
              <w:t>(4) – Vice President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Finance and Corporate Secretary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178,628</w:t>
            </w:r>
          </w:p>
        </w:tc>
      </w:tr>
      <w:tr>
        <w:trPr>
          <w:trHeight w:val="210"/>
        </w:trPr>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Six months ended December 31, 2009</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45,833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12,029</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94,162</w:t>
            </w:r>
          </w:p>
        </w:tc>
      </w:tr>
      <w:tr>
        <w:trPr>
          <w:trHeight w:val="193"/>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6"/>
                <w:szCs w:val="16"/>
                <w:color w:val="auto"/>
              </w:rPr>
              <w:t>(5) – Senior Vice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President of Technology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223,723</w:t>
            </w:r>
          </w:p>
        </w:tc>
      </w:tr>
      <w:tr>
        <w:trPr>
          <w:trHeight w:val="210"/>
        </w:trPr>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Six months ended December 31, 2009</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56,800</w:t>
            </w:r>
          </w:p>
        </w:tc>
      </w:tr>
    </w:tbl>
    <w:p>
      <w:pPr>
        <w:spacing w:after="0" w:line="141" w:lineRule="exact"/>
        <w:rPr>
          <w:sz w:val="20"/>
          <w:szCs w:val="20"/>
          <w:color w:val="auto"/>
        </w:rPr>
      </w:pPr>
    </w:p>
    <w:p>
      <w:pPr>
        <w:ind w:left="660" w:right="1839" w:hanging="652"/>
        <w:spacing w:after="0" w:line="247" w:lineRule="auto"/>
        <w:tabs>
          <w:tab w:leader="none" w:pos="633"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21"/>
          <w:szCs w:val="21"/>
          <w:i w:val="1"/>
          <w:iCs w:val="1"/>
          <w:color w:val="auto"/>
        </w:rPr>
        <w:t xml:space="preserve">Compensation - Stock Compensation. </w:t>
      </w:r>
      <w:r>
        <w:rPr>
          <w:rFonts w:ascii="Arial" w:cs="Arial" w:eastAsia="Arial" w:hAnsi="Arial"/>
          <w:sz w:val="21"/>
          <w:szCs w:val="21"/>
          <w:color w:val="auto"/>
        </w:rPr>
        <w:t>The assumptions made in the valuation of 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 awards is disclosed in </w:t>
      </w:r>
      <w:r>
        <w:rPr>
          <w:rFonts w:ascii="Arial" w:cs="Arial" w:eastAsia="Arial" w:hAnsi="Arial"/>
          <w:sz w:val="21"/>
          <w:szCs w:val="21"/>
          <w:u w:val="single" w:color="auto"/>
          <w:color w:val="auto"/>
        </w:rPr>
        <w:t>Note 11 - Share Based Payments</w:t>
      </w:r>
      <w:r>
        <w:rPr>
          <w:rFonts w:ascii="Arial" w:cs="Arial" w:eastAsia="Arial" w:hAnsi="Arial"/>
          <w:sz w:val="21"/>
          <w:szCs w:val="21"/>
          <w:color w:val="auto"/>
        </w:rPr>
        <w:t xml:space="preserve"> in our Notes to Consolidated Financial Statements contained in our annual report on Form 10-K for the year ended December 31, 2010.</w:t>
      </w:r>
    </w:p>
    <w:p>
      <w:pPr>
        <w:spacing w:after="0" w:line="56" w:lineRule="exact"/>
        <w:rPr>
          <w:rFonts w:ascii="Arial" w:cs="Arial" w:eastAsia="Arial" w:hAnsi="Arial"/>
          <w:sz w:val="21"/>
          <w:szCs w:val="21"/>
          <w:color w:val="auto"/>
        </w:rPr>
      </w:pPr>
    </w:p>
    <w:p>
      <w:pPr>
        <w:ind w:left="660" w:right="1819" w:hanging="652"/>
        <w:spacing w:after="0" w:line="269" w:lineRule="auto"/>
        <w:tabs>
          <w:tab w:leader="none" w:pos="633" w:val="left"/>
        </w:tabs>
        <w:numPr>
          <w:ilvl w:val="0"/>
          <w:numId w:val="7"/>
        </w:numPr>
        <w:rPr>
          <w:rFonts w:ascii="Arial" w:cs="Arial" w:eastAsia="Arial" w:hAnsi="Arial"/>
          <w:sz w:val="19"/>
          <w:szCs w:val="19"/>
          <w:color w:val="auto"/>
        </w:rPr>
      </w:pPr>
      <w:r>
        <w:rPr>
          <w:rFonts w:ascii="Arial" w:cs="Arial" w:eastAsia="Arial" w:hAnsi="Arial"/>
          <w:sz w:val="19"/>
          <w:szCs w:val="19"/>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quantitative financial goals (with revenue, gross margin and operating income having equal share) and 30% to non-quantitative goals. Of the amounts included above, Ms. Hakimoglu’s compensation for the year ended December 31, 2010 included $56,273 for achieving financial goals and $17,250 for achieving non-quantitative goals, and during the year ended June 30, 2009 included $15,385 for achieving financial goals and $29,100 for achieving non-quantitative goals. Mr. Bathurst’s compensation for the year ended December 31, 2010 included $37,923 for achieving financial goals and $9,939 for achieving non-quantitative goals. Mr. Bathurst’s compensation for six months ended December 31, 2009 included $12,732 for achieving non-quantitative goals and during the year ended June 30, 2009 included $5,915 for achieving financial goals and $28,821 for achieving non-quantitative goals. Mr. Narayanan’s compensation for the year ended December 31, 2010 included $33,030 for achieving financial goals and $10,698 for achieving non-quantitative goals, and compensation for the six months ended December 31, 2009 included $12,029 towards achieving non-quantitative goals. Mr. Braithwaite’s compensation for the year ended December 31, 2010 included $37,923 for achieving financial goals and $11,625 for achieving non-quantitative goals.</w:t>
      </w:r>
    </w:p>
    <w:p>
      <w:pPr>
        <w:sectPr>
          <w:pgSz w:w="11900" w:h="16838" w:orient="portrait"/>
          <w:cols w:equalWidth="0" w:num="1">
            <w:col w:w="10219"/>
          </w:cols>
          <w:pgMar w:left="240" w:top="598" w:right="1440" w:bottom="2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35114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598" w:right="1440" w:bottom="226" w:gutter="0" w:footer="0" w:header="0"/>
          <w:type w:val="continuous"/>
        </w:sectPr>
      </w:pPr>
    </w:p>
    <w:bookmarkStart w:id="17" w:name="page18"/>
    <w:bookmarkEnd w:id="17"/>
    <w:p>
      <w:pPr>
        <w:ind w:left="660" w:right="1799" w:hanging="652"/>
        <w:spacing w:after="0" w:line="246" w:lineRule="auto"/>
        <w:tabs>
          <w:tab w:leader="none" w:pos="633"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amounts in the “All Other Compensation” column reflect the value of our 401(k) and Employee Stock Purchase Plan, or ESPP, matching contributions, paid time off, sign-on bonus, severance payments and honorarium under a patenting process program as follows. Ms. Hakimoglu received the following: 401(k) matching contribution of $6,009 during 2009; and ESPP matching contribution of $2,381 during 2009. Mr. Bathurst received the following: honorarium under a patenting process program of $2,425 in 2010; 401(k) matching contribution of $3,867 during 2009. Mr. Braithwaite received $9,275 under a patenting process program in 2010.</w:t>
      </w:r>
    </w:p>
    <w:p>
      <w:pPr>
        <w:spacing w:after="0" w:line="59" w:lineRule="exact"/>
        <w:rPr>
          <w:rFonts w:ascii="Arial" w:cs="Arial" w:eastAsia="Arial" w:hAnsi="Arial"/>
          <w:sz w:val="21"/>
          <w:szCs w:val="21"/>
          <w:color w:val="auto"/>
        </w:rPr>
      </w:pPr>
    </w:p>
    <w:p>
      <w:pPr>
        <w:ind w:left="620" w:hanging="612"/>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Mr. Narayanan joined our company as our Vice President of Finance during July 2009.</w:t>
      </w:r>
    </w:p>
    <w:p>
      <w:pPr>
        <w:spacing w:after="0" w:line="119" w:lineRule="exact"/>
        <w:rPr>
          <w:rFonts w:ascii="Arial" w:cs="Arial" w:eastAsia="Arial" w:hAnsi="Arial"/>
          <w:sz w:val="19"/>
          <w:szCs w:val="19"/>
          <w:color w:val="auto"/>
        </w:rPr>
      </w:pPr>
    </w:p>
    <w:p>
      <w:pPr>
        <w:ind w:left="620" w:hanging="612"/>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Mr. Braithwaite joined our company during November 2009.</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85" w:lineRule="exact"/>
        <w:rPr>
          <w:sz w:val="20"/>
          <w:szCs w:val="20"/>
          <w:color w:val="auto"/>
        </w:rPr>
      </w:pPr>
    </w:p>
    <w:p>
      <w:pPr>
        <w:ind w:right="1939" w:firstLine="648"/>
        <w:spacing w:after="0" w:line="238" w:lineRule="auto"/>
        <w:rPr>
          <w:sz w:val="20"/>
          <w:szCs w:val="20"/>
          <w:color w:val="auto"/>
        </w:rPr>
      </w:pPr>
      <w:r>
        <w:rPr>
          <w:rFonts w:ascii="Arial" w:cs="Arial" w:eastAsia="Arial" w:hAnsi="Arial"/>
          <w:sz w:val="22"/>
          <w:szCs w:val="22"/>
          <w:color w:val="auto"/>
        </w:rPr>
        <w:t>The following table provides information on the holdings of stock options by the named executive officers as of December 31, 2010. None of the officers listed exercised any stock options during the year ended December 31, 2010 or the transition period ended December 31, 2009.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 Grant</w:t>
            </w: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Zee Hakimoglu</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03/24/2004</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03/24/2014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07/26/2004</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07/26/2014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09/18/2006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09/18/2016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08/14/2007</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08/14/2017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34,722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11/14/2008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11/14/2018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05/26/2010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Tracy A. Bathurst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6.50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04/12/2004</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04/12/2014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01/27/2005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01/27/2015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09/18/2006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09/18/2016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08/14/2007</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08/14/2017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17,361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7,639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11/14/2008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11/14/2018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05/26/2010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Narsi Narayanan</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13,333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16,667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08/27/2009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08/27/2019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05/26/2010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Michael Braithwaite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10,833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19,167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2.65</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11/30/2009</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11/30/2019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05/26/2010</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05/26/2020</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(1) Unvested options vest monthly over a three year period beginning on the date of grant.</w:t>
      </w:r>
    </w:p>
    <w:p>
      <w:pPr>
        <w:spacing w:after="0" w:line="96" w:lineRule="exact"/>
        <w:rPr>
          <w:sz w:val="20"/>
          <w:szCs w:val="20"/>
          <w:color w:val="auto"/>
        </w:rPr>
      </w:pPr>
    </w:p>
    <w:p>
      <w:pPr>
        <w:ind w:right="2359"/>
        <w:spacing w:after="0" w:line="328" w:lineRule="auto"/>
        <w:rPr>
          <w:sz w:val="20"/>
          <w:szCs w:val="20"/>
          <w:color w:val="auto"/>
        </w:rPr>
      </w:pPr>
      <w:r>
        <w:rPr>
          <w:rFonts w:ascii="Arial" w:cs="Arial" w:eastAsia="Arial" w:hAnsi="Arial"/>
          <w:sz w:val="19"/>
          <w:szCs w:val="19"/>
          <w:color w:val="auto"/>
        </w:rPr>
        <w:t>The following table sets forth information as of December 31, 2010 with respect to compensation plans under which equity securities of ClearOne are authorized for issuance.</w:t>
      </w:r>
    </w:p>
    <w:p>
      <w:pPr>
        <w:sectPr>
          <w:pgSz w:w="11900" w:h="16838" w:orient="portrait"/>
          <w:cols w:equalWidth="0" w:num="1">
            <w:col w:w="10219"/>
          </w:cols>
          <w:pgMar w:left="240" w:top="6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right="260" w:hanging="323"/>
        <w:spacing w:after="0" w:line="266" w:lineRule="auto"/>
        <w:rPr>
          <w:sz w:val="20"/>
          <w:szCs w:val="20"/>
          <w:color w:val="auto"/>
        </w:rPr>
      </w:pPr>
      <w:r>
        <w:rPr>
          <w:rFonts w:ascii="Arial" w:cs="Arial" w:eastAsia="Arial" w:hAnsi="Arial"/>
          <w:sz w:val="16"/>
          <w:szCs w:val="16"/>
          <w:color w:val="auto"/>
        </w:rPr>
        <w:t>Equity compensation plans approved by shareholders</w:t>
      </w:r>
    </w:p>
    <w:p>
      <w:pPr>
        <w:spacing w:after="0" w:line="1" w:lineRule="exact"/>
        <w:rPr>
          <w:sz w:val="20"/>
          <w:szCs w:val="20"/>
          <w:color w:val="auto"/>
        </w:rPr>
      </w:pPr>
    </w:p>
    <w:p>
      <w:pPr>
        <w:ind w:left="340" w:hanging="323"/>
        <w:spacing w:after="0" w:line="288" w:lineRule="auto"/>
        <w:rPr>
          <w:sz w:val="20"/>
          <w:szCs w:val="20"/>
          <w:color w:val="auto"/>
        </w:rPr>
      </w:pPr>
      <w:r>
        <w:rPr>
          <w:rFonts w:ascii="Arial" w:cs="Arial" w:eastAsia="Arial" w:hAnsi="Arial"/>
          <w:sz w:val="16"/>
          <w:szCs w:val="16"/>
          <w:color w:val="auto"/>
        </w:rPr>
        <w:t>Equity compensation plans not approved by shareholders</w:t>
      </w:r>
    </w:p>
    <w:p>
      <w:pPr>
        <w:ind w:left="3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Arial" w:cs="Arial" w:eastAsia="Arial" w:hAnsi="Arial"/>
                <w:sz w:val="14"/>
                <w:szCs w:val="14"/>
                <w:color w:val="auto"/>
                <w:w w:val="94"/>
              </w:rPr>
              <w:t>Number of securities to</w:t>
            </w:r>
          </w:p>
        </w:tc>
        <w:tc>
          <w:tcPr>
            <w:tcW w:w="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Weighted-average</w:t>
            </w:r>
          </w:p>
        </w:tc>
        <w:tc>
          <w:tcPr>
            <w:tcW w:w="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Number of securities remaining</w:t>
            </w:r>
          </w:p>
        </w:tc>
      </w:tr>
      <w:tr>
        <w:trPr>
          <w:trHeight w:val="149"/>
        </w:trPr>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0"/>
              </w:rPr>
              <w:t>be issued upon exercise</w:t>
            </w:r>
          </w:p>
        </w:tc>
        <w:tc>
          <w:tcPr>
            <w:tcW w:w="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exercise price of</w:t>
            </w:r>
          </w:p>
        </w:tc>
        <w:tc>
          <w:tcPr>
            <w:tcW w:w="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3"/>
              </w:rPr>
              <w:t>available for future issuance under</w:t>
            </w:r>
          </w:p>
        </w:tc>
      </w:tr>
      <w:tr>
        <w:trPr>
          <w:trHeight w:val="149"/>
        </w:trPr>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of outstanding options,</w:t>
            </w:r>
          </w:p>
        </w:tc>
        <w:tc>
          <w:tcPr>
            <w:tcW w:w="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 options,</w:t>
            </w:r>
          </w:p>
        </w:tc>
        <w:tc>
          <w:tcPr>
            <w:tcW w:w="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4"/>
              </w:rPr>
              <w:t>equity compensation plans (excluding</w:t>
            </w:r>
          </w:p>
        </w:tc>
      </w:tr>
      <w:tr>
        <w:trPr>
          <w:trHeight w:val="149"/>
        </w:trPr>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warrants and rights</w:t>
            </w:r>
          </w:p>
        </w:tc>
        <w:tc>
          <w:tcPr>
            <w:tcW w:w="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warrants and rights</w:t>
            </w:r>
          </w:p>
        </w:tc>
        <w:tc>
          <w:tcPr>
            <w:tcW w:w="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5"/>
              </w:rPr>
              <w:t>securities reflected in column (a))</w:t>
            </w:r>
          </w:p>
        </w:tc>
      </w:tr>
      <w:tr>
        <w:trPr>
          <w:trHeight w:val="174"/>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color w:val="auto"/>
              </w:rPr>
              <w:t>(b)</w:t>
            </w:r>
          </w:p>
        </w:tc>
        <w:tc>
          <w:tcPr>
            <w:tcW w:w="8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r>
      <w:tr>
        <w:trPr>
          <w:trHeight w:val="399"/>
        </w:trPr>
        <w:tc>
          <w:tcPr>
            <w:tcW w:w="1540" w:type="dxa"/>
            <w:vAlign w:val="bottom"/>
          </w:tcPr>
          <w:p>
            <w:pPr>
              <w:jc w:val="center"/>
              <w:spacing w:after="0"/>
              <w:rPr>
                <w:sz w:val="20"/>
                <w:szCs w:val="20"/>
                <w:color w:val="auto"/>
              </w:rPr>
            </w:pPr>
            <w:r>
              <w:rPr>
                <w:rFonts w:ascii="Arial" w:cs="Arial" w:eastAsia="Arial" w:hAnsi="Arial"/>
                <w:sz w:val="16"/>
                <w:szCs w:val="16"/>
                <w:color w:val="auto"/>
                <w:w w:val="89"/>
              </w:rPr>
              <w:t>1,218,826</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41"/>
              <w:spacing w:after="0"/>
              <w:rPr>
                <w:sz w:val="20"/>
                <w:szCs w:val="20"/>
                <w:color w:val="auto"/>
              </w:rPr>
            </w:pPr>
            <w:r>
              <w:rPr>
                <w:rFonts w:ascii="Arial" w:cs="Arial" w:eastAsia="Arial" w:hAnsi="Arial"/>
                <w:sz w:val="16"/>
                <w:szCs w:val="16"/>
                <w:color w:val="auto"/>
              </w:rPr>
              <w:t>4.35</w:t>
            </w:r>
          </w:p>
        </w:tc>
        <w:tc>
          <w:tcPr>
            <w:tcW w:w="2360" w:type="dxa"/>
            <w:vAlign w:val="bottom"/>
            <w:gridSpan w:val="2"/>
          </w:tcPr>
          <w:p>
            <w:pPr>
              <w:jc w:val="center"/>
              <w:spacing w:after="0"/>
              <w:rPr>
                <w:sz w:val="20"/>
                <w:szCs w:val="20"/>
                <w:color w:val="auto"/>
              </w:rPr>
            </w:pPr>
            <w:r>
              <w:rPr>
                <w:rFonts w:ascii="Arial" w:cs="Arial" w:eastAsia="Arial" w:hAnsi="Arial"/>
                <w:sz w:val="16"/>
                <w:szCs w:val="16"/>
                <w:color w:val="auto"/>
                <w:w w:val="89"/>
              </w:rPr>
              <w:t>616,250</w:t>
            </w:r>
          </w:p>
        </w:tc>
      </w:tr>
      <w:tr>
        <w:trPr>
          <w:trHeight w:val="391"/>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1,218,826</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616,250</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-668020</wp:posOffset>
            </wp:positionV>
            <wp:extent cx="529971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99710" cy="25717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-153670</wp:posOffset>
            </wp:positionV>
            <wp:extent cx="529971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9971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220"/>
            <w:col w:w="7139"/>
          </w:cols>
          <w:pgMar w:left="240" w:top="6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35114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604"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85" w:lineRule="exact"/>
        <w:rPr>
          <w:sz w:val="20"/>
          <w:szCs w:val="20"/>
          <w:color w:val="auto"/>
        </w:rPr>
      </w:pPr>
    </w:p>
    <w:p>
      <w:pPr>
        <w:ind w:right="1799" w:firstLine="648"/>
        <w:spacing w:after="0" w:line="252" w:lineRule="auto"/>
        <w:rPr>
          <w:sz w:val="20"/>
          <w:szCs w:val="20"/>
          <w:color w:val="auto"/>
        </w:rPr>
      </w:pPr>
      <w:r>
        <w:rPr>
          <w:rFonts w:ascii="Arial" w:cs="Arial" w:eastAsia="Arial" w:hAnsi="Arial"/>
          <w:sz w:val="21"/>
          <w:szCs w:val="21"/>
          <w:i w:val="1"/>
          <w:iCs w:val="1"/>
          <w:color w:val="auto"/>
        </w:rPr>
        <w:t xml:space="preserve">Employment Agreements. </w:t>
      </w:r>
      <w:r>
        <w:rPr>
          <w:rFonts w:ascii="Arial" w:cs="Arial" w:eastAsia="Arial" w:hAnsi="Arial"/>
          <w:sz w:val="21"/>
          <w:szCs w:val="21"/>
          <w:color w:val="auto"/>
        </w:rPr>
        <w:t>As of the year ended December 31, 2010, none of our named</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were party to an employment or severance agreement with us, and each named executive officer’s employment was on an “at-will” basis, permitting either us or the executive to terminate his or her employment for any reason or for no reason.</w:t>
      </w:r>
    </w:p>
    <w:p>
      <w:pPr>
        <w:spacing w:after="0" w:line="53" w:lineRule="exact"/>
        <w:rPr>
          <w:sz w:val="20"/>
          <w:szCs w:val="20"/>
          <w:color w:val="auto"/>
        </w:rPr>
      </w:pPr>
    </w:p>
    <w:p>
      <w:pPr>
        <w:ind w:right="1799" w:firstLine="648"/>
        <w:spacing w:after="0" w:line="238" w:lineRule="auto"/>
        <w:rPr>
          <w:sz w:val="20"/>
          <w:szCs w:val="20"/>
          <w:color w:val="auto"/>
        </w:rPr>
      </w:pPr>
      <w:r>
        <w:rPr>
          <w:rFonts w:ascii="Arial" w:cs="Arial" w:eastAsia="Arial" w:hAnsi="Arial"/>
          <w:sz w:val="22"/>
          <w:szCs w:val="22"/>
          <w:i w:val="1"/>
          <w:iCs w:val="1"/>
          <w:color w:val="auto"/>
        </w:rPr>
        <w:t>Accelerated Stock Option Vesting Upon a Change in Control</w:t>
      </w:r>
      <w:r>
        <w:rPr>
          <w:rFonts w:ascii="Arial" w:cs="Arial" w:eastAsia="Arial" w:hAnsi="Arial"/>
          <w:sz w:val="22"/>
          <w:szCs w:val="22"/>
          <w:color w:val="auto"/>
        </w:rPr>
        <w:t>. For certain option grants to</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officers and directors, in the event of a change in control, all of such optionee’s unvested stock options will vest and become exercisable immediately prior to the event or closing of the transaction causing the change in control.</w:t>
      </w:r>
    </w:p>
    <w:p>
      <w:pPr>
        <w:spacing w:after="0" w:line="63" w:lineRule="exact"/>
        <w:rPr>
          <w:sz w:val="20"/>
          <w:szCs w:val="20"/>
          <w:color w:val="auto"/>
        </w:rPr>
      </w:pPr>
    </w:p>
    <w:p>
      <w:pPr>
        <w:ind w:right="1899" w:firstLine="648"/>
        <w:spacing w:after="0" w:line="251" w:lineRule="auto"/>
        <w:rPr>
          <w:sz w:val="20"/>
          <w:szCs w:val="20"/>
          <w:color w:val="auto"/>
        </w:rPr>
      </w:pPr>
      <w:r>
        <w:rPr>
          <w:rFonts w:ascii="Arial" w:cs="Arial" w:eastAsia="Arial" w:hAnsi="Arial"/>
          <w:sz w:val="22"/>
          <w:szCs w:val="22"/>
          <w:color w:val="auto"/>
        </w:rPr>
        <w:t>Under the option grants, a “</w:t>
      </w:r>
      <w:r>
        <w:rPr>
          <w:rFonts w:ascii="Arial" w:cs="Arial" w:eastAsia="Arial" w:hAnsi="Arial"/>
          <w:sz w:val="22"/>
          <w:szCs w:val="22"/>
          <w:i w:val="1"/>
          <w:iCs w:val="1"/>
          <w:color w:val="auto"/>
        </w:rPr>
        <w:t>Change in Control</w:t>
      </w:r>
      <w:r>
        <w:rPr>
          <w:rFonts w:ascii="Arial" w:cs="Arial" w:eastAsia="Arial" w:hAnsi="Arial"/>
          <w:sz w:val="22"/>
          <w:szCs w:val="22"/>
          <w:color w:val="auto"/>
        </w:rPr>
        <w:t>” means a change in ownership or control of the Corporation effected through either of the following transactions:</w:t>
      </w:r>
    </w:p>
    <w:p>
      <w:pPr>
        <w:spacing w:after="0" w:line="52" w:lineRule="exact"/>
        <w:rPr>
          <w:sz w:val="20"/>
          <w:szCs w:val="20"/>
          <w:color w:val="auto"/>
        </w:rPr>
      </w:pPr>
    </w:p>
    <w:p>
      <w:pPr>
        <w:ind w:right="1899" w:firstLine="656"/>
        <w:spacing w:after="0" w:line="247" w:lineRule="auto"/>
        <w:tabs>
          <w:tab w:leader="none" w:pos="906"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shareholders, which the Board does not recommend such shareholders to accept, or</w:t>
      </w:r>
    </w:p>
    <w:p>
      <w:pPr>
        <w:spacing w:after="0" w:line="56" w:lineRule="exact"/>
        <w:rPr>
          <w:rFonts w:ascii="Arial" w:cs="Arial" w:eastAsia="Arial" w:hAnsi="Arial"/>
          <w:sz w:val="21"/>
          <w:szCs w:val="21"/>
          <w:color w:val="auto"/>
        </w:rPr>
      </w:pPr>
    </w:p>
    <w:p>
      <w:pPr>
        <w:ind w:right="1919" w:firstLine="656"/>
        <w:spacing w:after="0" w:line="247" w:lineRule="auto"/>
        <w:tabs>
          <w:tab w:leader="none" w:pos="966" w:val="left"/>
        </w:tabs>
        <w:numPr>
          <w:ilvl w:val="0"/>
          <w:numId w:val="9"/>
        </w:numPr>
        <w:rPr>
          <w:rFonts w:ascii="Arial" w:cs="Arial" w:eastAsia="Arial" w:hAnsi="Arial"/>
          <w:sz w:val="21"/>
          <w:szCs w:val="21"/>
          <w:color w:val="auto"/>
        </w:rPr>
      </w:pPr>
      <w:r>
        <w:rPr>
          <w:rFonts w:ascii="Arial" w:cs="Arial" w:eastAsia="Arial" w:hAnsi="Arial"/>
          <w:sz w:val="21"/>
          <w:szCs w:val="21"/>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57" w:lineRule="exact"/>
        <w:rPr>
          <w:sz w:val="20"/>
          <w:szCs w:val="20"/>
          <w:color w:val="auto"/>
        </w:rPr>
      </w:pPr>
    </w:p>
    <w:p>
      <w:pPr>
        <w:ind w:right="1859" w:firstLine="648"/>
        <w:spacing w:after="0" w:line="248" w:lineRule="auto"/>
        <w:rPr>
          <w:sz w:val="20"/>
          <w:szCs w:val="20"/>
          <w:color w:val="auto"/>
        </w:rPr>
      </w:pPr>
      <w:r>
        <w:rPr>
          <w:rFonts w:ascii="Arial" w:cs="Arial" w:eastAsia="Arial" w:hAnsi="Arial"/>
          <w:sz w:val="21"/>
          <w:szCs w:val="21"/>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56" w:lineRule="exact"/>
        <w:rPr>
          <w:sz w:val="20"/>
          <w:szCs w:val="20"/>
          <w:color w:val="auto"/>
        </w:rPr>
      </w:pPr>
    </w:p>
    <w:p>
      <w:pPr>
        <w:ind w:right="2119" w:firstLine="648"/>
        <w:spacing w:after="0" w:line="274" w:lineRule="auto"/>
        <w:rPr>
          <w:sz w:val="20"/>
          <w:szCs w:val="20"/>
          <w:color w:val="auto"/>
        </w:rPr>
      </w:pPr>
      <w:r>
        <w:rPr>
          <w:rFonts w:ascii="Arial" w:cs="Arial" w:eastAsia="Arial" w:hAnsi="Arial"/>
          <w:sz w:val="21"/>
          <w:szCs w:val="21"/>
          <w:color w:val="auto"/>
        </w:rPr>
        <w:t>At our current stock price of about $7.00, all the named executive officers would each benefit from any potential accelerated vesting of unvested stock options.</w:t>
      </w:r>
    </w:p>
    <w:p>
      <w:pPr>
        <w:spacing w:after="0" w:line="118"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DIRECTOR COMPENSATION</w:t>
      </w:r>
    </w:p>
    <w:p>
      <w:pPr>
        <w:spacing w:after="0" w:line="185" w:lineRule="exact"/>
        <w:rPr>
          <w:sz w:val="20"/>
          <w:szCs w:val="20"/>
          <w:color w:val="auto"/>
        </w:rPr>
      </w:pPr>
    </w:p>
    <w:p>
      <w:pPr>
        <w:jc w:val="both"/>
        <w:ind w:right="1859" w:firstLine="648"/>
        <w:spacing w:after="0"/>
        <w:rPr>
          <w:sz w:val="20"/>
          <w:szCs w:val="20"/>
          <w:color w:val="auto"/>
        </w:rPr>
      </w:pPr>
      <w:r>
        <w:rPr>
          <w:rFonts w:ascii="Arial" w:cs="Arial" w:eastAsia="Arial" w:hAnsi="Arial"/>
          <w:sz w:val="22"/>
          <w:szCs w:val="22"/>
          <w:color w:val="auto"/>
        </w:rPr>
        <w:t>The following table summarizes the compensation paid by us to non-employee directors for the year ended December 31, 2010. Ms. Hakimoglu did not receive additional compensation for her service as a director.</w:t>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Fees Earned or Paid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Option Awards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 Cash (1)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 ( 4)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Larry R. Hendricks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Scott M. Huntsman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 Bryan Bagley (3)(4)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base annual director’s fee for the year ended December 31, 2010 was $24,000.</w:t>
      </w:r>
    </w:p>
    <w:p>
      <w:pPr>
        <w:spacing w:after="0" w:line="55" w:lineRule="exact"/>
        <w:rPr>
          <w:rFonts w:ascii="Arial" w:cs="Arial" w:eastAsia="Arial" w:hAnsi="Arial"/>
          <w:sz w:val="21"/>
          <w:szCs w:val="21"/>
          <w:color w:val="auto"/>
        </w:rPr>
      </w:pPr>
    </w:p>
    <w:p>
      <w:pPr>
        <w:ind w:left="660" w:right="1839" w:hanging="652"/>
        <w:spacing w:after="0" w:line="247" w:lineRule="auto"/>
        <w:tabs>
          <w:tab w:leader="none" w:pos="633"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The assumptions made in the valuation of 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 awards are disclosed in </w:t>
      </w:r>
      <w:r>
        <w:rPr>
          <w:rFonts w:ascii="Arial" w:cs="Arial" w:eastAsia="Arial" w:hAnsi="Arial"/>
          <w:sz w:val="21"/>
          <w:szCs w:val="21"/>
          <w:u w:val="single" w:color="auto"/>
          <w:color w:val="auto"/>
        </w:rPr>
        <w:t>Note 11 - Share Based Payments</w:t>
      </w:r>
      <w:r>
        <w:rPr>
          <w:rFonts w:ascii="Arial" w:cs="Arial" w:eastAsia="Arial" w:hAnsi="Arial"/>
          <w:sz w:val="21"/>
          <w:szCs w:val="21"/>
          <w:color w:val="auto"/>
        </w:rPr>
        <w:t xml:space="preserve"> in our Notes to Consolidated Financial Statements contained in our annual report on Form 10-K for the year ended December 31, 2010.</w:t>
      </w:r>
    </w:p>
    <w:p>
      <w:pPr>
        <w:spacing w:after="0" w:line="43" w:lineRule="exact"/>
        <w:rPr>
          <w:rFonts w:ascii="Arial" w:cs="Arial" w:eastAsia="Arial" w:hAnsi="Arial"/>
          <w:sz w:val="21"/>
          <w:szCs w:val="21"/>
          <w:color w:val="auto"/>
        </w:rPr>
      </w:pPr>
    </w:p>
    <w:p>
      <w:pPr>
        <w:ind w:left="620" w:hanging="612"/>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 Bryan Bagley became a director in November 2009.</w:t>
      </w:r>
    </w:p>
    <w:p>
      <w:pPr>
        <w:spacing w:after="0" w:line="71" w:lineRule="exact"/>
        <w:rPr>
          <w:rFonts w:ascii="Arial" w:cs="Arial" w:eastAsia="Arial" w:hAnsi="Arial"/>
          <w:sz w:val="22"/>
          <w:szCs w:val="22"/>
          <w:color w:val="auto"/>
        </w:rPr>
      </w:pPr>
    </w:p>
    <w:p>
      <w:pPr>
        <w:ind w:left="660" w:right="1799" w:hanging="652"/>
        <w:spacing w:after="0" w:line="297" w:lineRule="auto"/>
        <w:tabs>
          <w:tab w:leader="none" w:pos="633" w:val="left"/>
        </w:tabs>
        <w:numPr>
          <w:ilvl w:val="0"/>
          <w:numId w:val="10"/>
        </w:numPr>
        <w:rPr>
          <w:rFonts w:ascii="Arial" w:cs="Arial" w:eastAsia="Arial" w:hAnsi="Arial"/>
          <w:sz w:val="19"/>
          <w:szCs w:val="19"/>
          <w:color w:val="auto"/>
        </w:rPr>
      </w:pPr>
      <w:r>
        <w:rPr>
          <w:rFonts w:ascii="Arial" w:cs="Arial" w:eastAsia="Arial" w:hAnsi="Arial"/>
          <w:sz w:val="19"/>
          <w:szCs w:val="19"/>
          <w:color w:val="auto"/>
        </w:rPr>
        <w:t>As of the end of December 31, 2010, each non-employee director had outstanding options to purchase the following number of company shares of common stock: Mr. Baldwin, 135,000; Mr. Hendricks, 85,000; Mr. Huntsman, 85,000; and Mr. Bagley, 25,000.</w:t>
      </w:r>
    </w:p>
    <w:p>
      <w:pPr>
        <w:sectPr>
          <w:pgSz w:w="11900" w:h="16838" w:orient="portrait"/>
          <w:cols w:equalWidth="0" w:num="1">
            <w:col w:w="10219"/>
          </w:cols>
          <w:pgMar w:left="240" w:top="78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0219"/>
          </w:cols>
          <w:pgMar w:left="240" w:top="787" w:right="1440" w:bottom="0" w:gutter="0" w:footer="0" w:header="0"/>
          <w:type w:val="continuous"/>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ind w:right="2039"/>
        <w:spacing w:after="0" w:line="247" w:lineRule="auto"/>
        <w:rPr>
          <w:sz w:val="20"/>
          <w:szCs w:val="20"/>
          <w:color w:val="auto"/>
        </w:rPr>
      </w:pPr>
      <w:r>
        <w:rPr>
          <w:rFonts w:ascii="Arial" w:cs="Arial" w:eastAsia="Arial" w:hAnsi="Arial"/>
          <w:sz w:val="21"/>
          <w:szCs w:val="21"/>
          <w:color w:val="auto"/>
        </w:rPr>
        <w:t>All non-employee directors are paid a fixed fee at the rate of $2,000 per month and receive the same option grants. In May 2010, each non-employee director received a grant of options to purchase 10,000 shares of our common stock at an exercise price of $3.00.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185" w:lineRule="exact"/>
        <w:rPr>
          <w:sz w:val="20"/>
          <w:szCs w:val="20"/>
          <w:color w:val="auto"/>
        </w:rPr>
      </w:pPr>
    </w:p>
    <w:p>
      <w:pPr>
        <w:ind w:right="1779" w:firstLine="648"/>
        <w:spacing w:after="0" w:line="272" w:lineRule="auto"/>
        <w:rPr>
          <w:sz w:val="20"/>
          <w:szCs w:val="20"/>
          <w:color w:val="auto"/>
        </w:rPr>
      </w:pPr>
      <w:r>
        <w:rPr>
          <w:rFonts w:ascii="Arial" w:cs="Arial" w:eastAsia="Arial" w:hAnsi="Arial"/>
          <w:sz w:val="19"/>
          <w:szCs w:val="19"/>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Indemnification of Officers and Directors</w:t>
      </w:r>
    </w:p>
    <w:p>
      <w:pPr>
        <w:spacing w:after="0" w:line="172" w:lineRule="exact"/>
        <w:rPr>
          <w:sz w:val="20"/>
          <w:szCs w:val="20"/>
          <w:color w:val="auto"/>
        </w:rPr>
      </w:pPr>
    </w:p>
    <w:p>
      <w:pPr>
        <w:ind w:right="1799"/>
        <w:spacing w:after="0" w:line="245" w:lineRule="auto"/>
        <w:rPr>
          <w:sz w:val="20"/>
          <w:szCs w:val="20"/>
          <w:color w:val="auto"/>
        </w:rPr>
      </w:pPr>
      <w:r>
        <w:rPr>
          <w:rFonts w:ascii="Arial" w:cs="Arial" w:eastAsia="Arial" w:hAnsi="Arial"/>
          <w:sz w:val="21"/>
          <w:szCs w:val="21"/>
          <w:color w:val="auto"/>
        </w:rPr>
        <w:t>On July 25, 2007 and January 31,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$3.4 million in attorneys’ fees and costs to defend against the charges.</w:t>
      </w:r>
    </w:p>
    <w:p>
      <w:pPr>
        <w:spacing w:after="0" w:line="145" w:lineRule="exact"/>
        <w:rPr>
          <w:sz w:val="20"/>
          <w:szCs w:val="20"/>
          <w:color w:val="auto"/>
        </w:rPr>
      </w:pPr>
    </w:p>
    <w:p>
      <w:pPr>
        <w:ind w:right="1939"/>
        <w:spacing w:after="0" w:line="247" w:lineRule="auto"/>
        <w:rPr>
          <w:sz w:val="20"/>
          <w:szCs w:val="20"/>
          <w:color w:val="auto"/>
        </w:rPr>
      </w:pPr>
      <w:r>
        <w:rPr>
          <w:rFonts w:ascii="Arial" w:cs="Arial" w:eastAsia="Arial" w:hAnsi="Arial"/>
          <w:sz w:val="21"/>
          <w:szCs w:val="21"/>
          <w:color w:val="auto"/>
        </w:rPr>
        <w:t>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138" w:lineRule="exact"/>
        <w:rPr>
          <w:sz w:val="20"/>
          <w:szCs w:val="20"/>
          <w:color w:val="auto"/>
        </w:rPr>
      </w:pPr>
    </w:p>
    <w:p>
      <w:pPr>
        <w:ind w:right="1919"/>
        <w:spacing w:after="0" w:line="236" w:lineRule="auto"/>
        <w:rPr>
          <w:sz w:val="20"/>
          <w:szCs w:val="20"/>
          <w:color w:val="auto"/>
        </w:rPr>
      </w:pPr>
      <w:r>
        <w:rPr>
          <w:rFonts w:ascii="Arial" w:cs="Arial" w:eastAsia="Arial" w:hAnsi="Arial"/>
          <w:sz w:val="22"/>
          <w:szCs w:val="22"/>
          <w:color w:val="auto"/>
        </w:rPr>
        <w:t>On June 2, 2010, Flood was sentenced to 4 years in prison plus 3 years of probation and Strohm was sentenced to 2 years probation plus 150 hours of community service. Flood began serving her prison sentence on November 3, 2010. Both Flood and Strohm have appealed their convictions to the Tenth Circuit in Denver and oral arguments on their respective appeals took place on March 11, 2011.</w:t>
      </w:r>
    </w:p>
    <w:p>
      <w:pPr>
        <w:spacing w:after="0" w:line="147" w:lineRule="exact"/>
        <w:rPr>
          <w:sz w:val="20"/>
          <w:szCs w:val="20"/>
          <w:color w:val="auto"/>
        </w:rPr>
      </w:pPr>
    </w:p>
    <w:p>
      <w:pPr>
        <w:ind w:right="1919" w:firstLine="54"/>
        <w:spacing w:after="0" w:line="235" w:lineRule="auto"/>
        <w:rPr>
          <w:sz w:val="20"/>
          <w:szCs w:val="20"/>
          <w:color w:val="auto"/>
        </w:rPr>
      </w:pPr>
      <w:r>
        <w:rPr>
          <w:rFonts w:ascii="Arial" w:cs="Arial" w:eastAsia="Arial" w:hAnsi="Arial"/>
          <w:sz w:val="22"/>
          <w:szCs w:val="22"/>
          <w:b w:val="1"/>
          <w:bCs w:val="1"/>
          <w:i w:val="1"/>
          <w:iCs w:val="1"/>
          <w:u w:val="single" w:color="auto"/>
          <w:color w:val="auto"/>
        </w:rPr>
        <w:t>Flood: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August 21, 2008, Flood filed a lawsuit in Federal District Court for the District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Utah, seeking to compel us to pay her attorneys’ fees and costs to defend against the criminal charges. On January 12, 2009, the District Court issued a preliminary injunction requiring us to pay Flood’s criminal legal fees and costs through trial. Pursuant to the Court’s order, we paid approximately $373,000 to Flood’s attorneys and approximately $248,000 into the Court’s escrow.</w:t>
      </w:r>
    </w:p>
    <w:p>
      <w:pPr>
        <w:spacing w:after="0" w:line="148" w:lineRule="exact"/>
        <w:rPr>
          <w:sz w:val="20"/>
          <w:szCs w:val="20"/>
          <w:color w:val="auto"/>
        </w:rPr>
      </w:pPr>
    </w:p>
    <w:p>
      <w:pPr>
        <w:ind w:right="1939"/>
        <w:spacing w:after="0" w:line="247" w:lineRule="auto"/>
        <w:rPr>
          <w:sz w:val="20"/>
          <w:szCs w:val="20"/>
          <w:color w:val="auto"/>
        </w:rPr>
      </w:pPr>
      <w:r>
        <w:rPr>
          <w:rFonts w:ascii="Arial" w:cs="Arial" w:eastAsia="Arial" w:hAnsi="Arial"/>
          <w:sz w:val="21"/>
          <w:szCs w:val="21"/>
          <w:color w:val="auto"/>
        </w:rPr>
        <w:t>On August 30, 2010, the Tenth Circuit Court of Appeals issued a ruling vacating the District Court’s preliminary injunction on the grounds that ClearOne’s promise to advance criminal defense expenses was conditioned upon compliance with ClearOne’s bylaws and ClearOne had the power to cease advancement based on certain conditions, as long as ClearOne acted in good faith. After the case was remanded to the District Court, we filed a motion seeking the return to ClearOne of all the monies paid pursuant to the Order, and the motion is scheduled to be heard on May 18, 2011.</w:t>
      </w:r>
    </w:p>
    <w:p>
      <w:pPr>
        <w:spacing w:after="0" w:line="138"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Also pending in the District Court is our counterclaim for $3.3 million seeking to enforce Flood’s August 2003 promise to repay all advanced expenses if it was ultimately adjudged that she did not meet the requisite standard of conduct.</w:t>
      </w:r>
    </w:p>
    <w:p>
      <w:pPr>
        <w:sectPr>
          <w:pgSz w:w="11900" w:h="16838" w:orient="portrait"/>
          <w:cols w:equalWidth="0" w:num="1">
            <w:col w:w="10219"/>
          </w:cols>
          <w:pgMar w:left="240" w:top="604" w:right="1440" w:bottom="0" w:gutter="0" w:footer="0" w:header="0"/>
        </w:sectPr>
      </w:pPr>
    </w:p>
    <w:bookmarkStart w:id="21" w:name="page22"/>
    <w:bookmarkEnd w:id="21"/>
    <w:p>
      <w:pPr>
        <w:ind w:left="3000"/>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273050</wp:posOffset>
            </wp:positionV>
            <wp:extent cx="535114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22" w:name="page23"/>
    <w:bookmarkEnd w:id="22"/>
    <w:p>
      <w:pPr>
        <w:jc w:val="both"/>
        <w:ind w:right="2039"/>
        <w:spacing w:after="0" w:line="258" w:lineRule="auto"/>
        <w:rPr>
          <w:sz w:val="20"/>
          <w:szCs w:val="20"/>
          <w:color w:val="auto"/>
        </w:rPr>
      </w:pPr>
      <w:r>
        <w:rPr>
          <w:rFonts w:ascii="Arial" w:cs="Arial" w:eastAsia="Arial" w:hAnsi="Arial"/>
          <w:sz w:val="21"/>
          <w:szCs w:val="21"/>
          <w:b w:val="1"/>
          <w:bCs w:val="1"/>
          <w:i w:val="1"/>
          <w:iCs w:val="1"/>
          <w:u w:val="single" w:color="auto"/>
          <w:color w:val="auto"/>
        </w:rPr>
        <w:t>Strohm: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On August 21, 2008, Strohm and her counsel (“Dorsey”) filed a lawsuit in the Third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Judicial District Court in Salt Lake City, Utah seeking to compel us to pay Strohm’s attorneys’ fees and costs to defend against the criminal charges, plus interest.</w:t>
      </w:r>
    </w:p>
    <w:p>
      <w:pPr>
        <w:spacing w:after="0" w:line="32" w:lineRule="exact"/>
        <w:rPr>
          <w:sz w:val="20"/>
          <w:szCs w:val="20"/>
          <w:color w:val="auto"/>
        </w:rPr>
      </w:pPr>
    </w:p>
    <w:p>
      <w:pPr>
        <w:ind w:right="1799"/>
        <w:spacing w:after="0" w:line="235" w:lineRule="auto"/>
        <w:rPr>
          <w:sz w:val="20"/>
          <w:szCs w:val="20"/>
          <w:color w:val="auto"/>
        </w:rPr>
      </w:pPr>
      <w:r>
        <w:rPr>
          <w:rFonts w:ascii="Arial" w:cs="Arial" w:eastAsia="Arial" w:hAnsi="Arial"/>
          <w:sz w:val="22"/>
          <w:szCs w:val="22"/>
          <w:color w:val="auto"/>
        </w:rPr>
        <w:t>On October 26, 2009, the Court granted Strohm’s motion for mandatory indemnification, ruling that we were required to indemnify Strohm for her reasonable attorneys’ fees and expenses to the extent that she was successful on the merits at trial. On March 2, 2010, the Court ruled that the Dorsey engagement letter provided an alternative basis requiring the Company to pay Strohm’s reasonable attorneys’ fees and costs incurred in connection with the federal criminal proceedings.</w:t>
      </w:r>
    </w:p>
    <w:p>
      <w:pPr>
        <w:spacing w:after="0" w:line="53" w:lineRule="exact"/>
        <w:rPr>
          <w:sz w:val="20"/>
          <w:szCs w:val="20"/>
          <w:color w:val="auto"/>
        </w:rPr>
      </w:pPr>
    </w:p>
    <w:p>
      <w:pPr>
        <w:ind w:right="1859"/>
        <w:spacing w:after="0" w:line="275" w:lineRule="auto"/>
        <w:rPr>
          <w:sz w:val="20"/>
          <w:szCs w:val="20"/>
          <w:color w:val="auto"/>
        </w:rPr>
      </w:pPr>
      <w:r>
        <w:rPr>
          <w:rFonts w:ascii="Arial" w:cs="Arial" w:eastAsia="Arial" w:hAnsi="Arial"/>
          <w:sz w:val="19"/>
          <w:szCs w:val="19"/>
          <w:color w:val="auto"/>
        </w:rPr>
        <w:t>On January 24, 2011, the Court ruled that Dorsey is entitled to keep all of the attorneys’ fees and costs that it already received for criminal defense services rendered through March 31, 2008, with no retrospective adjustment or reimbursement. For criminal defense services rendered and costs incurred from April 1, 2008 through the federal jury verdict in the criminal case on February 27, 2009, the Court ruled that the Company is required to pay Dorsey for all hours billed, except for certain travel hours billed, and at rates that are at or below the rates set forth in Dorsey’s bills. We paid approximately $935,000 under protest to Dorsey for Strohm’s criminal defense fees on February 1, 2011, with an additional $20,000-$50,000 at issue.</w:t>
      </w:r>
    </w:p>
    <w:p>
      <w:pPr>
        <w:spacing w:after="0" w:line="23" w:lineRule="exact"/>
        <w:rPr>
          <w:sz w:val="20"/>
          <w:szCs w:val="20"/>
          <w:color w:val="auto"/>
        </w:rPr>
      </w:pPr>
    </w:p>
    <w:p>
      <w:pPr>
        <w:ind w:right="1839"/>
        <w:spacing w:after="0" w:line="275" w:lineRule="auto"/>
        <w:rPr>
          <w:sz w:val="20"/>
          <w:szCs w:val="20"/>
          <w:color w:val="auto"/>
        </w:rPr>
      </w:pPr>
      <w:r>
        <w:rPr>
          <w:rFonts w:ascii="Arial" w:cs="Arial" w:eastAsia="Arial" w:hAnsi="Arial"/>
          <w:sz w:val="19"/>
          <w:szCs w:val="19"/>
          <w:color w:val="auto"/>
        </w:rPr>
        <w:t>In addition, the Court ruled that the Company is required to pay interest on the criminal defense fees and costs which, at present, is estimated to be approximately $350,000. The Court further ruled that if Strohm prevails on her criminal appeal and potential retrial of the criminal case, the Company would be obligated to pay additional reasonable attorneys’ fees and costs incurred after the February 27, 2009 jury verdict. The Court also ruled that the Company is required to pay Dorsey’s reasonable attorneys’ fees and costs incurred in bringing the civil lawsuit against the Company, subject to certain deductions. At present, the Company estimates that the amounts due to Dorsey for such fees and costs are approximately $865,000.</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The Company is considering its options for appeal.</w:t>
      </w:r>
    </w:p>
    <w:p>
      <w:pPr>
        <w:spacing w:after="0" w:line="160"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AUDIT AND COMPLIANCE COMMITTEE REPORT</w:t>
      </w:r>
    </w:p>
    <w:p>
      <w:pPr>
        <w:spacing w:after="0" w:line="185" w:lineRule="exact"/>
        <w:rPr>
          <w:sz w:val="20"/>
          <w:szCs w:val="20"/>
          <w:color w:val="auto"/>
        </w:rPr>
      </w:pPr>
    </w:p>
    <w:p>
      <w:pPr>
        <w:jc w:val="both"/>
        <w:ind w:right="2039" w:firstLine="648"/>
        <w:spacing w:after="0" w:line="273" w:lineRule="auto"/>
        <w:rPr>
          <w:sz w:val="20"/>
          <w:szCs w:val="20"/>
          <w:color w:val="auto"/>
        </w:rPr>
      </w:pPr>
      <w:r>
        <w:rPr>
          <w:rFonts w:ascii="Arial" w:cs="Arial" w:eastAsia="Arial" w:hAnsi="Arial"/>
          <w:sz w:val="19"/>
          <w:szCs w:val="19"/>
          <w:color w:val="auto"/>
        </w:rPr>
        <w:t>The Audit and Compliance Committee of the Board of Directors is comprised of three directors, all of whom are independent as defined in NASDAQ and SEC rules and regulations. The members of the Audit and Compliance Committee are Scott M. Huntsman, Brad R.</w:t>
      </w:r>
    </w:p>
    <w:p>
      <w:pPr>
        <w:spacing w:after="0" w:line="2" w:lineRule="exact"/>
        <w:rPr>
          <w:sz w:val="20"/>
          <w:szCs w:val="20"/>
          <w:color w:val="auto"/>
        </w:rPr>
      </w:pPr>
    </w:p>
    <w:p>
      <w:pPr>
        <w:ind w:right="2239"/>
        <w:spacing w:after="0" w:line="308" w:lineRule="auto"/>
        <w:rPr>
          <w:sz w:val="20"/>
          <w:szCs w:val="20"/>
          <w:color w:val="auto"/>
        </w:rPr>
      </w:pPr>
      <w:r>
        <w:rPr>
          <w:rFonts w:ascii="Arial" w:cs="Arial" w:eastAsia="Arial" w:hAnsi="Arial"/>
          <w:sz w:val="19"/>
          <w:szCs w:val="19"/>
          <w:color w:val="auto"/>
        </w:rPr>
        <w:t>Baldwin, and Larry R. Hendricks. Scott M. Huntsman is the Board of Directors’ designated “audit committee financial expert” as that term is defined in the securities laws.</w:t>
      </w:r>
    </w:p>
    <w:p>
      <w:pPr>
        <w:spacing w:after="0" w:line="96" w:lineRule="exact"/>
        <w:rPr>
          <w:sz w:val="20"/>
          <w:szCs w:val="20"/>
          <w:color w:val="auto"/>
        </w:rPr>
      </w:pPr>
    </w:p>
    <w:p>
      <w:pPr>
        <w:ind w:right="1859" w:firstLine="648"/>
        <w:spacing w:after="0" w:line="275" w:lineRule="auto"/>
        <w:rPr>
          <w:sz w:val="20"/>
          <w:szCs w:val="20"/>
          <w:color w:val="auto"/>
        </w:rPr>
      </w:pPr>
      <w:r>
        <w:rPr>
          <w:rFonts w:ascii="Arial" w:cs="Arial" w:eastAsia="Arial" w:hAnsi="Arial"/>
          <w:sz w:val="19"/>
          <w:szCs w:val="19"/>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Committee has reviewed and discussed with management and our independent registered public accounting firm the audited financial statements contained in our Annual Report on Form 10-K for the year ended December 31, 2010.</w:t>
      </w:r>
    </w:p>
    <w:p>
      <w:pPr>
        <w:spacing w:after="0" w:line="131" w:lineRule="exact"/>
        <w:rPr>
          <w:sz w:val="20"/>
          <w:szCs w:val="20"/>
          <w:color w:val="auto"/>
        </w:rPr>
      </w:pPr>
    </w:p>
    <w:p>
      <w:pPr>
        <w:ind w:right="1899" w:firstLine="648"/>
        <w:spacing w:after="0" w:line="246" w:lineRule="auto"/>
        <w:rPr>
          <w:sz w:val="20"/>
          <w:szCs w:val="20"/>
          <w:color w:val="auto"/>
        </w:rPr>
      </w:pPr>
      <w:r>
        <w:rPr>
          <w:rFonts w:ascii="Arial" w:cs="Arial" w:eastAsia="Arial" w:hAnsi="Arial"/>
          <w:sz w:val="21"/>
          <w:szCs w:val="21"/>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54" w:lineRule="exact"/>
        <w:rPr>
          <w:sz w:val="20"/>
          <w:szCs w:val="20"/>
          <w:color w:val="auto"/>
        </w:rPr>
      </w:pPr>
    </w:p>
    <w:p>
      <w:pPr>
        <w:ind w:right="1959" w:firstLine="648"/>
        <w:spacing w:after="0" w:line="287" w:lineRule="auto"/>
        <w:rPr>
          <w:sz w:val="20"/>
          <w:szCs w:val="20"/>
          <w:color w:val="auto"/>
        </w:rPr>
      </w:pPr>
      <w:r>
        <w:rPr>
          <w:rFonts w:ascii="Arial" w:cs="Arial" w:eastAsia="Arial" w:hAnsi="Arial"/>
          <w:sz w:val="19"/>
          <w:szCs w:val="19"/>
          <w:color w:val="auto"/>
        </w:rPr>
        <w:t>In reliance on the reviews and discussions referred to above, the Audit and Compliance Committee recommended to the Board of Directors (and the Board has approved) that the audited financial statements be included in the Annual Report on Form 10-K for the year ended December 31, 2010 for filing with the Securities and Exchange Commission.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Respectfully submitted by the members of the Audit and Compliance Committee.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Scott M. Huntsman (Chair)</w:t>
      </w:r>
    </w:p>
    <w:p>
      <w:pPr>
        <w:ind w:left="660"/>
        <w:spacing w:after="0" w:line="238" w:lineRule="auto"/>
        <w:rPr>
          <w:sz w:val="20"/>
          <w:szCs w:val="20"/>
          <w:color w:val="auto"/>
        </w:rPr>
      </w:pPr>
      <w:r>
        <w:rPr>
          <w:rFonts w:ascii="Arial" w:cs="Arial" w:eastAsia="Arial" w:hAnsi="Arial"/>
          <w:sz w:val="22"/>
          <w:szCs w:val="22"/>
          <w:color w:val="auto"/>
        </w:rPr>
        <w:t>Brad R. Baldwin</w:t>
      </w:r>
    </w:p>
    <w:p>
      <w:pPr>
        <w:ind w:left="660"/>
        <w:spacing w:after="0"/>
        <w:rPr>
          <w:sz w:val="20"/>
          <w:szCs w:val="20"/>
          <w:color w:val="auto"/>
        </w:rPr>
      </w:pPr>
      <w:r>
        <w:rPr>
          <w:rFonts w:ascii="Arial" w:cs="Arial" w:eastAsia="Arial" w:hAnsi="Arial"/>
          <w:sz w:val="22"/>
          <w:szCs w:val="22"/>
          <w:color w:val="auto"/>
        </w:rPr>
        <w:t>Larry R. Hendricks</w:t>
      </w:r>
    </w:p>
    <w:p>
      <w:pPr>
        <w:sectPr>
          <w:pgSz w:w="11900" w:h="16838" w:orient="portrait"/>
          <w:cols w:equalWidth="0" w:num="1">
            <w:col w:w="10219"/>
          </w:cols>
          <w:pgMar w:left="240" w:top="604" w:right="1440" w:bottom="394" w:gutter="0" w:footer="0" w:header="0"/>
        </w:sectPr>
      </w:pPr>
    </w:p>
    <w:bookmarkStart w:id="23" w:name="page24"/>
    <w:bookmarkEnd w:id="23"/>
    <w:p>
      <w:pPr>
        <w:ind w:left="300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4" w:name="page25"/>
    <w:bookmarkEnd w:id="24"/>
    <w:p>
      <w:pPr>
        <w:jc w:val="center"/>
        <w:ind w:right="1779"/>
        <w:spacing w:after="0"/>
        <w:rPr>
          <w:sz w:val="20"/>
          <w:szCs w:val="20"/>
          <w:color w:val="auto"/>
        </w:rPr>
      </w:pPr>
      <w:r>
        <w:rPr>
          <w:rFonts w:ascii="Arial" w:cs="Arial" w:eastAsia="Arial" w:hAnsi="Arial"/>
          <w:sz w:val="22"/>
          <w:szCs w:val="22"/>
          <w:b w:val="1"/>
          <w:bCs w:val="1"/>
          <w:color w:val="auto"/>
        </w:rPr>
        <w:t>SECURITY OWNERSHIP OF CERTAIN BENEFICIAL OWNERS AND</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MANAGEMENT</w:t>
      </w:r>
    </w:p>
    <w:p>
      <w:pPr>
        <w:spacing w:after="0" w:line="161" w:lineRule="exact"/>
        <w:rPr>
          <w:sz w:val="20"/>
          <w:szCs w:val="20"/>
          <w:color w:val="auto"/>
        </w:rPr>
      </w:pPr>
    </w:p>
    <w:p>
      <w:pPr>
        <w:ind w:right="1879" w:firstLine="648"/>
        <w:spacing w:after="0" w:line="287" w:lineRule="auto"/>
        <w:rPr>
          <w:sz w:val="20"/>
          <w:szCs w:val="20"/>
          <w:color w:val="auto"/>
        </w:rPr>
      </w:pPr>
      <w:r>
        <w:rPr>
          <w:rFonts w:ascii="Arial" w:cs="Arial" w:eastAsia="Arial" w:hAnsi="Arial"/>
          <w:sz w:val="19"/>
          <w:szCs w:val="19"/>
          <w:color w:val="auto"/>
        </w:rPr>
        <w:t>The following table sets forth certain information regarding ownership of our common stock as of April 30, 2011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 of Beneficial Owner (1)</w:t>
            </w:r>
          </w:p>
        </w:tc>
        <w:tc>
          <w:tcPr>
            <w:tcW w:w="80" w:type="dxa"/>
            <w:vAlign w:val="bottom"/>
          </w:tcPr>
          <w:p>
            <w:pPr>
              <w:spacing w:after="0"/>
              <w:rPr>
                <w:sz w:val="15"/>
                <w:szCs w:val="15"/>
                <w:color w:val="auto"/>
              </w:rPr>
            </w:pPr>
          </w:p>
        </w:tc>
        <w:tc>
          <w:tcPr>
            <w:tcW w:w="2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56"/>
        </w:trPr>
        <w:tc>
          <w:tcPr>
            <w:tcW w:w="4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80" w:type="dxa"/>
            <w:vAlign w:val="bottom"/>
          </w:tcPr>
          <w:p>
            <w:pPr>
              <w:spacing w:after="0"/>
              <w:rPr>
                <w:sz w:val="13"/>
                <w:szCs w:val="13"/>
                <w:color w:val="auto"/>
              </w:rPr>
            </w:pPr>
          </w:p>
        </w:tc>
        <w:tc>
          <w:tcPr>
            <w:tcW w:w="1380" w:type="dxa"/>
            <w:vAlign w:val="bottom"/>
            <w:tcBorders>
              <w:bottom w:val="single" w:sz="8" w:color="auto"/>
            </w:tcBorders>
          </w:tcPr>
          <w:p>
            <w:pPr>
              <w:jc w:val="right"/>
              <w:ind w:right="265"/>
              <w:spacing w:after="0" w:line="149" w:lineRule="exact"/>
              <w:rPr>
                <w:sz w:val="20"/>
                <w:szCs w:val="20"/>
                <w:color w:val="auto"/>
              </w:rPr>
            </w:pPr>
            <w:r>
              <w:rPr>
                <w:rFonts w:ascii="Arial" w:cs="Arial" w:eastAsia="Arial" w:hAnsi="Arial"/>
                <w:sz w:val="14"/>
                <w:szCs w:val="14"/>
                <w:b w:val="1"/>
                <w:bCs w:val="1"/>
                <w:color w:val="auto"/>
              </w:rPr>
              <w:t>Number (2)</w:t>
            </w:r>
          </w:p>
        </w:tc>
        <w:tc>
          <w:tcPr>
            <w:tcW w:w="80" w:type="dxa"/>
            <w:vAlign w:val="bottom"/>
          </w:tcPr>
          <w:p>
            <w:pPr>
              <w:spacing w:after="0"/>
              <w:rPr>
                <w:sz w:val="13"/>
                <w:szCs w:val="13"/>
                <w:color w:val="auto"/>
              </w:rPr>
            </w:pPr>
          </w:p>
        </w:tc>
        <w:tc>
          <w:tcPr>
            <w:tcW w:w="106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Percent (2)</w:t>
            </w:r>
          </w:p>
        </w:tc>
        <w:tc>
          <w:tcPr>
            <w:tcW w:w="0" w:type="dxa"/>
            <w:vAlign w:val="bottom"/>
          </w:tcPr>
          <w:p>
            <w:pPr>
              <w:spacing w:after="0"/>
              <w:rPr>
                <w:sz w:val="1"/>
                <w:szCs w:val="1"/>
                <w:color w:val="auto"/>
              </w:rPr>
            </w:pPr>
          </w:p>
        </w:tc>
      </w:tr>
      <w:tr>
        <w:trPr>
          <w:trHeight w:val="197"/>
        </w:trPr>
        <w:tc>
          <w:tcPr>
            <w:tcW w:w="40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Zeynep “Zee” Hakimoglu </w:t>
            </w:r>
            <w:r>
              <w:rPr>
                <w:rFonts w:ascii="Arial" w:cs="Arial" w:eastAsia="Arial" w:hAnsi="Arial"/>
                <w:sz w:val="10"/>
                <w:szCs w:val="10"/>
                <w:b w:val="1"/>
                <w:bCs w:val="1"/>
                <w:color w:val="auto"/>
              </w:rPr>
              <w:t>(3)</w:t>
            </w: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567,042</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 xml:space="preserve">E. Bryan Bagley </w:t>
            </w:r>
            <w:r>
              <w:rPr>
                <w:rFonts w:ascii="Arial" w:cs="Arial" w:eastAsia="Arial" w:hAnsi="Arial"/>
                <w:sz w:val="10"/>
                <w:szCs w:val="10"/>
                <w:b w:val="1"/>
                <w:bCs w:val="1"/>
                <w:color w:val="auto"/>
              </w:rPr>
              <w:t>(4)</w:t>
            </w:r>
          </w:p>
        </w:tc>
        <w:tc>
          <w:tcPr>
            <w:tcW w:w="1460" w:type="dxa"/>
            <w:vAlign w:val="bottom"/>
            <w:gridSpan w:val="2"/>
          </w:tcPr>
          <w:p>
            <w:pPr>
              <w:jc w:val="right"/>
              <w:ind w:right="85"/>
              <w:spacing w:after="0"/>
              <w:rPr>
                <w:sz w:val="20"/>
                <w:szCs w:val="20"/>
                <w:color w:val="auto"/>
              </w:rPr>
            </w:pPr>
            <w:r>
              <w:rPr>
                <w:rFonts w:ascii="Arial" w:cs="Arial" w:eastAsia="Arial" w:hAnsi="Arial"/>
                <w:sz w:val="16"/>
                <w:szCs w:val="16"/>
                <w:color w:val="auto"/>
              </w:rPr>
              <w:t>336,991</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Brad R. Baldwin </w:t>
            </w:r>
            <w:r>
              <w:rPr>
                <w:rFonts w:ascii="Arial" w:cs="Arial" w:eastAsia="Arial" w:hAnsi="Arial"/>
                <w:sz w:val="10"/>
                <w:szCs w:val="10"/>
                <w:b w:val="1"/>
                <w:bCs w:val="1"/>
                <w:color w:val="auto"/>
              </w:rPr>
              <w:t>(5)</w:t>
            </w: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225,193</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 xml:space="preserve">Tracy A. Bathurst </w:t>
            </w:r>
            <w:r>
              <w:rPr>
                <w:rFonts w:ascii="Arial" w:cs="Arial" w:eastAsia="Arial" w:hAnsi="Arial"/>
                <w:sz w:val="10"/>
                <w:szCs w:val="10"/>
                <w:b w:val="1"/>
                <w:bCs w:val="1"/>
                <w:color w:val="auto"/>
              </w:rPr>
              <w:t>(6)</w:t>
            </w:r>
          </w:p>
        </w:tc>
        <w:tc>
          <w:tcPr>
            <w:tcW w:w="1460" w:type="dxa"/>
            <w:vAlign w:val="bottom"/>
            <w:gridSpan w:val="2"/>
          </w:tcPr>
          <w:p>
            <w:pPr>
              <w:jc w:val="right"/>
              <w:ind w:right="85"/>
              <w:spacing w:after="0"/>
              <w:rPr>
                <w:sz w:val="20"/>
                <w:szCs w:val="20"/>
                <w:color w:val="auto"/>
              </w:rPr>
            </w:pPr>
            <w:r>
              <w:rPr>
                <w:rFonts w:ascii="Arial" w:cs="Arial" w:eastAsia="Arial" w:hAnsi="Arial"/>
                <w:sz w:val="16"/>
                <w:szCs w:val="16"/>
                <w:color w:val="auto"/>
              </w:rPr>
              <w:t>100,636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3"/>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Larry R. Hendricks </w:t>
            </w:r>
            <w:r>
              <w:rPr>
                <w:rFonts w:ascii="Arial" w:cs="Arial" w:eastAsia="Arial" w:hAnsi="Arial"/>
                <w:sz w:val="10"/>
                <w:szCs w:val="10"/>
                <w:b w:val="1"/>
                <w:bCs w:val="1"/>
                <w:color w:val="auto"/>
              </w:rPr>
              <w:t>(7)</w:t>
            </w: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76,527</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 xml:space="preserve">Scott M. Huntsman </w:t>
            </w:r>
            <w:r>
              <w:rPr>
                <w:rFonts w:ascii="Arial" w:cs="Arial" w:eastAsia="Arial" w:hAnsi="Arial"/>
                <w:sz w:val="10"/>
                <w:szCs w:val="10"/>
                <w:b w:val="1"/>
                <w:bCs w:val="1"/>
                <w:color w:val="auto"/>
              </w:rPr>
              <w:t>(8)</w:t>
            </w:r>
          </w:p>
        </w:tc>
        <w:tc>
          <w:tcPr>
            <w:tcW w:w="1460" w:type="dxa"/>
            <w:vAlign w:val="bottom"/>
            <w:gridSpan w:val="2"/>
          </w:tcPr>
          <w:p>
            <w:pPr>
              <w:jc w:val="right"/>
              <w:ind w:right="85"/>
              <w:spacing w:after="0"/>
              <w:rPr>
                <w:sz w:val="20"/>
                <w:szCs w:val="20"/>
                <w:color w:val="auto"/>
              </w:rPr>
            </w:pPr>
            <w:r>
              <w:rPr>
                <w:rFonts w:ascii="Arial" w:cs="Arial" w:eastAsia="Arial" w:hAnsi="Arial"/>
                <w:sz w:val="16"/>
                <w:szCs w:val="16"/>
                <w:color w:val="auto"/>
              </w:rPr>
              <w:t>76,527</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Narsi Narayanan </w:t>
            </w:r>
            <w:r>
              <w:rPr>
                <w:rFonts w:ascii="Arial" w:cs="Arial" w:eastAsia="Arial" w:hAnsi="Arial"/>
                <w:sz w:val="10"/>
                <w:szCs w:val="10"/>
                <w:b w:val="1"/>
                <w:bCs w:val="1"/>
                <w:color w:val="auto"/>
              </w:rPr>
              <w:t>(9)</w:t>
            </w: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21,944</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 xml:space="preserve">Michael J. Braithwaite </w:t>
            </w:r>
            <w:r>
              <w:rPr>
                <w:rFonts w:ascii="Arial" w:cs="Arial" w:eastAsia="Arial" w:hAnsi="Arial"/>
                <w:sz w:val="10"/>
                <w:szCs w:val="10"/>
                <w:b w:val="1"/>
                <w:bCs w:val="1"/>
                <w:color w:val="auto"/>
              </w:rPr>
              <w:t>(10)</w:t>
            </w:r>
          </w:p>
        </w:tc>
        <w:tc>
          <w:tcPr>
            <w:tcW w:w="1460" w:type="dxa"/>
            <w:vAlign w:val="bottom"/>
            <w:gridSpan w:val="2"/>
          </w:tcPr>
          <w:p>
            <w:pPr>
              <w:jc w:val="right"/>
              <w:ind w:right="85"/>
              <w:spacing w:after="0"/>
              <w:rPr>
                <w:sz w:val="20"/>
                <w:szCs w:val="20"/>
                <w:color w:val="auto"/>
              </w:rPr>
            </w:pPr>
            <w:r>
              <w:rPr>
                <w:rFonts w:ascii="Arial" w:cs="Arial" w:eastAsia="Arial" w:hAnsi="Arial"/>
                <w:sz w:val="16"/>
                <w:szCs w:val="16"/>
                <w:color w:val="auto"/>
              </w:rPr>
              <w:t>18,611</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8"/>
              </w:rPr>
              <w:t>All directors and executive officers as a group (8 persons)</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1,423,471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5% Shareholders:</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Edward Dallin Bagley </w:t>
            </w:r>
            <w:r>
              <w:rPr>
                <w:rFonts w:ascii="Arial" w:cs="Arial" w:eastAsia="Arial" w:hAnsi="Arial"/>
                <w:sz w:val="10"/>
                <w:szCs w:val="10"/>
                <w:b w:val="1"/>
                <w:bCs w:val="1"/>
                <w:color w:val="auto"/>
              </w:rPr>
              <w:t>(11)</w:t>
            </w: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2,278,843</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23.0%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60" w:type="dxa"/>
            <w:vAlign w:val="bottom"/>
            <w:gridSpan w:val="2"/>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 xml:space="preserve">FMR Corp. </w:t>
            </w:r>
            <w:r>
              <w:rPr>
                <w:rFonts w:ascii="Arial" w:cs="Arial" w:eastAsia="Arial" w:hAnsi="Arial"/>
                <w:sz w:val="10"/>
                <w:szCs w:val="10"/>
                <w:b w:val="1"/>
                <w:bCs w:val="1"/>
                <w:color w:val="auto"/>
              </w:rPr>
              <w:t>(12)</w:t>
            </w:r>
          </w:p>
        </w:tc>
        <w:tc>
          <w:tcPr>
            <w:tcW w:w="1460" w:type="dxa"/>
            <w:vAlign w:val="bottom"/>
            <w:gridSpan w:val="2"/>
          </w:tcPr>
          <w:p>
            <w:pPr>
              <w:jc w:val="right"/>
              <w:ind w:right="85"/>
              <w:spacing w:after="0"/>
              <w:rPr>
                <w:sz w:val="20"/>
                <w:szCs w:val="20"/>
                <w:color w:val="auto"/>
              </w:rPr>
            </w:pPr>
            <w:r>
              <w:rPr>
                <w:rFonts w:ascii="Arial" w:cs="Arial" w:eastAsia="Arial" w:hAnsi="Arial"/>
                <w:sz w:val="16"/>
                <w:szCs w:val="16"/>
                <w:color w:val="auto"/>
              </w:rPr>
              <w:t>1,000,503</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6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Royce &amp; Associates Inc. </w:t>
            </w:r>
            <w:r>
              <w:rPr>
                <w:rFonts w:ascii="Arial" w:cs="Arial" w:eastAsia="Arial" w:hAnsi="Arial"/>
                <w:sz w:val="10"/>
                <w:szCs w:val="10"/>
                <w:b w:val="1"/>
                <w:bCs w:val="1"/>
                <w:color w:val="auto"/>
              </w:rPr>
              <w:t>(13)</w:t>
            </w: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863,690</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8.7%</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060" w:type="dxa"/>
            <w:vAlign w:val="bottom"/>
            <w:gridSpan w:val="2"/>
          </w:tcPr>
          <w:p>
            <w:pPr>
              <w:spacing w:after="0" w:line="222" w:lineRule="exact"/>
              <w:rPr>
                <w:sz w:val="20"/>
                <w:szCs w:val="20"/>
                <w:color w:val="auto"/>
              </w:rPr>
            </w:pPr>
            <w:r>
              <w:rPr>
                <w:rFonts w:ascii="Arial" w:cs="Arial" w:eastAsia="Arial" w:hAnsi="Arial"/>
                <w:sz w:val="22"/>
                <w:szCs w:val="22"/>
                <w:color w:val="auto"/>
              </w:rPr>
              <w:t>__________________</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80" w:type="dxa"/>
            <w:vAlign w:val="bottom"/>
            <w:gridSpan w:val="2"/>
          </w:tcPr>
          <w:p>
            <w:pPr>
              <w:spacing w:after="0"/>
              <w:rPr>
                <w:sz w:val="20"/>
                <w:szCs w:val="20"/>
                <w:color w:val="auto"/>
              </w:rPr>
            </w:pPr>
            <w:r>
              <w:rPr>
                <w:rFonts w:ascii="Arial" w:cs="Arial" w:eastAsia="Arial" w:hAnsi="Arial"/>
                <w:sz w:val="22"/>
                <w:szCs w:val="22"/>
                <w:color w:val="auto"/>
              </w:rPr>
              <w:t>*</w:t>
            </w:r>
          </w:p>
        </w:tc>
        <w:tc>
          <w:tcPr>
            <w:tcW w:w="3700" w:type="dxa"/>
            <w:vAlign w:val="bottom"/>
          </w:tcPr>
          <w:p>
            <w:pPr>
              <w:ind w:left="240"/>
              <w:spacing w:after="0"/>
              <w:rPr>
                <w:sz w:val="20"/>
                <w:szCs w:val="20"/>
                <w:color w:val="auto"/>
              </w:rPr>
            </w:pPr>
            <w:r>
              <w:rPr>
                <w:rFonts w:ascii="Arial" w:cs="Arial" w:eastAsia="Arial" w:hAnsi="Arial"/>
                <w:sz w:val="22"/>
                <w:szCs w:val="22"/>
                <w:color w:val="auto"/>
              </w:rPr>
              <w:t>Less than 1.0%.</w:t>
            </w: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right="1939" w:hanging="652"/>
        <w:spacing w:after="0" w:line="282" w:lineRule="auto"/>
        <w:tabs>
          <w:tab w:leader="none" w:pos="633"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80" w:lineRule="exact"/>
        <w:rPr>
          <w:rFonts w:ascii="Arial" w:cs="Arial" w:eastAsia="Arial" w:hAnsi="Arial"/>
          <w:sz w:val="19"/>
          <w:szCs w:val="19"/>
          <w:color w:val="auto"/>
        </w:rPr>
      </w:pPr>
    </w:p>
    <w:p>
      <w:pPr>
        <w:ind w:left="660" w:right="1779" w:hanging="652"/>
        <w:spacing w:after="0" w:line="275" w:lineRule="auto"/>
        <w:tabs>
          <w:tab w:leader="none" w:pos="63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percentages shown are calculated based on 8,928,925 shares of common stock outstanding on April 30, 2011. The numbers and percentages shown include the shares of common stock actually owned as of April 30, 2011 and the shares of common stock that the identified person or group had the right to acquire within 60 days of such date. In calculating the percentage of ownership, all shares of common stock that each identified person or group had the right to acquire within 60 days of April 30, 2011 upon the exercise of options are deemed to be outstanding for the purpose of computing the percentage of the shares of common stock owned by the persons or groups listed above.</w:t>
      </w:r>
    </w:p>
    <w:p>
      <w:pPr>
        <w:spacing w:after="0" w:line="90" w:lineRule="exact"/>
        <w:rPr>
          <w:rFonts w:ascii="Arial" w:cs="Arial" w:eastAsia="Arial" w:hAnsi="Arial"/>
          <w:sz w:val="19"/>
          <w:szCs w:val="19"/>
          <w:color w:val="auto"/>
        </w:rPr>
      </w:pPr>
    </w:p>
    <w:p>
      <w:pPr>
        <w:ind w:left="620" w:hanging="612"/>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496,666 shares of common stock issuable upon exercise of stock options.</w:t>
      </w:r>
    </w:p>
    <w:p>
      <w:pPr>
        <w:spacing w:after="0" w:line="150" w:lineRule="exact"/>
        <w:rPr>
          <w:rFonts w:ascii="Arial" w:cs="Arial" w:eastAsia="Arial" w:hAnsi="Arial"/>
          <w:sz w:val="21"/>
          <w:szCs w:val="21"/>
          <w:color w:val="auto"/>
        </w:rPr>
      </w:pPr>
    </w:p>
    <w:p>
      <w:pPr>
        <w:jc w:val="both"/>
        <w:ind w:left="660" w:right="2519" w:hanging="652"/>
        <w:spacing w:after="0"/>
        <w:tabs>
          <w:tab w:leader="none" w:pos="633"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Includes 1,000 shares held by E. Bryan Bagley’s spouse with respect to which he disclaims beneficial ownership and 11,111 shares of common stock issuable upon exercise of stock options.</w:t>
      </w:r>
    </w:p>
    <w:p>
      <w:pPr>
        <w:spacing w:after="0" w:line="105" w:lineRule="exact"/>
        <w:rPr>
          <w:rFonts w:ascii="Arial" w:cs="Arial" w:eastAsia="Arial" w:hAnsi="Arial"/>
          <w:sz w:val="22"/>
          <w:szCs w:val="22"/>
          <w:color w:val="auto"/>
        </w:rPr>
      </w:pPr>
    </w:p>
    <w:p>
      <w:pPr>
        <w:ind w:left="660" w:right="1799" w:hanging="652"/>
        <w:spacing w:after="0"/>
        <w:tabs>
          <w:tab w:leader="none" w:pos="633"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Includes 88,666 shares held in the Baldwin Family Trust; 10,000 shares owned directly, which are held in an IRA under the name of Mr. Baldwin, and 126,527 shares of common stock issuable upon exercise of stock options.</w:t>
      </w:r>
    </w:p>
    <w:p>
      <w:pPr>
        <w:spacing w:after="0" w:line="118" w:lineRule="exact"/>
        <w:rPr>
          <w:rFonts w:ascii="Arial" w:cs="Arial" w:eastAsia="Arial" w:hAnsi="Arial"/>
          <w:sz w:val="22"/>
          <w:szCs w:val="22"/>
          <w:color w:val="auto"/>
        </w:rPr>
      </w:pPr>
    </w:p>
    <w:p>
      <w:pPr>
        <w:ind w:left="620" w:hanging="612"/>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100,138 shares of common stock issuable upon exercise of stock options.</w:t>
      </w:r>
    </w:p>
    <w:p>
      <w:pPr>
        <w:spacing w:after="0" w:line="150" w:lineRule="exact"/>
        <w:rPr>
          <w:rFonts w:ascii="Arial" w:cs="Arial" w:eastAsia="Arial" w:hAnsi="Arial"/>
          <w:sz w:val="21"/>
          <w:szCs w:val="21"/>
          <w:color w:val="auto"/>
        </w:rPr>
      </w:pPr>
    </w:p>
    <w:p>
      <w:pPr>
        <w:ind w:left="620" w:hanging="612"/>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76,527 shares of common stock issuable upon exercise of stock options.</w:t>
      </w:r>
    </w:p>
    <w:p>
      <w:pPr>
        <w:spacing w:after="0" w:line="150" w:lineRule="exact"/>
        <w:rPr>
          <w:rFonts w:ascii="Arial" w:cs="Arial" w:eastAsia="Arial" w:hAnsi="Arial"/>
          <w:sz w:val="21"/>
          <w:szCs w:val="21"/>
          <w:color w:val="auto"/>
        </w:rPr>
      </w:pPr>
    </w:p>
    <w:p>
      <w:pPr>
        <w:ind w:left="620" w:hanging="612"/>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76,527 shares of common stock issuable upon exercise of stock options.</w:t>
      </w:r>
    </w:p>
    <w:p>
      <w:pPr>
        <w:spacing w:after="0" w:line="136" w:lineRule="exact"/>
        <w:rPr>
          <w:rFonts w:ascii="Arial" w:cs="Arial" w:eastAsia="Arial" w:hAnsi="Arial"/>
          <w:sz w:val="21"/>
          <w:szCs w:val="21"/>
          <w:color w:val="auto"/>
        </w:rPr>
      </w:pPr>
    </w:p>
    <w:p>
      <w:pPr>
        <w:ind w:left="620" w:hanging="612"/>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21,944 shares of common stock issuable upon exercise of stock options.</w:t>
      </w:r>
    </w:p>
    <w:p>
      <w:pPr>
        <w:spacing w:after="0" w:line="136" w:lineRule="exact"/>
        <w:rPr>
          <w:rFonts w:ascii="Arial" w:cs="Arial" w:eastAsia="Arial" w:hAnsi="Arial"/>
          <w:sz w:val="21"/>
          <w:szCs w:val="21"/>
          <w:color w:val="auto"/>
        </w:rPr>
      </w:pPr>
    </w:p>
    <w:p>
      <w:pPr>
        <w:ind w:left="620" w:hanging="612"/>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18,611 shares of common stock issuable upon exercise of stock options.</w:t>
      </w:r>
    </w:p>
    <w:p>
      <w:pPr>
        <w:sectPr>
          <w:pgSz w:w="11900" w:h="16838" w:orient="portrait"/>
          <w:cols w:equalWidth="0" w:num="1">
            <w:col w:w="10219"/>
          </w:cols>
          <w:pgMar w:left="240" w:top="598" w:right="1440" w:bottom="9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35114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598" w:right="1440" w:bottom="996" w:gutter="0" w:footer="0" w:header="0"/>
          <w:type w:val="continuous"/>
        </w:sectPr>
      </w:pPr>
    </w:p>
    <w:bookmarkStart w:id="25" w:name="page26"/>
    <w:bookmarkEnd w:id="25"/>
    <w:p>
      <w:pPr>
        <w:ind w:left="660" w:right="1999" w:hanging="652"/>
        <w:spacing w:after="0" w:line="275" w:lineRule="auto"/>
        <w:tabs>
          <w:tab w:leader="none" w:pos="633" w:val="left"/>
        </w:tabs>
        <w:numPr>
          <w:ilvl w:val="0"/>
          <w:numId w:val="12"/>
        </w:numPr>
        <w:rPr>
          <w:rFonts w:ascii="Arial" w:cs="Arial" w:eastAsia="Arial" w:hAnsi="Arial"/>
          <w:sz w:val="19"/>
          <w:szCs w:val="19"/>
          <w:color w:val="auto"/>
        </w:rPr>
      </w:pPr>
      <w:r>
        <w:rPr>
          <w:rFonts w:ascii="Arial" w:cs="Arial" w:eastAsia="Arial" w:hAnsi="Arial"/>
          <w:sz w:val="19"/>
          <w:szCs w:val="19"/>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38,694 shares of common stock issuable upon exercise of stock options. Mr. Edward D. Bagley has sole voting and dispositive power over 2,152,677 shares (including the shares that may be acquired pursuant to the exercise of stock options) and shared voting and dispositive power over the 126,166 shares held by Mr. Edward D. Bagley’s spouse.</w:t>
      </w:r>
    </w:p>
    <w:p>
      <w:pPr>
        <w:spacing w:after="0" w:line="36" w:lineRule="exact"/>
        <w:rPr>
          <w:rFonts w:ascii="Arial" w:cs="Arial" w:eastAsia="Arial" w:hAnsi="Arial"/>
          <w:sz w:val="19"/>
          <w:szCs w:val="19"/>
          <w:color w:val="auto"/>
        </w:rPr>
      </w:pPr>
    </w:p>
    <w:p>
      <w:pPr>
        <w:ind w:left="660" w:right="1899" w:hanging="652"/>
        <w:spacing w:after="0" w:line="244" w:lineRule="auto"/>
        <w:tabs>
          <w:tab w:leader="none" w:pos="633" w:val="left"/>
        </w:tabs>
        <w:numPr>
          <w:ilvl w:val="0"/>
          <w:numId w:val="12"/>
        </w:numPr>
        <w:rPr>
          <w:rFonts w:ascii="Arial" w:cs="Arial" w:eastAsia="Arial" w:hAnsi="Arial"/>
          <w:sz w:val="21"/>
          <w:szCs w:val="21"/>
          <w:color w:val="auto"/>
        </w:rPr>
      </w:pPr>
      <w:r>
        <w:rPr>
          <w:rFonts w:ascii="Arial" w:cs="Arial" w:eastAsia="Arial" w:hAnsi="Arial"/>
          <w:sz w:val="21"/>
          <w:szCs w:val="21"/>
          <w:color w:val="auto"/>
        </w:rPr>
        <w:t>Represents 1,000,503 shares of common stock beneficially owned by FMR Corp. Fidelity Management &amp; Research Company, a wholly owned subsidiary of FMR Corp. and a registered investment advisor, beneficially owns 1,000,503 of such shares as a result of acting as investment advisor to various investment companies. Edward C. Johnson III and FMR Corp. each have sole power to dispose of the 1,000,503 shares owned by the Fidelity Funds. Neither FMR Corp., nor Edward C. Johnson III as Chairman of FMR Corp. has sole power to vote or direct the voting of the shares owned directly by the Fidelity Funds, which power resides with the funds’ board of trustees. The address of FMR Corp. is 82 Devonshire Street, Boston, Massachusetts 02109. This information is based upon a Schedule 13G, as filed and amended with the SEC as of February 17, 2009.</w:t>
      </w:r>
    </w:p>
    <w:p>
      <w:pPr>
        <w:spacing w:after="0" w:line="68" w:lineRule="exact"/>
        <w:rPr>
          <w:rFonts w:ascii="Arial" w:cs="Arial" w:eastAsia="Arial" w:hAnsi="Arial"/>
          <w:sz w:val="21"/>
          <w:szCs w:val="21"/>
          <w:color w:val="auto"/>
        </w:rPr>
      </w:pPr>
    </w:p>
    <w:p>
      <w:pPr>
        <w:ind w:left="660" w:right="1839" w:hanging="652"/>
        <w:spacing w:after="0" w:line="235" w:lineRule="auto"/>
        <w:tabs>
          <w:tab w:leader="none" w:pos="633"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Represents 863,690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12, 2011.</w:t>
      </w:r>
    </w:p>
    <w:p>
      <w:pPr>
        <w:spacing w:after="0" w:line="30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PROPOSAL TWO</w:t>
      </w:r>
    </w:p>
    <w:p>
      <w:pPr>
        <w:spacing w:after="0" w:line="4" w:lineRule="exact"/>
        <w:rPr>
          <w:sz w:val="20"/>
          <w:szCs w:val="20"/>
          <w:color w:val="auto"/>
        </w:rPr>
      </w:pPr>
    </w:p>
    <w:p>
      <w:pPr>
        <w:jc w:val="center"/>
        <w:ind w:right="1839"/>
        <w:spacing w:after="0"/>
        <w:rPr>
          <w:sz w:val="20"/>
          <w:szCs w:val="20"/>
          <w:color w:val="auto"/>
        </w:rPr>
      </w:pPr>
      <w:r>
        <w:rPr>
          <w:rFonts w:ascii="Arial" w:cs="Arial" w:eastAsia="Arial" w:hAnsi="Arial"/>
          <w:sz w:val="22"/>
          <w:szCs w:val="22"/>
          <w:b w:val="1"/>
          <w:bCs w:val="1"/>
          <w:color w:val="auto"/>
        </w:rPr>
        <w:t>RATIFICATION OF THE APPOINTMENT OF THE COMPANY’S</w:t>
      </w:r>
    </w:p>
    <w:p>
      <w:pPr>
        <w:jc w:val="center"/>
        <w:ind w:right="1779"/>
        <w:spacing w:after="0"/>
        <w:rPr>
          <w:sz w:val="20"/>
          <w:szCs w:val="20"/>
          <w:color w:val="auto"/>
        </w:rPr>
      </w:pPr>
      <w:r>
        <w:rPr>
          <w:rFonts w:ascii="Arial" w:cs="Arial" w:eastAsia="Arial" w:hAnsi="Arial"/>
          <w:sz w:val="22"/>
          <w:szCs w:val="22"/>
          <w:b w:val="1"/>
          <w:bCs w:val="1"/>
          <w:color w:val="auto"/>
        </w:rPr>
        <w:t>INDEPENDENT PUBLIC ACCOUNTANTS</w:t>
      </w:r>
    </w:p>
    <w:p>
      <w:pPr>
        <w:spacing w:after="0" w:line="161" w:lineRule="exact"/>
        <w:rPr>
          <w:sz w:val="20"/>
          <w:szCs w:val="20"/>
          <w:color w:val="auto"/>
        </w:rPr>
      </w:pPr>
    </w:p>
    <w:p>
      <w:pPr>
        <w:ind w:right="1839" w:firstLine="648"/>
        <w:spacing w:after="0" w:line="247" w:lineRule="auto"/>
        <w:rPr>
          <w:sz w:val="20"/>
          <w:szCs w:val="20"/>
          <w:color w:val="auto"/>
        </w:rPr>
      </w:pPr>
      <w:r>
        <w:rPr>
          <w:rFonts w:ascii="Arial" w:cs="Arial" w:eastAsia="Arial" w:hAnsi="Arial"/>
          <w:sz w:val="21"/>
          <w:szCs w:val="21"/>
          <w:color w:val="auto"/>
        </w:rPr>
        <w:t>We retained Jones Simkins, P.C. as our auditor and independent certified public accountants for the year ended December 31, 2010, six months ended December 31, 2009 and during the fiscal years ended June 30, 2009 and June 30, 2008. The Board of Directors of the Company has approved the appointment of Jones Simkins, P.C. as our auditor and independent certified public accountants for the year ending December 31, 2011. The ratification of selection of our auditors for the current year ending on December 31, 2011 is being submitted to the shareholders for their consideration.</w:t>
      </w:r>
    </w:p>
    <w:p>
      <w:pPr>
        <w:spacing w:after="0" w:line="57" w:lineRule="exact"/>
        <w:rPr>
          <w:sz w:val="20"/>
          <w:szCs w:val="20"/>
          <w:color w:val="auto"/>
        </w:rPr>
      </w:pPr>
    </w:p>
    <w:p>
      <w:pPr>
        <w:ind w:right="1859" w:firstLine="648"/>
        <w:spacing w:after="0" w:line="238" w:lineRule="auto"/>
        <w:rPr>
          <w:sz w:val="20"/>
          <w:szCs w:val="20"/>
          <w:color w:val="auto"/>
        </w:rPr>
      </w:pPr>
      <w:r>
        <w:rPr>
          <w:rFonts w:ascii="Arial" w:cs="Arial" w:eastAsia="Arial" w:hAnsi="Arial"/>
          <w:sz w:val="22"/>
          <w:szCs w:val="22"/>
          <w:color w:val="auto"/>
        </w:rPr>
        <w:t>It is anticipated that a representative of Jones Simkins, P.C. will attend the meeting and will be available to respond to questions. It is not anticipated that the representative will make any statement or presentation, although the representative will have an opportunity to do so if he or she desires.</w:t>
      </w:r>
    </w:p>
    <w:p>
      <w:pPr>
        <w:spacing w:after="0" w:line="44" w:lineRule="exact"/>
        <w:rPr>
          <w:sz w:val="20"/>
          <w:szCs w:val="20"/>
          <w:color w:val="auto"/>
        </w:rPr>
      </w:pPr>
    </w:p>
    <w:p>
      <w:pPr>
        <w:ind w:right="2459"/>
        <w:spacing w:after="0" w:line="335" w:lineRule="auto"/>
        <w:rPr>
          <w:sz w:val="20"/>
          <w:szCs w:val="20"/>
          <w:color w:val="auto"/>
        </w:rPr>
      </w:pPr>
      <w:r>
        <w:rPr>
          <w:rFonts w:ascii="Arial" w:cs="Arial" w:eastAsia="Arial" w:hAnsi="Arial"/>
          <w:sz w:val="19"/>
          <w:szCs w:val="19"/>
          <w:b w:val="1"/>
          <w:bCs w:val="1"/>
          <w:color w:val="auto"/>
        </w:rPr>
        <w:t>The Board of Directors unanimously recommends a vote “for” the ratification of the appointment of Jones Simkins, P.C. as our independent public accountants.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 Accountant Fees and Services</w:t>
      </w:r>
    </w:p>
    <w:p>
      <w:pPr>
        <w:spacing w:after="0" w:line="172" w:lineRule="exact"/>
        <w:rPr>
          <w:sz w:val="20"/>
          <w:szCs w:val="20"/>
          <w:color w:val="auto"/>
        </w:rPr>
      </w:pPr>
    </w:p>
    <w:p>
      <w:pPr>
        <w:ind w:right="2199" w:firstLine="648"/>
        <w:spacing w:after="0" w:line="251" w:lineRule="auto"/>
        <w:rPr>
          <w:sz w:val="20"/>
          <w:szCs w:val="20"/>
          <w:color w:val="auto"/>
        </w:rPr>
      </w:pPr>
      <w:r>
        <w:rPr>
          <w:rFonts w:ascii="Arial" w:cs="Arial" w:eastAsia="Arial" w:hAnsi="Arial"/>
          <w:sz w:val="22"/>
          <w:szCs w:val="22"/>
          <w:color w:val="auto"/>
        </w:rPr>
        <w:t>The following table presents aggregate fees billed by the principal accountants to our company:</w:t>
      </w:r>
    </w:p>
    <w:p>
      <w:pPr>
        <w:spacing w:after="0" w:line="135"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jc w:val="right"/>
              <w:ind w:right="291"/>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82"/>
              <w:spacing w:after="0"/>
              <w:rPr>
                <w:sz w:val="20"/>
                <w:szCs w:val="20"/>
                <w:color w:val="auto"/>
              </w:rPr>
            </w:pPr>
            <w:r>
              <w:rPr>
                <w:rFonts w:ascii="Arial" w:cs="Arial" w:eastAsia="Arial" w:hAnsi="Arial"/>
                <w:sz w:val="13"/>
                <w:szCs w:val="13"/>
                <w:b w:val="1"/>
                <w:bCs w:val="1"/>
                <w:color w:val="auto"/>
                <w:w w:val="83"/>
              </w:rPr>
              <w:t>Six 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04"/>
              <w:spacing w:after="0"/>
              <w:rPr>
                <w:sz w:val="20"/>
                <w:szCs w:val="20"/>
                <w:color w:val="auto"/>
              </w:rPr>
            </w:pPr>
            <w:r>
              <w:rPr>
                <w:rFonts w:ascii="Arial" w:cs="Arial" w:eastAsia="Arial" w:hAnsi="Arial"/>
                <w:sz w:val="13"/>
                <w:szCs w:val="13"/>
                <w:b w:val="1"/>
                <w:bCs w:val="1"/>
                <w:color w:val="auto"/>
                <w:w w:val="97"/>
              </w:rPr>
              <w:t>Year Ended</w:t>
            </w:r>
          </w:p>
        </w:tc>
      </w:tr>
      <w:tr>
        <w:trPr>
          <w:trHeight w:val="160"/>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w w:val="95"/>
              </w:rPr>
              <w:t>December 31, 2010</w:t>
            </w:r>
          </w:p>
        </w:tc>
        <w:tc>
          <w:tcPr>
            <w:tcW w:w="16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3"/>
                <w:szCs w:val="13"/>
                <w:b w:val="1"/>
                <w:bCs w:val="1"/>
                <w:color w:val="auto"/>
                <w:w w:val="92"/>
              </w:rPr>
              <w:t>December 31, 2009</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w w:val="87"/>
              </w:rPr>
              <w:t>June 30, 2009</w:t>
            </w:r>
          </w:p>
        </w:tc>
      </w:tr>
      <w:tr>
        <w:trPr>
          <w:trHeight w:val="243"/>
        </w:trPr>
        <w:tc>
          <w:tcPr>
            <w:tcW w:w="20" w:type="dxa"/>
            <w:vAlign w:val="bottom"/>
          </w:tcPr>
          <w:p>
            <w:pPr>
              <w:spacing w:after="0"/>
              <w:rPr>
                <w:sz w:val="21"/>
                <w:szCs w:val="21"/>
                <w:color w:val="auto"/>
              </w:rPr>
            </w:pPr>
          </w:p>
        </w:tc>
        <w:tc>
          <w:tcPr>
            <w:tcW w:w="166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7"/>
                <w:szCs w:val="27"/>
                <w:color w:val="auto"/>
                <w:vertAlign w:val="superscript"/>
              </w:rPr>
              <w:t>(1)</w:t>
            </w:r>
          </w:p>
        </w:tc>
        <w:tc>
          <w:tcPr>
            <w:tcW w:w="1280" w:type="dxa"/>
            <w:vAlign w:val="bottom"/>
            <w:shd w:val="clear" w:color="auto" w:fill="CCEEFF"/>
          </w:tcPr>
          <w:p>
            <w:pPr>
              <w:jc w:val="right"/>
              <w:ind w:right="1131"/>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158,192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82,824</w:t>
            </w: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Audit-related Fees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64"/>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166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7"/>
                <w:szCs w:val="27"/>
                <w:color w:val="auto"/>
                <w:vertAlign w:val="superscript"/>
              </w:rPr>
              <w:t>(2)</w:t>
            </w: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42,854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58,582</w:t>
            </w:r>
          </w:p>
        </w:tc>
      </w:tr>
      <w:tr>
        <w:trPr>
          <w:trHeight w:val="223"/>
        </w:trPr>
        <w:tc>
          <w:tcPr>
            <w:tcW w:w="20" w:type="dxa"/>
            <w:vAlign w:val="bottom"/>
          </w:tcPr>
          <w:p>
            <w:pPr>
              <w:spacing w:after="0"/>
              <w:rPr>
                <w:sz w:val="19"/>
                <w:szCs w:val="19"/>
                <w:color w:val="auto"/>
              </w:rPr>
            </w:pPr>
          </w:p>
        </w:tc>
        <w:tc>
          <w:tcPr>
            <w:tcW w:w="1660" w:type="dxa"/>
            <w:vAlign w:val="bottom"/>
          </w:tcPr>
          <w:p>
            <w:pPr>
              <w:spacing w:after="0" w:line="216" w:lineRule="exact"/>
              <w:rPr>
                <w:sz w:val="20"/>
                <w:szCs w:val="20"/>
                <w:color w:val="auto"/>
              </w:rPr>
            </w:pPr>
            <w:r>
              <w:rPr>
                <w:rFonts w:ascii="Arial" w:cs="Arial" w:eastAsia="Arial" w:hAnsi="Arial"/>
                <w:sz w:val="15"/>
                <w:szCs w:val="15"/>
                <w:color w:val="auto"/>
              </w:rPr>
              <w:t xml:space="preserve">All other fees </w:t>
            </w:r>
            <w:r>
              <w:rPr>
                <w:rFonts w:ascii="Arial" w:cs="Arial" w:eastAsia="Arial" w:hAnsi="Arial"/>
                <w:sz w:val="25"/>
                <w:szCs w:val="25"/>
                <w:color w:val="auto"/>
                <w:vertAlign w:val="superscript"/>
              </w:rPr>
              <w:t>(3)</w:t>
            </w:r>
          </w:p>
        </w:tc>
        <w:tc>
          <w:tcPr>
            <w:tcW w:w="1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24,249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5,529</w:t>
            </w:r>
          </w:p>
        </w:tc>
      </w:tr>
      <w:tr>
        <w:trPr>
          <w:trHeight w:val="243"/>
        </w:trPr>
        <w:tc>
          <w:tcPr>
            <w:tcW w:w="20" w:type="dxa"/>
            <w:vAlign w:val="bottom"/>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shd w:val="clear" w:color="auto" w:fill="CCEEFF"/>
          </w:tcPr>
          <w:p>
            <w:pPr>
              <w:jc w:val="right"/>
              <w:ind w:right="1131"/>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225,295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6"/>
                <w:szCs w:val="16"/>
                <w:color w:val="auto"/>
              </w:rPr>
              <w:t>146,935</w:t>
            </w:r>
          </w:p>
        </w:tc>
      </w:tr>
    </w:tbl>
    <w:p>
      <w:pPr>
        <w:spacing w:after="0" w:line="46" w:lineRule="exact"/>
        <w:rPr>
          <w:sz w:val="20"/>
          <w:szCs w:val="20"/>
          <w:color w:val="auto"/>
        </w:rPr>
      </w:pPr>
    </w:p>
    <w:p>
      <w:pPr>
        <w:ind w:left="660" w:right="1939" w:hanging="652"/>
        <w:spacing w:after="0" w:line="274" w:lineRule="auto"/>
        <w:tabs>
          <w:tab w:leader="none" w:pos="633" w:val="left"/>
        </w:tabs>
        <w:numPr>
          <w:ilvl w:val="0"/>
          <w:numId w:val="13"/>
        </w:numPr>
        <w:rPr>
          <w:rFonts w:ascii="Arial" w:cs="Arial" w:eastAsia="Arial" w:hAnsi="Arial"/>
          <w:sz w:val="21"/>
          <w:szCs w:val="21"/>
          <w:color w:val="auto"/>
        </w:rPr>
      </w:pPr>
      <w:r>
        <w:rPr>
          <w:rFonts w:ascii="Arial" w:cs="Arial" w:eastAsia="Arial" w:hAnsi="Arial"/>
          <w:sz w:val="21"/>
          <w:szCs w:val="21"/>
          <w:color w:val="auto"/>
        </w:rPr>
        <w:t>Represents fees billed for professional services rendered for the audit and reviews of our financial statements filed with the SEC on Forms 10-K and 10-Q.</w:t>
      </w:r>
    </w:p>
    <w:p>
      <w:pPr>
        <w:spacing w:after="0" w:line="29" w:lineRule="exact"/>
        <w:rPr>
          <w:rFonts w:ascii="Arial" w:cs="Arial" w:eastAsia="Arial" w:hAnsi="Arial"/>
          <w:sz w:val="21"/>
          <w:szCs w:val="21"/>
          <w:color w:val="auto"/>
        </w:rPr>
      </w:pPr>
    </w:p>
    <w:p>
      <w:pPr>
        <w:ind w:left="620" w:hanging="612"/>
        <w:spacing w:after="0"/>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Represents fees billed for tax filing, preparation, and tax advisory services.</w:t>
      </w:r>
    </w:p>
    <w:p>
      <w:pPr>
        <w:spacing w:after="0" w:line="84" w:lineRule="exact"/>
        <w:rPr>
          <w:rFonts w:ascii="Arial" w:cs="Arial" w:eastAsia="Arial" w:hAnsi="Arial"/>
          <w:sz w:val="22"/>
          <w:szCs w:val="22"/>
          <w:color w:val="auto"/>
        </w:rPr>
      </w:pPr>
    </w:p>
    <w:p>
      <w:pPr>
        <w:ind w:left="660" w:right="2219" w:hanging="652"/>
        <w:spacing w:after="0" w:line="251" w:lineRule="auto"/>
        <w:tabs>
          <w:tab w:leader="none" w:pos="633"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Represents fees billed for all other non-audit services, such as consulting on potential acquisitions or dispositions.</w:t>
      </w:r>
    </w:p>
    <w:p>
      <w:pPr>
        <w:sectPr>
          <w:pgSz w:w="11900" w:h="16838" w:orient="portrait"/>
          <w:cols w:equalWidth="0" w:num="1">
            <w:col w:w="10219"/>
          </w:cols>
          <w:pgMar w:left="240" w:top="604" w:right="1440" w:bottom="554" w:gutter="0" w:footer="0" w:header="0"/>
        </w:sectPr>
      </w:pPr>
    </w:p>
    <w:bookmarkStart w:id="26" w:name="page27"/>
    <w:bookmarkEnd w:id="26"/>
    <w:p>
      <w:pPr>
        <w:ind w:left="300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Pre-Approval Policies and Procedures</w:t>
      </w:r>
    </w:p>
    <w:p>
      <w:pPr>
        <w:spacing w:after="0" w:line="91"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2010,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345"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DEADLINE FOR RECEIPT OF SHAREHOLDER PROPOSALS</w:t>
      </w:r>
    </w:p>
    <w:p>
      <w:pPr>
        <w:spacing w:after="0" w:line="91" w:lineRule="exact"/>
        <w:rPr>
          <w:sz w:val="20"/>
          <w:szCs w:val="20"/>
          <w:color w:val="auto"/>
        </w:rPr>
      </w:pPr>
    </w:p>
    <w:p>
      <w:pPr>
        <w:ind w:right="1859" w:firstLine="648"/>
        <w:spacing w:after="0" w:line="252" w:lineRule="auto"/>
        <w:rPr>
          <w:sz w:val="20"/>
          <w:szCs w:val="20"/>
          <w:color w:val="auto"/>
        </w:rPr>
      </w:pPr>
      <w:r>
        <w:rPr>
          <w:rFonts w:ascii="Arial" w:cs="Arial" w:eastAsia="Arial" w:hAnsi="Arial"/>
          <w:sz w:val="21"/>
          <w:szCs w:val="21"/>
          <w:color w:val="auto"/>
        </w:rPr>
        <w:t>Any shareholder that wishes to present any proposal for shareholder action at our Annual Meeting of Shareholders to be held during calendar year 2012 must notify us at our principal executive offices no later than January 10, 2012 in order for the proposal to be included in our proxy statement and form of proxy relating to that meeting.</w:t>
      </w:r>
    </w:p>
    <w:p>
      <w:pPr>
        <w:spacing w:after="0" w:line="39" w:lineRule="exact"/>
        <w:rPr>
          <w:sz w:val="20"/>
          <w:szCs w:val="20"/>
          <w:color w:val="auto"/>
        </w:rPr>
      </w:pPr>
    </w:p>
    <w:p>
      <w:pPr>
        <w:ind w:right="1799" w:firstLine="648"/>
        <w:spacing w:after="0" w:line="235" w:lineRule="auto"/>
        <w:rPr>
          <w:sz w:val="20"/>
          <w:szCs w:val="20"/>
          <w:color w:val="auto"/>
        </w:rPr>
      </w:pPr>
      <w:r>
        <w:rPr>
          <w:rFonts w:ascii="Arial" w:cs="Arial" w:eastAsia="Arial" w:hAnsi="Arial"/>
          <w:sz w:val="22"/>
          <w:szCs w:val="22"/>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2011, except in circumstances where (i) we receive notice of the proposed matter no later than March 25, 2012 and (ii) the proponent complies with the other requirements set forth in Rule 14a-4.</w:t>
      </w:r>
    </w:p>
    <w:p>
      <w:pPr>
        <w:spacing w:after="0" w:line="142"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OTHER MATTERS</w:t>
      </w:r>
    </w:p>
    <w:p>
      <w:pPr>
        <w:spacing w:after="0" w:line="185" w:lineRule="exact"/>
        <w:rPr>
          <w:sz w:val="20"/>
          <w:szCs w:val="20"/>
          <w:color w:val="auto"/>
        </w:rPr>
      </w:pPr>
    </w:p>
    <w:p>
      <w:pPr>
        <w:ind w:right="1799" w:firstLine="648"/>
        <w:spacing w:after="0" w:line="297" w:lineRule="auto"/>
        <w:rPr>
          <w:sz w:val="20"/>
          <w:szCs w:val="20"/>
          <w:color w:val="auto"/>
        </w:rPr>
      </w:pPr>
      <w:r>
        <w:rPr>
          <w:rFonts w:ascii="Arial" w:cs="Arial" w:eastAsia="Arial" w:hAnsi="Arial"/>
          <w:sz w:val="19"/>
          <w:szCs w:val="19"/>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Dated: May 2, 2011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CLEARONE COMMUNICATIONS, INC.</w:t>
      </w:r>
    </w:p>
    <w:p>
      <w:pPr>
        <w:spacing w:after="0" w:line="228" w:lineRule="auto"/>
        <w:rPr>
          <w:sz w:val="20"/>
          <w:szCs w:val="20"/>
          <w:color w:val="auto"/>
        </w:rPr>
      </w:pPr>
      <w:r>
        <w:rPr>
          <w:rFonts w:ascii="Arial" w:cs="Arial" w:eastAsia="Arial" w:hAnsi="Arial"/>
          <w:sz w:val="13"/>
          <w:szCs w:val="13"/>
          <w:b w:val="1"/>
          <w:bCs w:val="1"/>
          <w:i w:val="1"/>
          <w:iCs w:val="1"/>
          <w:color w:val="auto"/>
        </w:rPr>
        <w:t>ATTN: NARSI NARAYANAN</w:t>
      </w:r>
    </w:p>
    <w:p>
      <w:pPr>
        <w:spacing w:after="0" w:line="216" w:lineRule="auto"/>
        <w:rPr>
          <w:sz w:val="20"/>
          <w:szCs w:val="20"/>
          <w:color w:val="auto"/>
        </w:rPr>
      </w:pPr>
      <w:r>
        <w:rPr>
          <w:rFonts w:ascii="Arial" w:cs="Arial" w:eastAsia="Arial" w:hAnsi="Arial"/>
          <w:sz w:val="13"/>
          <w:szCs w:val="13"/>
          <w:b w:val="1"/>
          <w:bCs w:val="1"/>
          <w:i w:val="1"/>
          <w:iCs w:val="1"/>
          <w:color w:val="auto"/>
        </w:rPr>
        <w:t>5225 WILEY POST WAY,</w:t>
      </w:r>
    </w:p>
    <w:p>
      <w:pPr>
        <w:spacing w:after="0" w:line="217" w:lineRule="auto"/>
        <w:rPr>
          <w:sz w:val="20"/>
          <w:szCs w:val="20"/>
          <w:color w:val="auto"/>
        </w:rPr>
      </w:pPr>
      <w:r>
        <w:rPr>
          <w:rFonts w:ascii="Arial" w:cs="Arial" w:eastAsia="Arial" w:hAnsi="Arial"/>
          <w:sz w:val="13"/>
          <w:szCs w:val="13"/>
          <w:b w:val="1"/>
          <w:bCs w:val="1"/>
          <w:i w:val="1"/>
          <w:iCs w:val="1"/>
          <w:color w:val="auto"/>
        </w:rPr>
        <w:t>SUITE 500</w:t>
      </w:r>
    </w:p>
    <w:p>
      <w:pPr>
        <w:spacing w:after="0"/>
        <w:rPr>
          <w:sz w:val="20"/>
          <w:szCs w:val="20"/>
          <w:color w:val="auto"/>
        </w:rPr>
      </w:pPr>
      <w:r>
        <w:rPr>
          <w:rFonts w:ascii="Arial" w:cs="Arial" w:eastAsia="Arial" w:hAnsi="Arial"/>
          <w:sz w:val="13"/>
          <w:szCs w:val="13"/>
          <w:b w:val="1"/>
          <w:bCs w:val="1"/>
          <w:i w:val="1"/>
          <w:iCs w:val="1"/>
          <w:color w:val="auto"/>
        </w:rPr>
        <w:t>SALT LAKE CITY, UTAH 84116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 – www.proxyvote.com</w:t>
      </w:r>
    </w:p>
    <w:p>
      <w:pPr>
        <w:spacing w:after="0" w:line="2" w:lineRule="exact"/>
        <w:rPr>
          <w:sz w:val="20"/>
          <w:szCs w:val="20"/>
          <w:color w:val="auto"/>
        </w:rPr>
      </w:pPr>
    </w:p>
    <w:p>
      <w:pPr>
        <w:ind w:right="1719"/>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ind w:right="1719"/>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1659"/>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ind w:right="1799"/>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2620" w:space="720"/>
            <w:col w:w="6879"/>
          </w:cols>
          <w:pgMar w:left="240" w:top="1184" w:right="1440"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tbl>
      <w:tblPr>
        <w:tblLayout w:type="fixed"/>
        <w:tblInd w:w="0" w:type="dxa"/>
        <w:tblCellMar>
          <w:top w:w="0" w:type="dxa"/>
          <w:left w:w="0" w:type="dxa"/>
          <w:bottom w:w="0" w:type="dxa"/>
          <w:right w:w="0" w:type="dxa"/>
        </w:tblCellMar>
      </w:tblPr>
      <w:tr>
        <w:trPr>
          <w:trHeight w:val="107"/>
        </w:trPr>
        <w:tc>
          <w:tcPr>
            <w:tcW w:w="5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80" w:type="dxa"/>
            <w:vAlign w:val="bottom"/>
          </w:tcPr>
          <w:p>
            <w:pPr>
              <w:jc w:val="right"/>
              <w:ind w:right="586"/>
              <w:spacing w:after="0"/>
              <w:rPr>
                <w:sz w:val="20"/>
                <w:szCs w:val="20"/>
                <w:color w:val="auto"/>
              </w:rPr>
            </w:pPr>
            <w:r>
              <w:rPr>
                <w:rFonts w:ascii="Arial" w:cs="Arial" w:eastAsia="Arial" w:hAnsi="Arial"/>
                <w:sz w:val="9"/>
                <w:szCs w:val="9"/>
                <w:color w:val="auto"/>
              </w:rPr>
              <w:t>KEEP THIS PORTION FOR YOUR RECORDS</w:t>
            </w:r>
          </w:p>
        </w:tc>
        <w:tc>
          <w:tcPr>
            <w:tcW w:w="0" w:type="dxa"/>
            <w:vAlign w:val="bottom"/>
          </w:tcPr>
          <w:p>
            <w:pPr>
              <w:spacing w:after="0"/>
              <w:rPr>
                <w:sz w:val="1"/>
                <w:szCs w:val="1"/>
                <w:color w:val="auto"/>
              </w:rPr>
            </w:pPr>
          </w:p>
        </w:tc>
      </w:tr>
      <w:tr>
        <w:trPr>
          <w:trHeight w:val="623"/>
        </w:trPr>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jc w:val="right"/>
              <w:ind w:right="586"/>
              <w:spacing w:after="0"/>
              <w:rPr>
                <w:sz w:val="20"/>
                <w:szCs w:val="20"/>
                <w:color w:val="auto"/>
              </w:rPr>
            </w:pPr>
            <w:r>
              <w:rPr>
                <w:rFonts w:ascii="Arial" w:cs="Arial" w:eastAsia="Arial" w:hAnsi="Arial"/>
                <w:sz w:val="9"/>
                <w:szCs w:val="9"/>
                <w:color w:val="auto"/>
              </w:rPr>
              <w:t>DETACH AND RETURN THIS PORTION ONLY</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8540" w:type="dxa"/>
            <w:vAlign w:val="bottom"/>
            <w:gridSpan w:val="4"/>
          </w:tcPr>
          <w:p>
            <w:pPr>
              <w:ind w:left="15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0" w:type="dxa"/>
            <w:vAlign w:val="bottom"/>
          </w:tcPr>
          <w:p>
            <w:pPr>
              <w:spacing w:after="0"/>
              <w:rPr>
                <w:sz w:val="1"/>
                <w:szCs w:val="1"/>
                <w:color w:val="auto"/>
              </w:rPr>
            </w:pPr>
          </w:p>
        </w:tc>
      </w:tr>
      <w:tr>
        <w:trPr>
          <w:trHeight w:val="233"/>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that you vote FOR   For All</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Withhold All</w:t>
            </w:r>
          </w:p>
        </w:tc>
        <w:tc>
          <w:tcPr>
            <w:tcW w:w="680" w:type="dxa"/>
            <w:vAlign w:val="bottom"/>
          </w:tcPr>
          <w:p>
            <w:pPr>
              <w:jc w:val="center"/>
              <w:ind w:right="24"/>
              <w:spacing w:after="0"/>
              <w:rPr>
                <w:sz w:val="20"/>
                <w:szCs w:val="20"/>
                <w:color w:val="auto"/>
              </w:rPr>
            </w:pPr>
            <w:r>
              <w:rPr>
                <w:rFonts w:ascii="Arial" w:cs="Arial" w:eastAsia="Arial" w:hAnsi="Arial"/>
                <w:sz w:val="13"/>
                <w:szCs w:val="13"/>
                <w:b w:val="1"/>
                <w:bCs w:val="1"/>
                <w:color w:val="auto"/>
                <w:w w:val="97"/>
              </w:rPr>
              <w:t>For All</w:t>
            </w:r>
          </w:p>
        </w:tc>
        <w:tc>
          <w:tcPr>
            <w:tcW w:w="3480" w:type="dxa"/>
            <w:vAlign w:val="bottom"/>
          </w:tcPr>
          <w:p>
            <w:pPr>
              <w:ind w:left="80"/>
              <w:spacing w:after="0"/>
              <w:rPr>
                <w:sz w:val="20"/>
                <w:szCs w:val="20"/>
                <w:color w:val="auto"/>
              </w:rPr>
            </w:pPr>
            <w:r>
              <w:rPr>
                <w:rFonts w:ascii="Arial" w:cs="Arial" w:eastAsia="Arial" w:hAnsi="Arial"/>
                <w:sz w:val="13"/>
                <w:szCs w:val="13"/>
                <w:color w:val="auto"/>
              </w:rPr>
              <w:t>To withhold authority to vote for any individual nominee(s)</w:t>
            </w:r>
          </w:p>
        </w:tc>
        <w:tc>
          <w:tcPr>
            <w:tcW w:w="0" w:type="dxa"/>
            <w:vAlign w:val="bottom"/>
          </w:tcPr>
          <w:p>
            <w:pPr>
              <w:spacing w:after="0"/>
              <w:rPr>
                <w:sz w:val="1"/>
                <w:szCs w:val="1"/>
                <w:color w:val="auto"/>
              </w:rPr>
            </w:pPr>
          </w:p>
        </w:tc>
      </w:tr>
      <w:tr>
        <w:trPr>
          <w:trHeight w:val="151"/>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the following:</w:t>
            </w:r>
          </w:p>
        </w:tc>
        <w:tc>
          <w:tcPr>
            <w:tcW w:w="920" w:type="dxa"/>
            <w:vAlign w:val="bottom"/>
          </w:tcPr>
          <w:p>
            <w:pPr>
              <w:spacing w:after="0"/>
              <w:rPr>
                <w:sz w:val="13"/>
                <w:szCs w:val="13"/>
                <w:color w:val="auto"/>
              </w:rPr>
            </w:pPr>
          </w:p>
        </w:tc>
        <w:tc>
          <w:tcPr>
            <w:tcW w:w="4160" w:type="dxa"/>
            <w:vAlign w:val="bottom"/>
            <w:gridSpan w:val="2"/>
          </w:tcPr>
          <w:p>
            <w:pPr>
              <w:jc w:val="right"/>
              <w:ind w:right="466"/>
              <w:spacing w:after="0"/>
              <w:rPr>
                <w:sz w:val="20"/>
                <w:szCs w:val="20"/>
                <w:color w:val="auto"/>
              </w:rPr>
            </w:pPr>
            <w:r>
              <w:rPr>
                <w:rFonts w:ascii="Arial" w:cs="Arial" w:eastAsia="Arial" w:hAnsi="Arial"/>
                <w:sz w:val="13"/>
                <w:szCs w:val="13"/>
                <w:b w:val="1"/>
                <w:bCs w:val="1"/>
                <w:color w:val="auto"/>
                <w:w w:val="97"/>
              </w:rPr>
              <w:t>Except</w:t>
            </w:r>
            <w:r>
              <w:rPr>
                <w:rFonts w:ascii="Arial" w:cs="Arial" w:eastAsia="Arial" w:hAnsi="Arial"/>
                <w:sz w:val="13"/>
                <w:szCs w:val="13"/>
                <w:color w:val="auto"/>
                <w:w w:val="97"/>
              </w:rPr>
              <w:t>mark “For all except” and write the number(s) of the</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3460" w:type="dxa"/>
            <w:vAlign w:val="bottom"/>
            <w:vMerge w:val="restart"/>
          </w:tcPr>
          <w:p>
            <w:pPr>
              <w:ind w:left="3140"/>
              <w:spacing w:after="0"/>
              <w:rPr>
                <w:sz w:val="20"/>
                <w:szCs w:val="20"/>
                <w:color w:val="auto"/>
              </w:rPr>
            </w:pPr>
            <w:r>
              <w:rPr>
                <w:rFonts w:ascii="Arial" w:cs="Arial" w:eastAsia="Arial" w:hAnsi="Arial"/>
                <w:sz w:val="18"/>
                <w:szCs w:val="18"/>
                <w:color w:val="auto"/>
              </w:rPr>
              <w:t>o</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79"/>
              </w:rPr>
              <w:t>o</w:t>
            </w:r>
          </w:p>
        </w:tc>
        <w:tc>
          <w:tcPr>
            <w:tcW w:w="680" w:type="dxa"/>
            <w:vAlign w:val="bottom"/>
            <w:vMerge w:val="restart"/>
          </w:tcPr>
          <w:p>
            <w:pPr>
              <w:jc w:val="center"/>
              <w:ind w:right="4"/>
              <w:spacing w:after="0"/>
              <w:rPr>
                <w:sz w:val="20"/>
                <w:szCs w:val="20"/>
                <w:color w:val="auto"/>
              </w:rPr>
            </w:pPr>
            <w:r>
              <w:rPr>
                <w:rFonts w:ascii="Arial" w:cs="Arial" w:eastAsia="Arial" w:hAnsi="Arial"/>
                <w:sz w:val="18"/>
                <w:szCs w:val="18"/>
                <w:color w:val="auto"/>
                <w:w w:val="99"/>
              </w:rPr>
              <w:t>o</w:t>
            </w:r>
          </w:p>
        </w:tc>
        <w:tc>
          <w:tcPr>
            <w:tcW w:w="3480" w:type="dxa"/>
            <w:vAlign w:val="bottom"/>
          </w:tcPr>
          <w:p>
            <w:pPr>
              <w:ind w:left="80"/>
              <w:spacing w:after="0"/>
              <w:rPr>
                <w:sz w:val="20"/>
                <w:szCs w:val="20"/>
                <w:color w:val="auto"/>
              </w:rPr>
            </w:pPr>
            <w:r>
              <w:rPr>
                <w:rFonts w:ascii="Arial" w:cs="Arial" w:eastAsia="Arial" w:hAnsi="Arial"/>
                <w:sz w:val="13"/>
                <w:szCs w:val="13"/>
                <w:color w:val="auto"/>
              </w:rPr>
              <w:t>nominee(s) on the line below:</w:t>
            </w: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400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340"/>
              <w:spacing w:after="0"/>
              <w:rPr>
                <w:sz w:val="20"/>
                <w:szCs w:val="20"/>
                <w:color w:val="auto"/>
              </w:rPr>
            </w:pPr>
            <w:r>
              <w:rPr>
                <w:rFonts w:ascii="Arial" w:cs="Arial" w:eastAsia="Arial" w:hAnsi="Arial"/>
                <w:sz w:val="13"/>
                <w:szCs w:val="13"/>
                <w:b w:val="1"/>
                <w:bCs w:val="1"/>
                <w:color w:val="auto"/>
              </w:rPr>
              <w:t>Nominees:</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340"/>
              <w:spacing w:after="0"/>
              <w:rPr>
                <w:sz w:val="20"/>
                <w:szCs w:val="20"/>
                <w:color w:val="auto"/>
              </w:rPr>
            </w:pPr>
            <w:r>
              <w:rPr>
                <w:rFonts w:ascii="Arial" w:cs="Arial" w:eastAsia="Arial" w:hAnsi="Arial"/>
                <w:sz w:val="13"/>
                <w:szCs w:val="13"/>
                <w:color w:val="auto"/>
              </w:rPr>
              <w:t>01 ) Brad R. Baldwin</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ind w:left="340"/>
              <w:spacing w:after="0"/>
              <w:rPr>
                <w:sz w:val="20"/>
                <w:szCs w:val="20"/>
                <w:color w:val="auto"/>
              </w:rPr>
            </w:pPr>
            <w:r>
              <w:rPr>
                <w:rFonts w:ascii="Arial" w:cs="Arial" w:eastAsia="Arial" w:hAnsi="Arial"/>
                <w:sz w:val="13"/>
                <w:szCs w:val="13"/>
                <w:color w:val="auto"/>
                <w:w w:val="95"/>
              </w:rPr>
              <w:t>02)</w:t>
            </w:r>
          </w:p>
        </w:tc>
        <w:tc>
          <w:tcPr>
            <w:tcW w:w="3460" w:type="dxa"/>
            <w:vAlign w:val="bottom"/>
          </w:tcPr>
          <w:p>
            <w:pPr>
              <w:ind w:left="40"/>
              <w:spacing w:after="0"/>
              <w:rPr>
                <w:sz w:val="20"/>
                <w:szCs w:val="20"/>
                <w:color w:val="auto"/>
              </w:rPr>
            </w:pPr>
            <w:r>
              <w:rPr>
                <w:rFonts w:ascii="Arial" w:cs="Arial" w:eastAsia="Arial" w:hAnsi="Arial"/>
                <w:sz w:val="13"/>
                <w:szCs w:val="13"/>
                <w:color w:val="auto"/>
              </w:rPr>
              <w:t>Zeynep “Zee” Hakimoglu</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ind w:left="340"/>
              <w:spacing w:after="0"/>
              <w:rPr>
                <w:sz w:val="20"/>
                <w:szCs w:val="20"/>
                <w:color w:val="auto"/>
              </w:rPr>
            </w:pPr>
            <w:r>
              <w:rPr>
                <w:rFonts w:ascii="Arial" w:cs="Arial" w:eastAsia="Arial" w:hAnsi="Arial"/>
                <w:sz w:val="13"/>
                <w:szCs w:val="13"/>
                <w:color w:val="auto"/>
                <w:w w:val="95"/>
              </w:rPr>
              <w:t>03)</w:t>
            </w:r>
          </w:p>
        </w:tc>
        <w:tc>
          <w:tcPr>
            <w:tcW w:w="3460" w:type="dxa"/>
            <w:vAlign w:val="bottom"/>
          </w:tcPr>
          <w:p>
            <w:pPr>
              <w:ind w:left="40"/>
              <w:spacing w:after="0"/>
              <w:rPr>
                <w:sz w:val="20"/>
                <w:szCs w:val="20"/>
                <w:color w:val="auto"/>
              </w:rPr>
            </w:pPr>
            <w:r>
              <w:rPr>
                <w:rFonts w:ascii="Arial" w:cs="Arial" w:eastAsia="Arial" w:hAnsi="Arial"/>
                <w:sz w:val="13"/>
                <w:szCs w:val="13"/>
                <w:color w:val="auto"/>
              </w:rPr>
              <w:t>Larry R. Hendricks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ind w:left="340"/>
              <w:spacing w:after="0"/>
              <w:rPr>
                <w:sz w:val="20"/>
                <w:szCs w:val="20"/>
                <w:color w:val="auto"/>
              </w:rPr>
            </w:pPr>
            <w:r>
              <w:rPr>
                <w:rFonts w:ascii="Arial" w:cs="Arial" w:eastAsia="Arial" w:hAnsi="Arial"/>
                <w:sz w:val="13"/>
                <w:szCs w:val="13"/>
                <w:color w:val="auto"/>
                <w:w w:val="95"/>
              </w:rPr>
              <w:t>04)</w:t>
            </w:r>
          </w:p>
        </w:tc>
        <w:tc>
          <w:tcPr>
            <w:tcW w:w="3460" w:type="dxa"/>
            <w:vAlign w:val="bottom"/>
          </w:tcPr>
          <w:p>
            <w:pPr>
              <w:ind w:left="40"/>
              <w:spacing w:after="0"/>
              <w:rPr>
                <w:sz w:val="20"/>
                <w:szCs w:val="20"/>
                <w:color w:val="auto"/>
              </w:rPr>
            </w:pPr>
            <w:r>
              <w:rPr>
                <w:rFonts w:ascii="Arial" w:cs="Arial" w:eastAsia="Arial" w:hAnsi="Arial"/>
                <w:sz w:val="13"/>
                <w:szCs w:val="13"/>
                <w:color w:val="auto"/>
              </w:rPr>
              <w:t>Scott M. Huntsman</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ind w:left="340"/>
              <w:spacing w:after="0"/>
              <w:rPr>
                <w:sz w:val="20"/>
                <w:szCs w:val="20"/>
                <w:color w:val="auto"/>
              </w:rPr>
            </w:pPr>
            <w:r>
              <w:rPr>
                <w:rFonts w:ascii="Arial" w:cs="Arial" w:eastAsia="Arial" w:hAnsi="Arial"/>
                <w:sz w:val="13"/>
                <w:szCs w:val="13"/>
                <w:color w:val="auto"/>
                <w:w w:val="95"/>
              </w:rPr>
              <w:t>05)</w:t>
            </w:r>
          </w:p>
        </w:tc>
        <w:tc>
          <w:tcPr>
            <w:tcW w:w="3460" w:type="dxa"/>
            <w:vAlign w:val="bottom"/>
          </w:tcPr>
          <w:p>
            <w:pPr>
              <w:ind w:left="40"/>
              <w:spacing w:after="0"/>
              <w:rPr>
                <w:sz w:val="20"/>
                <w:szCs w:val="20"/>
                <w:color w:val="auto"/>
              </w:rPr>
            </w:pPr>
            <w:r>
              <w:rPr>
                <w:rFonts w:ascii="Arial" w:cs="Arial" w:eastAsia="Arial" w:hAnsi="Arial"/>
                <w:sz w:val="13"/>
                <w:szCs w:val="13"/>
                <w:color w:val="auto"/>
              </w:rPr>
              <w:t>E. Bryan Bagley</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-1618615</wp:posOffset>
            </wp:positionV>
            <wp:extent cx="5351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8255"/>
                    </a:xfrm>
                    <a:prstGeom prst="rect">
                      <a:avLst/>
                    </a:prstGeom>
                    <a:noFill/>
                  </pic:spPr>
                </pic:pic>
              </a:graphicData>
            </a:graphic>
          </wp:anchor>
        </w:drawing>
      </w:r>
    </w:p>
    <w:p>
      <w:pPr>
        <w:spacing w:after="0" w:line="244" w:lineRule="exact"/>
        <w:rPr>
          <w:sz w:val="20"/>
          <w:szCs w:val="20"/>
          <w:color w:val="auto"/>
        </w:rPr>
      </w:pPr>
    </w:p>
    <w:p>
      <w:pPr>
        <w:ind w:left="6600"/>
        <w:spacing w:after="0"/>
        <w:tabs>
          <w:tab w:leader="none" w:pos="7160" w:val="left"/>
          <w:tab w:leader="none" w:pos="788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tabs>
          <w:tab w:leader="none" w:pos="280" w:val="left"/>
          <w:tab w:leader="none" w:pos="6640" w:val="left"/>
          <w:tab w:leader="none" w:pos="7360" w:val="left"/>
          <w:tab w:leader="none" w:pos="8060" w:val="left"/>
        </w:tabs>
        <w:rPr>
          <w:sz w:val="20"/>
          <w:szCs w:val="20"/>
          <w:color w:val="auto"/>
        </w:rPr>
      </w:pPr>
      <w:r>
        <w:rPr>
          <w:rFonts w:ascii="Arial" w:cs="Arial" w:eastAsia="Arial" w:hAnsi="Arial"/>
          <w:sz w:val="13"/>
          <w:szCs w:val="13"/>
          <w:color w:val="auto"/>
        </w:rPr>
        <w:t>2.</w:t>
        <w:tab/>
        <w:t>Ratify the appointment of Jones Simkins, PC as the Company’s independent public accountants for 2011</w:t>
      </w:r>
      <w:r>
        <w:rPr>
          <w:sz w:val="20"/>
          <w:szCs w:val="20"/>
          <w:color w:val="auto"/>
        </w:rPr>
        <w:tab/>
      </w:r>
      <w:r>
        <w:rPr>
          <w:rFonts w:ascii="Arial" w:cs="Arial" w:eastAsia="Arial" w:hAnsi="Arial"/>
          <w:sz w:val="35"/>
          <w:szCs w:val="35"/>
          <w:color w:val="auto"/>
          <w:vertAlign w:val="subscript"/>
        </w:rPr>
        <w:t>o</w:t>
      </w:r>
      <w:r>
        <w:rPr>
          <w:sz w:val="20"/>
          <w:szCs w:val="20"/>
          <w:color w:val="auto"/>
        </w:rPr>
        <w:tab/>
      </w:r>
      <w:r>
        <w:rPr>
          <w:rFonts w:ascii="Arial" w:cs="Arial" w:eastAsia="Arial" w:hAnsi="Arial"/>
          <w:sz w:val="35"/>
          <w:szCs w:val="35"/>
          <w:color w:val="auto"/>
          <w:vertAlign w:val="subscript"/>
        </w:rPr>
        <w:t>o</w:t>
      </w:r>
      <w:r>
        <w:rPr>
          <w:sz w:val="20"/>
          <w:szCs w:val="20"/>
          <w:color w:val="auto"/>
        </w:rPr>
        <w:tab/>
      </w:r>
      <w:r>
        <w:rPr>
          <w:rFonts w:ascii="Arial" w:cs="Arial" w:eastAsia="Arial" w:hAnsi="Arial"/>
          <w:sz w:val="26"/>
          <w:szCs w:val="26"/>
          <w:color w:val="auto"/>
          <w:vertAlign w:val="subscript"/>
        </w:rPr>
        <w:t>o</w:t>
      </w: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Note: Such other business as may properly come before the Annual Meeting.</w:t>
      </w:r>
    </w:p>
    <w:p>
      <w:pPr>
        <w:spacing w:after="0" w:line="229" w:lineRule="exact"/>
        <w:rPr>
          <w:sz w:val="20"/>
          <w:szCs w:val="20"/>
          <w:color w:val="auto"/>
        </w:rPr>
      </w:pPr>
    </w:p>
    <w:p>
      <w:pPr>
        <w:ind w:right="1959"/>
        <w:spacing w:after="0" w:line="230" w:lineRule="auto"/>
        <w:rPr>
          <w:sz w:val="20"/>
          <w:szCs w:val="20"/>
          <w:color w:val="auto"/>
        </w:rPr>
      </w:pPr>
      <w:r>
        <w:rPr>
          <w:rFonts w:ascii="Arial" w:cs="Arial" w:eastAsia="Arial" w:hAnsi="Arial"/>
          <w:sz w:val="13"/>
          <w:szCs w:val="13"/>
          <w:color w:val="auto"/>
        </w:rPr>
        <w:t>THIS PROXY WILL BE VOTED AS DIRECTED OR, IF NO CONTRARY DIRECTION IS INDICATED, WILL BE VOTED FOR ALL DIRECTORS SET FORTH HEREIN, AND AS SAID PROXIES DEEM ADVISABLE ON SUCH OTHER MATTERS AS MAY COME BEFORE THE MEETING.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600" w:type="dxa"/>
            <w:vAlign w:val="bottom"/>
          </w:tcPr>
          <w:p>
            <w:pPr>
              <w:spacing w:after="0"/>
              <w:rPr>
                <w:sz w:val="20"/>
                <w:szCs w:val="20"/>
                <w:color w:val="auto"/>
              </w:rPr>
            </w:pPr>
            <w:r>
              <w:rPr>
                <w:rFonts w:ascii="Arial" w:cs="Arial" w:eastAsia="Arial" w:hAnsi="Arial"/>
                <w:sz w:val="13"/>
                <w:szCs w:val="13"/>
                <w:color w:val="auto"/>
              </w:rPr>
              <w:t>For address changes and/or comments, please check this box and write them on the back where</w:t>
            </w:r>
          </w:p>
        </w:tc>
        <w:tc>
          <w:tcPr>
            <w:tcW w:w="320" w:type="dxa"/>
            <w:vAlign w:val="bottom"/>
            <w:vMerge w:val="restart"/>
          </w:tcPr>
          <w:p>
            <w:pPr>
              <w:ind w:left="220"/>
              <w:spacing w:after="0"/>
              <w:rPr>
                <w:sz w:val="20"/>
                <w:szCs w:val="20"/>
                <w:color w:val="auto"/>
              </w:rPr>
            </w:pPr>
            <w:r>
              <w:rPr>
                <w:rFonts w:ascii="Arial" w:cs="Arial" w:eastAsia="Arial" w:hAnsi="Arial"/>
                <w:sz w:val="19"/>
                <w:szCs w:val="19"/>
                <w:color w:val="auto"/>
                <w:w w:val="75"/>
              </w:rPr>
              <w:t>o</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20"/>
                <w:szCs w:val="20"/>
                <w:color w:val="auto"/>
              </w:rPr>
            </w:pPr>
            <w:r>
              <w:rPr>
                <w:rFonts w:ascii="Arial" w:cs="Arial" w:eastAsia="Arial" w:hAnsi="Arial"/>
                <w:sz w:val="13"/>
                <w:szCs w:val="13"/>
                <w:color w:val="auto"/>
              </w:rPr>
              <w:t>indicated</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60" w:type="dxa"/>
            <w:vAlign w:val="bottom"/>
          </w:tcPr>
          <w:p>
            <w:pPr>
              <w:spacing w:after="0"/>
              <w:rPr>
                <w:sz w:val="20"/>
                <w:szCs w:val="20"/>
                <w:color w:val="auto"/>
              </w:rPr>
            </w:pPr>
            <w:r>
              <w:rPr>
                <w:rFonts w:ascii="Arial" w:cs="Arial" w:eastAsia="Arial" w:hAnsi="Arial"/>
                <w:sz w:val="13"/>
                <w:szCs w:val="13"/>
                <w:color w:val="auto"/>
              </w:rPr>
              <w:t>Please indicate if you plan to attend this meeting</w:t>
            </w:r>
          </w:p>
        </w:tc>
        <w:tc>
          <w:tcPr>
            <w:tcW w:w="380" w:type="dxa"/>
            <w:vAlign w:val="bottom"/>
            <w:vMerge w:val="restart"/>
          </w:tcPr>
          <w:p>
            <w:pPr>
              <w:ind w:left="260"/>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39"/>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5087620" cy="381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7620" cy="38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160" w:val="left"/>
          <w:tab w:leader="none" w:pos="4560" w:val="left"/>
          <w:tab w:leader="none" w:pos="71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85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85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5351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51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4" w:right="1440" w:bottom="1440" w:gutter="0" w:footer="0" w:header="0"/>
          <w:type w:val="continuous"/>
        </w:sectPr>
      </w:pPr>
    </w:p>
    <w:bookmarkStart w:id="29" w:name="page30"/>
    <w:bookmarkEnd w:id="29"/>
    <w:p>
      <w:pPr>
        <w:jc w:val="center"/>
        <w:ind w:right="1759"/>
        <w:spacing w:after="0"/>
        <w:rPr>
          <w:sz w:val="20"/>
          <w:szCs w:val="20"/>
          <w:color w:val="auto"/>
        </w:rPr>
      </w:pPr>
      <w:r>
        <w:rPr>
          <w:rFonts w:ascii="Arial" w:cs="Arial" w:eastAsia="Arial" w:hAnsi="Arial"/>
          <w:sz w:val="16"/>
          <w:szCs w:val="16"/>
          <w:b w:val="1"/>
          <w:bCs w:val="1"/>
          <w:color w:val="auto"/>
        </w:rPr>
        <w:t>CLEARONE COMMUNICATIONS, INC.</w:t>
      </w:r>
    </w:p>
    <w:p>
      <w:pPr>
        <w:spacing w:after="0" w:line="25" w:lineRule="exact"/>
        <w:rPr>
          <w:sz w:val="20"/>
          <w:szCs w:val="20"/>
          <w:color w:val="auto"/>
        </w:rPr>
      </w:pPr>
    </w:p>
    <w:p>
      <w:pPr>
        <w:jc w:val="center"/>
        <w:ind w:right="1759"/>
        <w:spacing w:after="0"/>
        <w:rPr>
          <w:sz w:val="20"/>
          <w:szCs w:val="20"/>
          <w:color w:val="auto"/>
        </w:rPr>
      </w:pPr>
      <w:r>
        <w:rPr>
          <w:rFonts w:ascii="Arial" w:cs="Arial" w:eastAsia="Arial" w:hAnsi="Arial"/>
          <w:sz w:val="16"/>
          <w:szCs w:val="16"/>
          <w:b w:val="1"/>
          <w:bCs w:val="1"/>
          <w:color w:val="auto"/>
        </w:rPr>
        <w:t>Proxy for Annual Meeting of Shareholders</w:t>
      </w:r>
    </w:p>
    <w:p>
      <w:pPr>
        <w:spacing w:after="0" w:line="5" w:lineRule="exact"/>
        <w:rPr>
          <w:sz w:val="20"/>
          <w:szCs w:val="20"/>
          <w:color w:val="auto"/>
        </w:rPr>
      </w:pPr>
    </w:p>
    <w:p>
      <w:pPr>
        <w:jc w:val="center"/>
        <w:ind w:right="1759"/>
        <w:spacing w:after="0"/>
        <w:rPr>
          <w:sz w:val="20"/>
          <w:szCs w:val="20"/>
          <w:color w:val="auto"/>
        </w:rPr>
      </w:pPr>
      <w:r>
        <w:rPr>
          <w:rFonts w:ascii="Arial" w:cs="Arial" w:eastAsia="Arial" w:hAnsi="Arial"/>
          <w:sz w:val="16"/>
          <w:szCs w:val="16"/>
          <w:b w:val="1"/>
          <w:bCs w:val="1"/>
          <w:color w:val="auto"/>
        </w:rPr>
        <w:t>June 8, 2011</w:t>
      </w:r>
    </w:p>
    <w:p>
      <w:pPr>
        <w:spacing w:after="0" w:line="22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71" w:lineRule="exact"/>
        <w:rPr>
          <w:sz w:val="20"/>
          <w:szCs w:val="20"/>
          <w:color w:val="auto"/>
        </w:rPr>
      </w:pPr>
    </w:p>
    <w:p>
      <w:pPr>
        <w:ind w:right="1779" w:firstLine="648"/>
        <w:spacing w:after="0" w:line="244" w:lineRule="auto"/>
        <w:rPr>
          <w:sz w:val="20"/>
          <w:szCs w:val="20"/>
          <w:color w:val="auto"/>
        </w:rPr>
      </w:pPr>
      <w:r>
        <w:rPr>
          <w:rFonts w:ascii="Arial" w:cs="Arial" w:eastAsia="Arial" w:hAnsi="Arial"/>
          <w:sz w:val="14"/>
          <w:szCs w:val="14"/>
          <w:color w:val="auto"/>
        </w:rPr>
        <w:t>The undersigned shareholder of ClearOne Communications, Inc., a Utah corporation (the “Company”), hereby acknowledges receipt of the Notice of Annual Meeting of Shareholders and Proxy Statement, each dated May, 2, 2011, and hereby appoints Zeynep Hakimoglu and Narsi Narayanan, proxies and attorneys-in-fact, with full power to each of substitution in behalf of and in the name of the undersigned, to represent the undersigned at the Annual Meeting of Shareholders to be held on June 8, 2011,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32" w:lineRule="exact"/>
        <w:rPr>
          <w:sz w:val="20"/>
          <w:szCs w:val="20"/>
          <w:color w:val="auto"/>
        </w:rPr>
      </w:pPr>
    </w:p>
    <w:p>
      <w:pPr>
        <w:ind w:right="2039" w:firstLine="648"/>
        <w:spacing w:after="0" w:line="247"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5424170" cy="41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24170" cy="41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17</w:t>
      </w:r>
    </w:p>
    <w:p>
      <w:pPr>
        <w:sectPr>
          <w:pgSz w:w="11900" w:h="16838" w:orient="portrait"/>
          <w:cols w:equalWidth="0" w:num="1">
            <w:col w:w="10219"/>
          </w:cols>
          <w:pgMar w:left="240" w:top="608" w:right="1440"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o"/>
      <w:numFmt w:val="bullet"/>
      <w:start w:val="1"/>
    </w:lvl>
    <w:lvl w:ilvl="1">
      <w:lvlJc w:val="left"/>
      <w:lvlText w:val="%2)"/>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2019-12-10T09:52:17Z</dcterms:created>
  <dcterms:modified xsi:type="dcterms:W3CDTF">2019-12-10T09:52:17Z</dcterms:modified>
</cp:coreProperties>
</file>