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September 18, 2025 </w:t>
      </w:r>
      <w:r>
        <w:rPr>
          <w:rFonts w:ascii="Times New Roman" w:cs="Times New Roman" w:eastAsia="Times New Roman" w:hAnsi="Times New Roman"/>
          <w:sz w:val="18"/>
          <w:szCs w:val="18"/>
          <w:b w:val="1"/>
          <w:bCs w:val="1"/>
          <w:color w:val="auto"/>
        </w:rPr>
        <w:t>(September 17,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17, 2025, ClearOne, Inc. (the “Company”) entered into a Warrant Repurchase Agreement (the “Agreement”) with Edward Dallin Bagley (“Dal”), pursuant to which the Company repurchased certain outstanding common stock purchase warrants previously issued to Dal. Edward Dallin Bagley, the counterparty to the Agreement, is the Company’s majority stockholder.</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repurchased warrants, issued on September 12, 2021, were exercisable for an aggregate of 18,940 shares of the Company’s common stock, par value $0.001 per share. Under the terms of the Agreement, the Company repurchased the warrants for a cash payment of $0.6504 per share underlying the warrants, representing an aggregate purchase price of $12,319. Upon settlement of the transaction, the warrants were cancelled and are of no further force or effect.</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Exhibit 10.1 to this Current Report on Form 8-K and incorporated herein by reference.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Warrant Repurchase Agreement, dated September 17, 2025, by and between ClearOne, Inc. and Edward Dallin Bagley.</w:t>
            </w:r>
          </w:p>
        </w:tc>
      </w:tr>
      <w:tr>
        <w:trPr>
          <w:trHeight w:val="338"/>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5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2025</w:t>
            </w: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14"/>
        </w:trPr>
        <w:tc>
          <w:tcPr>
            <w:tcW w:w="3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REPURCHASE AGREEMENT</w:t>
      </w:r>
    </w:p>
    <w:p>
      <w:pPr>
        <w:spacing w:after="0" w:line="225"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WARRANT REPURCHASE AGREEMENT</w:t>
      </w:r>
      <w:r>
        <w:rPr>
          <w:rFonts w:ascii="Times New Roman" w:cs="Times New Roman" w:eastAsia="Times New Roman" w:hAnsi="Times New Roman"/>
          <w:sz w:val="18"/>
          <w:szCs w:val="18"/>
          <w:color w:val="auto"/>
        </w:rPr>
        <w:t xml:space="preserve"> (the “Agreement”) is made and entered into as of September 17, 2025 (the “Effective Date”), by and between ClearOne, Inc., a Delaware corporation (the “Company”), and the undersigned holder of the Existing Warrants (as defined below) (the “Holder”).</w:t>
      </w:r>
    </w:p>
    <w:p>
      <w:pPr>
        <w:spacing w:after="0" w:line="1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80" w:firstLine="449"/>
        <w:spacing w:after="0" w:line="312" w:lineRule="auto"/>
        <w:tabs>
          <w:tab w:leader="none" w:pos="795"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 previously acquired those certain Common Stock Warrants currently exercisable into such aggregate number of shares of common stock, par value $0.001 per share, of the Company (the “Common Stock”), as set forth on Schedule A attached hereto (the “Existing Warrants”).</w:t>
      </w:r>
    </w:p>
    <w:p>
      <w:pPr>
        <w:spacing w:after="0" w:line="139" w:lineRule="exact"/>
        <w:rPr>
          <w:rFonts w:ascii="Times New Roman" w:cs="Times New Roman" w:eastAsia="Times New Roman" w:hAnsi="Times New Roman"/>
          <w:sz w:val="17"/>
          <w:szCs w:val="17"/>
          <w:b w:val="1"/>
          <w:bCs w:val="1"/>
          <w:color w:val="auto"/>
        </w:rPr>
      </w:pPr>
    </w:p>
    <w:p>
      <w:pPr>
        <w:ind w:right="380" w:firstLine="449"/>
        <w:spacing w:after="0" w:line="282" w:lineRule="auto"/>
        <w:tabs>
          <w:tab w:leader="none" w:pos="78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to repurchase the Existing Warrants from the Holder at a price of $0.6504 per share of Common Stock underlying the Existing Warrants (the “Purchase Price”).</w:t>
      </w:r>
    </w:p>
    <w:p>
      <w:pPr>
        <w:spacing w:after="0" w:line="161" w:lineRule="exact"/>
        <w:rPr>
          <w:rFonts w:ascii="Times New Roman" w:cs="Times New Roman" w:eastAsia="Times New Roman" w:hAnsi="Times New Roman"/>
          <w:sz w:val="18"/>
          <w:szCs w:val="18"/>
          <w:b w:val="1"/>
          <w:bCs w:val="1"/>
          <w:color w:val="auto"/>
        </w:rPr>
      </w:pPr>
    </w:p>
    <w:p>
      <w:pPr>
        <w:ind w:right="280" w:firstLine="449"/>
        <w:spacing w:after="0" w:line="282" w:lineRule="auto"/>
        <w:tabs>
          <w:tab w:leader="none" w:pos="7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Company and the Holder desire to effectuate such repurchase on the basis and subject to the terms and conditions set forth in this Agreement.</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25" w:lineRule="exact"/>
        <w:rPr>
          <w:sz w:val="20"/>
          <w:szCs w:val="20"/>
          <w:color w:val="auto"/>
        </w:rPr>
      </w:pPr>
    </w:p>
    <w:p>
      <w:pPr>
        <w:ind w:right="80" w:firstLine="449"/>
        <w:spacing w:after="0" w:line="258"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Repurchase of Existing Warrants</w:t>
      </w:r>
      <w:r>
        <w:rPr>
          <w:rFonts w:ascii="Times New Roman" w:cs="Times New Roman" w:eastAsia="Times New Roman" w:hAnsi="Times New Roman"/>
          <w:sz w:val="18"/>
          <w:szCs w:val="18"/>
          <w:color w:val="auto"/>
        </w:rPr>
        <w:t xml:space="preserve">. The Holder hereby conveys, assigns, transfers and surrenders the Existing Warrants to the Company and, in exchange, the Company shall cancel the Existing Warrants and pay the Holder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connection with such repurchase, the Holder hereby relinquishes all rights, title and interest in the Existing Warrants (including any claims the Holder may have against the Company related thereto) and assigns the same to the Company. Simultaneously with the payment to and receipt by the Holder of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Existing Warrants shall be deemed cancelled and of no further force and effect.</w:t>
      </w:r>
    </w:p>
    <w:p>
      <w:pPr>
        <w:spacing w:after="0" w:line="183" w:lineRule="exact"/>
        <w:rPr>
          <w:rFonts w:ascii="Times New Roman" w:cs="Times New Roman" w:eastAsia="Times New Roman" w:hAnsi="Times New Roman"/>
          <w:sz w:val="18"/>
          <w:szCs w:val="18"/>
          <w:b w:val="1"/>
          <w:bCs w:val="1"/>
          <w:color w:val="auto"/>
        </w:rPr>
      </w:pPr>
    </w:p>
    <w:p>
      <w:pPr>
        <w:ind w:right="400" w:firstLine="449"/>
        <w:spacing w:after="0" w:line="266" w:lineRule="auto"/>
        <w:tabs>
          <w:tab w:leader="none" w:pos="7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Manner and Time of Payment of Repurchase Price</w:t>
      </w:r>
      <w:r>
        <w:rPr>
          <w:rFonts w:ascii="Times New Roman" w:cs="Times New Roman" w:eastAsia="Times New Roman" w:hAnsi="Times New Roman"/>
          <w:sz w:val="18"/>
          <w:szCs w:val="18"/>
          <w:color w:val="auto"/>
        </w:rPr>
        <w:t xml:space="preserve">.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paid in U.S. dollars and immediately available funds in accordance with the wire instructions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within two business days of the Effective Date.</w:t>
      </w:r>
    </w:p>
    <w:p>
      <w:pPr>
        <w:spacing w:after="0" w:line="283" w:lineRule="exact"/>
        <w:rPr>
          <w:rFonts w:ascii="Times New Roman" w:cs="Times New Roman" w:eastAsia="Times New Roman" w:hAnsi="Times New Roman"/>
          <w:sz w:val="18"/>
          <w:szCs w:val="18"/>
          <w:b w:val="1"/>
          <w:bCs w:val="1"/>
          <w:color w:val="auto"/>
        </w:rPr>
      </w:pPr>
    </w:p>
    <w:p>
      <w:pPr>
        <w:ind w:left="760" w:hanging="311"/>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Holder.</w:t>
      </w:r>
    </w:p>
    <w:p>
      <w:pPr>
        <w:spacing w:after="0" w:line="117" w:lineRule="exact"/>
        <w:rPr>
          <w:rFonts w:ascii="Times New Roman" w:cs="Times New Roman" w:eastAsia="Times New Roman" w:hAnsi="Times New Roman"/>
          <w:sz w:val="18"/>
          <w:szCs w:val="18"/>
          <w:b w:val="1"/>
          <w:bCs w:val="1"/>
          <w:color w:val="auto"/>
        </w:rPr>
      </w:pPr>
    </w:p>
    <w:p>
      <w:pPr>
        <w:ind w:left="1380" w:hanging="380"/>
        <w:spacing w:after="0"/>
        <w:tabs>
          <w:tab w:leader="none" w:pos="138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duly organized, validly existing and in good standing under the laws of the jurisdiction in which it is organized.</w:t>
      </w:r>
    </w:p>
    <w:p>
      <w:pPr>
        <w:spacing w:after="0" w:line="225" w:lineRule="exact"/>
        <w:rPr>
          <w:rFonts w:ascii="Times New Roman" w:cs="Times New Roman" w:eastAsia="Times New Roman" w:hAnsi="Times New Roman"/>
          <w:sz w:val="18"/>
          <w:szCs w:val="18"/>
          <w:b w:val="1"/>
          <w:bCs w:val="1"/>
          <w:color w:val="auto"/>
        </w:rPr>
      </w:pPr>
    </w:p>
    <w:p>
      <w:pPr>
        <w:ind w:right="160" w:firstLine="1000"/>
        <w:spacing w:after="0" w:line="261" w:lineRule="auto"/>
        <w:tabs>
          <w:tab w:leader="none" w:pos="1391"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all requisite power, authority and capacity to enter into this Agreement and consummate the transactions contemplated hereby. The execution, delivery and performance of this Agreement, and the consummation of the transactions contemplated hereby by the Holder, have been duly authorized by all necessary action on the part of the Holder, and no other proceedings on the part of the Holder are necessary to authorize the execution, delivery or performance of this Agreement or the consummation of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00" w:right="280" w:firstLine="1000"/>
        <w:spacing w:after="0" w:line="266"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been duly executed and delivered by the Holder, and, assuming due execution and delivery by the Company, constitutes or will constitute the legal, valid and binding obligation of the Holder, enforceable against the Holder in accordance with its terms, subject to limitations on enforcement by general principles of equity and by bankruptcy or other laws affecting the enforcement of creditors’ rights generally.</w:t>
      </w:r>
    </w:p>
    <w:p>
      <w:pPr>
        <w:spacing w:after="0" w:line="175" w:lineRule="exact"/>
        <w:rPr>
          <w:rFonts w:ascii="Times New Roman" w:cs="Times New Roman" w:eastAsia="Times New Roman" w:hAnsi="Times New Roman"/>
          <w:sz w:val="18"/>
          <w:szCs w:val="18"/>
          <w:b w:val="1"/>
          <w:bCs w:val="1"/>
          <w:color w:val="auto"/>
        </w:rPr>
      </w:pPr>
    </w:p>
    <w:p>
      <w:pPr>
        <w:ind w:left="-1000" w:firstLine="1000"/>
        <w:spacing w:after="0" w:line="254"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owns and holds, beneficially and of record, the entire right, title, and interest in and to the Existing Warrants free and clear of all Liens (as defined below). The Holder has the full power and authority to transfer and dispose of the Existing Warrants free and clear of any Lien other than restrictions under the Securities Act of 1933, as amended (the “Securities Act”), and applicable state securities laws. Other than the transactions contemplated by this Agreement, there is no outstanding vote, plan, pending proposal, or other right of any person to acquire all or any portion of the Existing Warrants. As used herein, “Liens”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5"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Holder of this Agreement, and the consummation by the Holder of the transactions contemplated hereby, will not (i) result in a violation of the organizational documents of the Holder, (ii) conflict with or result in a breach of or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spacing w:after="0" w:line="188" w:lineRule="exact"/>
        <w:rPr>
          <w:rFonts w:ascii="Times New Roman" w:cs="Times New Roman" w:eastAsia="Times New Roman" w:hAnsi="Times New Roman"/>
          <w:sz w:val="18"/>
          <w:szCs w:val="18"/>
          <w:b w:val="1"/>
          <w:bCs w:val="1"/>
          <w:color w:val="auto"/>
        </w:rPr>
      </w:pPr>
    </w:p>
    <w:p>
      <w:pPr>
        <w:ind w:left="-1000" w:right="180" w:firstLine="1000"/>
        <w:spacing w:after="0" w:line="282" w:lineRule="auto"/>
        <w:tabs>
          <w:tab w:leader="none" w:pos="35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the Company’s majority stockholder and, as such, may be deemed an “affiliate” of the Company (as defined in Rule 144 under the Securities Act) and a “beneficial owner” of more than 10% of the Company’s outstanding Common Stock.</w:t>
      </w:r>
    </w:p>
    <w:p>
      <w:pPr>
        <w:spacing w:after="0" w:line="161" w:lineRule="exact"/>
        <w:rPr>
          <w:rFonts w:ascii="Times New Roman" w:cs="Times New Roman" w:eastAsia="Times New Roman" w:hAnsi="Times New Roman"/>
          <w:sz w:val="18"/>
          <w:szCs w:val="18"/>
          <w:b w:val="1"/>
          <w:bCs w:val="1"/>
          <w:color w:val="auto"/>
        </w:rPr>
      </w:pPr>
    </w:p>
    <w:p>
      <w:pPr>
        <w:ind w:left="-1000" w:right="20" w:firstLine="1000"/>
        <w:spacing w:after="0" w:line="254" w:lineRule="auto"/>
        <w:tabs>
          <w:tab w:leader="none" w:pos="3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been given full and adequate access to information relating to the Company as the Holder has deemed necessary or advisable in connection with the Holder’s evaluation of the repurchase of the Existing Warrants. The Holder has not relied upon any representations or statements made by the Company or its agents, officers, directors, employees or stockholders in regard to this Agreement or the basis thereof. The Holder has had the opportunity to review the Company’s filings with the Securities and Exchange Commission (the “SEC”). The Holder and its advisors, if any, have been afforded the opportunity to ask questions of the Company. The Holder has sought such accounting, legal and tax advice as it has considered necessary to make an informed investment decision with respect to its sale of the Existing Warrants to the Company. The Holder is relying solely on its own accounting, legal and tax advisors, and not on any statements of the Company or any of its agents or representatives, for such accounting, legal and tax advice with respect to its sale of the Existing Warrants to the Company and the transactions contemplated by this Agreement.</w:t>
      </w:r>
    </w:p>
    <w:p>
      <w:pPr>
        <w:spacing w:after="0" w:line="191" w:lineRule="exact"/>
        <w:rPr>
          <w:rFonts w:ascii="Times New Roman" w:cs="Times New Roman" w:eastAsia="Times New Roman" w:hAnsi="Times New Roman"/>
          <w:sz w:val="18"/>
          <w:szCs w:val="18"/>
          <w:b w:val="1"/>
          <w:bCs w:val="1"/>
          <w:color w:val="auto"/>
        </w:rPr>
      </w:pPr>
    </w:p>
    <w:p>
      <w:pPr>
        <w:ind w:left="-1000" w:right="20" w:firstLine="1000"/>
        <w:spacing w:after="0" w:line="258" w:lineRule="auto"/>
        <w:tabs>
          <w:tab w:leader="none" w:pos="3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acknowledges that the terms of the repurchase of the Existing Warrants have been established by negotiation between the Company and the Holder. The Holder acknowledges that the Company has not made any representation to the Holder about the advisability of this decision or the potential future value of any of the Existing Warrants. THE HOLDER ACKNOWLEDGES THAT, BY SELLING THE EXISTING WARRANTS TO THE COMPANY PURSUANT TO THIS AGREEMENT, THE HOLDER WILL NOT BENEFIT FROM ANY FUTURE APPRECIATION IN THE MARKET VALUE OF THE EXISTING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167005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5" w:name="page6"/>
    <w:bookmarkEnd w:id="5"/>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17" w:lineRule="exact"/>
        <w:rPr>
          <w:rFonts w:ascii="Times New Roman" w:cs="Times New Roman" w:eastAsia="Times New Roman" w:hAnsi="Times New Roman"/>
          <w:sz w:val="18"/>
          <w:szCs w:val="18"/>
          <w:b w:val="1"/>
          <w:bCs w:val="1"/>
          <w:color w:val="auto"/>
        </w:rPr>
      </w:pPr>
    </w:p>
    <w:p>
      <w:pPr>
        <w:ind w:left="931" w:hanging="380"/>
        <w:spacing w:after="0"/>
        <w:tabs>
          <w:tab w:leader="none" w:pos="931"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duly incorporated, validly existing and in good standing under the laws of the State of Delaware.</w:t>
      </w:r>
    </w:p>
    <w:p>
      <w:pPr>
        <w:spacing w:after="0" w:line="225" w:lineRule="exact"/>
        <w:rPr>
          <w:rFonts w:ascii="Times New Roman" w:cs="Times New Roman" w:eastAsia="Times New Roman" w:hAnsi="Times New Roman"/>
          <w:sz w:val="18"/>
          <w:szCs w:val="18"/>
          <w:b w:val="1"/>
          <w:bCs w:val="1"/>
          <w:color w:val="auto"/>
        </w:rPr>
      </w:pPr>
    </w:p>
    <w:p>
      <w:pPr>
        <w:ind w:left="-449" w:firstLine="1000"/>
        <w:spacing w:after="0" w:line="258"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all requisite power, authority and capacity to enter into this Agreement and consummate the transactions contemplated hereby. The execution, delivery and performance of this Agreement, and the consummation of the transactions contemplated hereby by the Company, have been duly authorized by all necessary action on the part of the Company and its board of directors (or a duly authorized committee thereof), and no other proceedings on the part of the Company are necessary to authorize the execution, delivery or performance of this Agreement or the consummation of any of the transactions contemplated hereby.</w:t>
      </w:r>
    </w:p>
    <w:p>
      <w:pPr>
        <w:spacing w:after="0" w:line="183" w:lineRule="exact"/>
        <w:rPr>
          <w:rFonts w:ascii="Times New Roman" w:cs="Times New Roman" w:eastAsia="Times New Roman" w:hAnsi="Times New Roman"/>
          <w:sz w:val="18"/>
          <w:szCs w:val="18"/>
          <w:b w:val="1"/>
          <w:bCs w:val="1"/>
          <w:color w:val="auto"/>
        </w:rPr>
      </w:pPr>
    </w:p>
    <w:p>
      <w:pPr>
        <w:ind w:left="-449" w:right="60" w:firstLine="1000"/>
        <w:spacing w:after="0" w:line="289" w:lineRule="auto"/>
        <w:tabs>
          <w:tab w:leader="none" w:pos="922"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has been duly executed and delivered by the Company, and, assuming due execution and delivery by the Holder, constitutes or will constitute the legal, valid and binding obligation of the Company, enforceable against the Company in accordance with its terms, subject to limitations on enforcement by general principles of equity and by bankruptcy or other laws affecting the enforcement of creditors’ rights generally.</w:t>
      </w:r>
    </w:p>
    <w:p>
      <w:pPr>
        <w:spacing w:after="0" w:line="157" w:lineRule="exact"/>
        <w:rPr>
          <w:rFonts w:ascii="Times New Roman" w:cs="Times New Roman" w:eastAsia="Times New Roman" w:hAnsi="Times New Roman"/>
          <w:sz w:val="17"/>
          <w:szCs w:val="17"/>
          <w:b w:val="1"/>
          <w:bCs w:val="1"/>
          <w:color w:val="auto"/>
        </w:rPr>
      </w:pPr>
    </w:p>
    <w:p>
      <w:pPr>
        <w:ind w:left="-449" w:right="60" w:firstLine="1000"/>
        <w:spacing w:after="0" w:line="255"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contemplated hereby, will not (i) result in a violation of the organizational documents of the Company, (ii) conflict with or result in a breach of or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(including federal and state securities laws) applicable to the Company, except in the case of clauses (ii) and (iii) above, for such conflicts, defaults, rights or violations which would not, individually or in the aggregate, reasonably be expected to have a material adverse effect on the ability of the Company to perform its obligations hereunder.</w:t>
      </w:r>
    </w:p>
    <w:p>
      <w:pPr>
        <w:spacing w:after="0" w:line="188" w:lineRule="exact"/>
        <w:rPr>
          <w:rFonts w:ascii="Times New Roman" w:cs="Times New Roman" w:eastAsia="Times New Roman" w:hAnsi="Times New Roman"/>
          <w:sz w:val="18"/>
          <w:szCs w:val="18"/>
          <w:b w:val="1"/>
          <w:bCs w:val="1"/>
          <w:color w:val="auto"/>
        </w:rPr>
      </w:pPr>
    </w:p>
    <w:p>
      <w:pPr>
        <w:ind w:left="-449" w:right="60" w:firstLine="1000"/>
        <w:spacing w:after="0" w:line="256" w:lineRule="auto"/>
        <w:tabs>
          <w:tab w:leader="none" w:pos="92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subsidiary is required to obtain any consent from, authorization or order of, or make any filing or registration with any court, governmental agency or any regulatory or self-regulatory agency or any other person, in order for the Company to execute, deliver or perform any of its respective obligations under or contemplated by this Agreement. All consents, authorizations, orders, filings and registrations which the Company or any subsidiary is required to obtain pursuant to the preceding sentence have been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187" w:lineRule="exact"/>
        <w:rPr>
          <w:rFonts w:ascii="Times New Roman" w:cs="Times New Roman" w:eastAsia="Times New Roman" w:hAnsi="Times New Roman"/>
          <w:sz w:val="18"/>
          <w:szCs w:val="18"/>
          <w:b w:val="1"/>
          <w:bCs w:val="1"/>
          <w:color w:val="auto"/>
        </w:rPr>
      </w:pPr>
    </w:p>
    <w:p>
      <w:pPr>
        <w:ind w:left="-449" w:right="80" w:firstLine="449"/>
        <w:spacing w:after="0" w:line="255" w:lineRule="auto"/>
        <w:tabs>
          <w:tab w:leader="none" w:pos="30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Issuance of Form 8-K</w:t>
      </w:r>
      <w:r>
        <w:rPr>
          <w:rFonts w:ascii="Times New Roman" w:cs="Times New Roman" w:eastAsia="Times New Roman" w:hAnsi="Times New Roman"/>
          <w:sz w:val="18"/>
          <w:szCs w:val="18"/>
          <w:color w:val="auto"/>
        </w:rPr>
        <w:t>. On or before 9:00 a.m. (New York City time) on September 5, 2025, the Company shall file a Current Report on Form 8-K with the SEC disclosing all material terms of the transaction contemplated hereunder (“</w:t>
      </w:r>
      <w:r>
        <w:rPr>
          <w:rFonts w:ascii="Times New Roman" w:cs="Times New Roman" w:eastAsia="Times New Roman" w:hAnsi="Times New Roman"/>
          <w:sz w:val="18"/>
          <w:szCs w:val="18"/>
          <w:u w:val="single" w:color="auto"/>
          <w:color w:val="auto"/>
        </w:rPr>
        <w:t>8-K Filing</w:t>
      </w:r>
      <w:r>
        <w:rPr>
          <w:rFonts w:ascii="Times New Roman" w:cs="Times New Roman" w:eastAsia="Times New Roman" w:hAnsi="Times New Roman"/>
          <w:sz w:val="18"/>
          <w:szCs w:val="18"/>
          <w:color w:val="auto"/>
        </w:rPr>
        <w:t>”). From and after the issuance of the 8-K Filing, the Company represents to the Holder that it shall not be in possession of any material, nonpublic information received from the Company or any of its officers, directors, employees or agents, that is not disclosed in the 8-K Filing. In addition, effective upon the filing of the 8-K Filing, the Company acknowledges and agrees that any and all confidentiality or similar obligations under any agreement, whether written or oral, between the Company or any of its officers, directors, employees or agents, on the one hand, and the Holder or any of its affiliates, on the other hand, related to the transactions contemplated hereby or with respect to information shared in connection herewith shall terminate.</w:t>
      </w:r>
    </w:p>
    <w:p>
      <w:pPr>
        <w:spacing w:after="0" w:line="296" w:lineRule="exact"/>
        <w:rPr>
          <w:rFonts w:ascii="Times New Roman" w:cs="Times New Roman" w:eastAsia="Times New Roman" w:hAnsi="Times New Roman"/>
          <w:sz w:val="18"/>
          <w:szCs w:val="18"/>
          <w:b w:val="1"/>
          <w:bCs w:val="1"/>
          <w:color w:val="auto"/>
        </w:rPr>
      </w:pPr>
    </w:p>
    <w:p>
      <w:pPr>
        <w:ind w:left="311" w:hanging="311"/>
        <w:spacing w:after="0"/>
        <w:tabs>
          <w:tab w:leader="none" w:pos="31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b w:val="1"/>
          <w:bCs w:val="1"/>
          <w:color w:val="auto"/>
        </w:rPr>
      </w:pPr>
    </w:p>
    <w:p>
      <w:pPr>
        <w:ind w:left="-449" w:right="420" w:firstLine="1000"/>
        <w:spacing w:after="0" w:line="282" w:lineRule="auto"/>
        <w:tabs>
          <w:tab w:leader="none" w:pos="93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relating to the subject matter hereof and supersedes all prior agreements and understandings among or between any of the parties relating to the subject matter hereof.</w:t>
      </w:r>
    </w:p>
    <w:p>
      <w:pPr>
        <w:spacing w:after="0" w:line="148" w:lineRule="exact"/>
        <w:rPr>
          <w:rFonts w:ascii="Times New Roman" w:cs="Times New Roman" w:eastAsia="Times New Roman" w:hAnsi="Times New Roman"/>
          <w:sz w:val="18"/>
          <w:szCs w:val="18"/>
          <w:b w:val="1"/>
          <w:bCs w:val="1"/>
          <w:color w:val="auto"/>
        </w:rPr>
      </w:pPr>
    </w:p>
    <w:p>
      <w:pPr>
        <w:ind w:left="-449" w:right="120" w:firstLine="1000"/>
        <w:spacing w:after="0" w:line="282" w:lineRule="auto"/>
        <w:tabs>
          <w:tab w:leader="none" w:pos="942"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The representations and warranties of the parties contained in or made pursuant to this Agreement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161290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1"/>
          </w:cols>
          <w:pgMar w:left="769" w:top="553" w:right="339" w:bottom="1440" w:gutter="0" w:footer="0" w:header="0"/>
        </w:sectPr>
      </w:pPr>
    </w:p>
    <w:bookmarkStart w:id="6" w:name="page7"/>
    <w:bookmarkEnd w:id="6"/>
    <w:p>
      <w:pPr>
        <w:ind w:left="-1000" w:right="160" w:firstLine="1000"/>
        <w:spacing w:after="0" w:line="255"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This Agreement, and any action, arbitration, suit or other legal proceeding arising out of or relating to this Agreement (including the enforcement of any provision of this Agreement), any of the transactions contemplated by this Agreement or the legal relationship of the parties to this Agreement (whether at law or in equity, whether in contract or in tort or otherwise),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 and in respect of the statute of limitations or any other limitations period applicable to any claim, controversy or dispute. Each of the parties hereto irrevocably consents to the exclusive jurisdiction and venue of the Delaware Court of Chancery in connection with any matter based upon or arising out of this Agreement.</w:t>
      </w:r>
    </w:p>
    <w:p>
      <w:pPr>
        <w:spacing w:after="0" w:line="188" w:lineRule="exact"/>
        <w:rPr>
          <w:rFonts w:ascii="Times New Roman" w:cs="Times New Roman" w:eastAsia="Times New Roman" w:hAnsi="Times New Roman"/>
          <w:sz w:val="18"/>
          <w:szCs w:val="18"/>
          <w:b w:val="1"/>
          <w:bCs w:val="1"/>
          <w:color w:val="auto"/>
        </w:rPr>
      </w:pPr>
    </w:p>
    <w:p>
      <w:pPr>
        <w:ind w:left="-1000" w:right="34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altered or supplemented other than by means of a written instrument duly executed and delivered on behalf of the Company and the Holder.</w:t>
      </w:r>
    </w:p>
    <w:p>
      <w:pPr>
        <w:spacing w:after="0" w:line="161" w:lineRule="exact"/>
        <w:rPr>
          <w:rFonts w:ascii="Times New Roman" w:cs="Times New Roman" w:eastAsia="Times New Roman" w:hAnsi="Times New Roman"/>
          <w:sz w:val="18"/>
          <w:szCs w:val="18"/>
          <w:b w:val="1"/>
          <w:bCs w:val="1"/>
          <w:color w:val="auto"/>
        </w:rPr>
      </w:pPr>
    </w:p>
    <w:p>
      <w:pPr>
        <w:ind w:left="-1000" w:firstLine="1000"/>
        <w:spacing w:after="0" w:line="256" w:lineRule="auto"/>
        <w:tabs>
          <w:tab w:leader="none" w:pos="37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87" w:lineRule="exact"/>
        <w:rPr>
          <w:rFonts w:ascii="Times New Roman" w:cs="Times New Roman" w:eastAsia="Times New Roman" w:hAnsi="Times New Roman"/>
          <w:sz w:val="18"/>
          <w:szCs w:val="18"/>
          <w:b w:val="1"/>
          <w:bCs w:val="1"/>
          <w:color w:val="auto"/>
        </w:rPr>
      </w:pPr>
    </w:p>
    <w:p>
      <w:pPr>
        <w:ind w:left="-1000" w:right="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 and Exchanges by Electronic Transmission or Facsimile</w:t>
      </w:r>
      <w:r>
        <w:rPr>
          <w:rFonts w:ascii="Times New Roman" w:cs="Times New Roman" w:eastAsia="Times New Roman" w:hAnsi="Times New Roman"/>
          <w:sz w:val="18"/>
          <w:szCs w:val="18"/>
          <w:color w:val="auto"/>
        </w:rPr>
        <w:t>.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shall be sufficient to bind the parties to the terms of this Agreement.</w:t>
      </w:r>
    </w:p>
    <w:p>
      <w:pPr>
        <w:spacing w:after="0" w:line="175" w:lineRule="exact"/>
        <w:rPr>
          <w:rFonts w:ascii="Times New Roman" w:cs="Times New Roman" w:eastAsia="Times New Roman" w:hAnsi="Times New Roman"/>
          <w:sz w:val="18"/>
          <w:szCs w:val="18"/>
          <w:b w:val="1"/>
          <w:bCs w:val="1"/>
          <w:color w:val="auto"/>
        </w:rPr>
      </w:pPr>
    </w:p>
    <w:p>
      <w:pPr>
        <w:ind w:left="-1000" w:right="320" w:firstLine="1000"/>
        <w:spacing w:after="0" w:line="261" w:lineRule="auto"/>
        <w:tabs>
          <w:tab w:leader="none" w:pos="38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law.</w:t>
      </w:r>
    </w:p>
    <w:p>
      <w:pPr>
        <w:spacing w:after="0" w:line="179" w:lineRule="exact"/>
        <w:rPr>
          <w:rFonts w:ascii="Times New Roman" w:cs="Times New Roman" w:eastAsia="Times New Roman" w:hAnsi="Times New Roman"/>
          <w:sz w:val="18"/>
          <w:szCs w:val="18"/>
          <w:b w:val="1"/>
          <w:bCs w:val="1"/>
          <w:color w:val="auto"/>
        </w:rPr>
      </w:pPr>
    </w:p>
    <w:p>
      <w:pPr>
        <w:ind w:left="-1000" w:right="40" w:firstLine="1000"/>
        <w:spacing w:after="0" w:line="258"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each of the parties hereto and each of their respective heirs, executors, personal representatives, successors and permitted assigns, if any. This Agreement shall inure to the benefit of the Company and the Holder and the respective successors and permitted assigns of the foregoing (if any). Neither party shall be permitted to assign any of such party’s rights or delegate any of such party’s obligations under this Agreement without the other party’s prior written consent. Any attempted assignment or delegation by a party in violation of this Section 6(h) shall be null and void.</w:t>
      </w:r>
    </w:p>
    <w:p>
      <w:pPr>
        <w:spacing w:after="0" w:line="183" w:lineRule="exact"/>
        <w:rPr>
          <w:rFonts w:ascii="Times New Roman" w:cs="Times New Roman" w:eastAsia="Times New Roman" w:hAnsi="Times New Roman"/>
          <w:sz w:val="18"/>
          <w:szCs w:val="18"/>
          <w:b w:val="1"/>
          <w:bCs w:val="1"/>
          <w:color w:val="auto"/>
        </w:rPr>
      </w:pPr>
    </w:p>
    <w:p>
      <w:pPr>
        <w:ind w:left="-1000" w:right="180" w:firstLine="1000"/>
        <w:spacing w:after="0" w:line="282" w:lineRule="auto"/>
        <w:tabs>
          <w:tab w:leader="none" w:pos="34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1" w:lineRule="exact"/>
        <w:rPr>
          <w:rFonts w:ascii="Times New Roman" w:cs="Times New Roman" w:eastAsia="Times New Roman" w:hAnsi="Times New Roman"/>
          <w:sz w:val="18"/>
          <w:szCs w:val="18"/>
          <w:b w:val="1"/>
          <w:bCs w:val="1"/>
          <w:color w:val="auto"/>
        </w:rPr>
      </w:pPr>
    </w:p>
    <w:p>
      <w:pPr>
        <w:ind w:left="-1000" w:right="160" w:firstLine="1000"/>
        <w:spacing w:after="0" w:line="266" w:lineRule="auto"/>
        <w:tabs>
          <w:tab w:leader="none" w:pos="3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Times New Roman" w:cs="Times New Roman" w:eastAsia="Times New Roman" w:hAnsi="Times New Roman"/>
          <w:sz w:val="18"/>
          <w:szCs w:val="18"/>
          <w:b w:val="1"/>
          <w:bCs w:val="1"/>
          <w:color w:val="auto"/>
        </w:rPr>
      </w:pPr>
    </w:p>
    <w:p>
      <w:pPr>
        <w:ind w:left="-1000" w:right="360" w:firstLine="1000"/>
        <w:spacing w:after="0" w:line="282" w:lineRule="auto"/>
        <w:tabs>
          <w:tab w:leader="none" w:pos="3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1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203200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54" w:lineRule="exact"/>
        <w:rPr>
          <w:sz w:val="20"/>
          <w:szCs w:val="20"/>
          <w:color w:val="auto"/>
        </w:rPr>
      </w:pPr>
    </w:p>
    <w:p>
      <w:pPr>
        <w:ind w:left="51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18415</wp:posOffset>
            </wp:positionV>
            <wp:extent cx="3240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Derek Graham</w:t>
      </w:r>
    </w:p>
    <w:p>
      <w:pPr>
        <w:spacing w:after="0" w:line="27"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[Company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EDWARD DALLIN BAGLEY</w:t>
      </w:r>
    </w:p>
    <w:p>
      <w:pPr>
        <w:spacing w:after="0" w:line="256" w:lineRule="exact"/>
        <w:rPr>
          <w:sz w:val="20"/>
          <w:szCs w:val="20"/>
          <w:color w:val="auto"/>
        </w:rPr>
      </w:pPr>
    </w:p>
    <w:p>
      <w:pPr>
        <w:ind w:left="510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17145</wp:posOffset>
            </wp:positionV>
            <wp:extent cx="3240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[Holder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5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ind w:left="1480"/>
              <w:spacing w:after="0" w:line="189"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37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Warrant Shares</w:t>
            </w:r>
          </w:p>
        </w:tc>
        <w:tc>
          <w:tcPr>
            <w:tcW w:w="880" w:type="dxa"/>
            <w:vAlign w:val="bottom"/>
            <w:tcBorders>
              <w:top w:val="single" w:sz="8" w:color="auto"/>
            </w:tcBorders>
          </w:tcPr>
          <w:p>
            <w:pPr>
              <w:spacing w:after="0"/>
              <w:rPr>
                <w:sz w:val="16"/>
                <w:szCs w:val="16"/>
                <w:color w:val="auto"/>
              </w:rPr>
            </w:pPr>
          </w:p>
        </w:tc>
        <w:tc>
          <w:tcPr>
            <w:tcW w:w="2860" w:type="dxa"/>
            <w:vAlign w:val="bottom"/>
            <w:tcBorders>
              <w:top w:val="single" w:sz="8" w:color="auto"/>
              <w:right w:val="single" w:sz="8" w:color="auto"/>
            </w:tcBorders>
            <w:gridSpan w:val="2"/>
          </w:tcPr>
          <w:p>
            <w:pPr>
              <w:jc w:val="center"/>
              <w:ind w:right="8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Aggregate Purchase Price</w:t>
            </w:r>
          </w:p>
        </w:tc>
      </w:tr>
      <w:tr>
        <w:trPr>
          <w:trHeight w:val="21"/>
        </w:trPr>
        <w:tc>
          <w:tcPr>
            <w:tcW w:w="148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760" w:type="dxa"/>
            <w:vAlign w:val="bottom"/>
            <w:tcBorders>
              <w:left w:val="single" w:sz="8" w:color="auto"/>
              <w:bottom w:val="single" w:sz="8" w:color="auto"/>
              <w:right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color w:val="auto"/>
              </w:rPr>
              <w:t>09/12/2021</w:t>
            </w:r>
          </w:p>
        </w:tc>
        <w:tc>
          <w:tcPr>
            <w:tcW w:w="292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18,940</w:t>
            </w:r>
          </w:p>
        </w:tc>
        <w:tc>
          <w:tcPr>
            <w:tcW w:w="8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US$ 12,318.58</w:t>
            </w:r>
          </w:p>
        </w:tc>
      </w:tr>
      <w:tr>
        <w:trPr>
          <w:trHeight w:val="743"/>
        </w:trPr>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decimal"/>
      <w:start w:val="4"/>
    </w:lvl>
    <w:lvl w:ilvl="1">
      <w:lvlJc w:val="left"/>
      <w:lvlText w:val="(%2)"/>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2025-09-18T15:10:45Z</dcterms:created>
  <dcterms:modified xsi:type="dcterms:W3CDTF">2025-09-18T15:10:45Z</dcterms:modified>
</cp:coreProperties>
</file>