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29, 2015</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333-148789</w:t>
      </w:r>
    </w:p>
    <w:p>
      <w:pPr>
        <w:spacing w:after="0" w:line="195"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 w:lineRule="exact"/>
        <w:rPr>
          <w:sz w:val="24"/>
          <w:szCs w:val="24"/>
          <w:color w:val="auto"/>
        </w:rPr>
      </w:pP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1"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5"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16"/>
          <w:szCs w:val="16"/>
          <w:b w:val="1"/>
          <w:bCs w:val="1"/>
          <w:color w:val="auto"/>
        </w:rPr>
        <w:t>REGISTRATION STATEMENT UNDER THE SECURITIES ACT OF 1933</w:t>
      </w: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1"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25"/>
          <w:szCs w:val="25"/>
          <w:b w:val="1"/>
          <w:bCs w:val="1"/>
          <w:color w:val="auto"/>
        </w:rPr>
        <w:t>ClearOne, Inc.</w:t>
      </w:r>
    </w:p>
    <w:p>
      <w:pPr>
        <w:spacing w:after="0" w:line="5" w:lineRule="exact"/>
        <w:rPr>
          <w:sz w:val="24"/>
          <w:szCs w:val="24"/>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ectPr>
          <w:pgSz w:w="11900" w:h="16838" w:orient="portrait"/>
          <w:cols w:equalWidth="0" w:num="1">
            <w:col w:w="11088"/>
          </w:cols>
          <w:pgMar w:left="572" w:top="682" w:right="239" w:bottom="1440" w:gutter="0" w:footer="0" w:header="0"/>
        </w:sectPr>
      </w:pPr>
    </w:p>
    <w:p>
      <w:pPr>
        <w:spacing w:after="0" w:line="154" w:lineRule="exact"/>
        <w:rPr>
          <w:sz w:val="24"/>
          <w:szCs w:val="24"/>
          <w:color w:val="auto"/>
        </w:rPr>
      </w:pPr>
    </w:p>
    <w:p>
      <w:pPr>
        <w:ind w:left="2048"/>
        <w:spacing w:after="0"/>
        <w:rPr>
          <w:sz w:val="20"/>
          <w:szCs w:val="20"/>
          <w:color w:val="auto"/>
        </w:rPr>
      </w:pPr>
      <w:r>
        <w:rPr>
          <w:rFonts w:ascii="Times New Roman" w:cs="Times New Roman" w:eastAsia="Times New Roman" w:hAnsi="Times New Roman"/>
          <w:sz w:val="16"/>
          <w:szCs w:val="16"/>
          <w:b w:val="1"/>
          <w:bCs w:val="1"/>
          <w:color w:val="auto"/>
        </w:rPr>
        <w:t>Utah</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3661</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87-0398877</w:t>
      </w:r>
    </w:p>
    <w:p>
      <w:pPr>
        <w:spacing w:after="0" w:line="75" w:lineRule="exact"/>
        <w:rPr>
          <w:sz w:val="24"/>
          <w:szCs w:val="24"/>
          <w:color w:val="auto"/>
        </w:rPr>
      </w:pPr>
    </w:p>
    <w:p>
      <w:pPr>
        <w:sectPr>
          <w:pgSz w:w="11900" w:h="16838" w:orient="portrait"/>
          <w:cols w:equalWidth="0" w:num="3">
            <w:col w:w="4568" w:space="720"/>
            <w:col w:w="2220" w:space="720"/>
            <w:col w:w="2860"/>
          </w:cols>
          <w:pgMar w:left="572" w:top="682" w:right="239" w:bottom="1440" w:gutter="0" w:footer="0" w:header="0"/>
          <w:type w:val="continuous"/>
        </w:sectPr>
      </w:pPr>
    </w:p>
    <w:p>
      <w:pPr>
        <w:jc w:val="center"/>
        <w:ind w:left="668"/>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26" w:lineRule="exact"/>
        <w:rPr>
          <w:sz w:val="24"/>
          <w:szCs w:val="24"/>
          <w:color w:val="auto"/>
        </w:rPr>
      </w:pPr>
    </w:p>
    <w:p>
      <w:pPr>
        <w:jc w:val="center"/>
        <w:ind w:left="668"/>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6"/>
          <w:szCs w:val="16"/>
          <w:color w:val="auto"/>
        </w:rPr>
        <w:t>(Primary Standard Industrial</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90" w:lineRule="exact"/>
        <w:rPr>
          <w:sz w:val="24"/>
          <w:szCs w:val="24"/>
          <w:color w:val="auto"/>
        </w:rPr>
      </w:pPr>
    </w:p>
    <w:p>
      <w:pPr>
        <w:sectPr>
          <w:pgSz w:w="11900" w:h="16838" w:orient="portrait"/>
          <w:cols w:equalWidth="0" w:num="3">
            <w:col w:w="3768" w:space="720"/>
            <w:col w:w="2800" w:space="720"/>
            <w:col w:w="3080"/>
          </w:cols>
          <w:pgMar w:left="572" w:top="682" w:right="239" w:bottom="1440" w:gutter="0" w:footer="0" w:header="0"/>
          <w:type w:val="continuous"/>
        </w:sectPr>
      </w:pPr>
    </w:p>
    <w:p>
      <w:pPr>
        <w:ind w:left="4308"/>
        <w:spacing w:after="0"/>
        <w:rPr>
          <w:sz w:val="20"/>
          <w:szCs w:val="20"/>
          <w:color w:val="auto"/>
        </w:rPr>
      </w:pPr>
      <w:r>
        <w:rPr>
          <w:rFonts w:ascii="Times New Roman" w:cs="Times New Roman" w:eastAsia="Times New Roman" w:hAnsi="Times New Roman"/>
          <w:sz w:val="16"/>
          <w:szCs w:val="16"/>
          <w:b w:val="1"/>
          <w:bCs w:val="1"/>
          <w:color w:val="auto"/>
        </w:rPr>
        <w:t>5225 Wiley Post Way, Suite 500</w:t>
      </w:r>
    </w:p>
    <w:p>
      <w:pPr>
        <w:spacing w:after="0" w:line="25" w:lineRule="exact"/>
        <w:rPr>
          <w:sz w:val="24"/>
          <w:szCs w:val="24"/>
          <w:color w:val="auto"/>
        </w:rPr>
      </w:pPr>
    </w:p>
    <w:p>
      <w:pPr>
        <w:ind w:left="4448"/>
        <w:spacing w:after="0"/>
        <w:rPr>
          <w:sz w:val="20"/>
          <w:szCs w:val="20"/>
          <w:color w:val="auto"/>
        </w:rPr>
      </w:pPr>
      <w:r>
        <w:rPr>
          <w:rFonts w:ascii="Times New Roman" w:cs="Times New Roman" w:eastAsia="Times New Roman" w:hAnsi="Times New Roman"/>
          <w:sz w:val="16"/>
          <w:szCs w:val="16"/>
          <w:b w:val="1"/>
          <w:bCs w:val="1"/>
          <w:color w:val="auto"/>
        </w:rPr>
        <w:t>Salt Lake City, Utah 84116</w:t>
      </w:r>
    </w:p>
    <w:p>
      <w:pPr>
        <w:spacing w:after="0" w:line="5" w:lineRule="exact"/>
        <w:rPr>
          <w:sz w:val="24"/>
          <w:szCs w:val="24"/>
          <w:color w:val="auto"/>
        </w:rPr>
      </w:pPr>
    </w:p>
    <w:p>
      <w:pPr>
        <w:ind w:left="4868"/>
        <w:spacing w:after="0"/>
        <w:rPr>
          <w:sz w:val="20"/>
          <w:szCs w:val="20"/>
          <w:color w:val="auto"/>
        </w:rPr>
      </w:pPr>
      <w:r>
        <w:rPr>
          <w:rFonts w:ascii="Times New Roman" w:cs="Times New Roman" w:eastAsia="Times New Roman" w:hAnsi="Times New Roman"/>
          <w:sz w:val="16"/>
          <w:szCs w:val="16"/>
          <w:b w:val="1"/>
          <w:bCs w:val="1"/>
          <w:color w:val="auto"/>
        </w:rPr>
        <w:t>(801) 975-7200</w:t>
      </w:r>
    </w:p>
    <w:p>
      <w:pPr>
        <w:spacing w:after="0" w:line="5" w:lineRule="exact"/>
        <w:rPr>
          <w:sz w:val="24"/>
          <w:szCs w:val="24"/>
          <w:color w:val="auto"/>
        </w:rPr>
      </w:pPr>
    </w:p>
    <w:p>
      <w:pPr>
        <w:ind w:left="3668"/>
        <w:spacing w:after="0"/>
        <w:rPr>
          <w:sz w:val="20"/>
          <w:szCs w:val="20"/>
          <w:color w:val="auto"/>
        </w:rPr>
      </w:pPr>
      <w:r>
        <w:rPr>
          <w:rFonts w:ascii="Times New Roman" w:cs="Times New Roman" w:eastAsia="Times New Roman" w:hAnsi="Times New Roman"/>
          <w:sz w:val="16"/>
          <w:szCs w:val="16"/>
          <w:color w:val="auto"/>
        </w:rPr>
        <w:t>(Address, including zip code, and telephone number,</w:t>
      </w:r>
    </w:p>
    <w:p>
      <w:pPr>
        <w:ind w:left="3368"/>
        <w:spacing w:after="0"/>
        <w:rPr>
          <w:sz w:val="20"/>
          <w:szCs w:val="20"/>
          <w:color w:val="auto"/>
        </w:rPr>
      </w:pPr>
      <w:r>
        <w:rPr>
          <w:rFonts w:ascii="Times New Roman" w:cs="Times New Roman" w:eastAsia="Times New Roman" w:hAnsi="Times New Roman"/>
          <w:sz w:val="16"/>
          <w:szCs w:val="16"/>
          <w:color w:val="auto"/>
        </w:rPr>
        <w:t>including area code, of registrant's principal executive offices)</w:t>
      </w: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81"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ClearOne, Inc. Equity Incentive Plan</w:t>
      </w:r>
    </w:p>
    <w:p>
      <w:pPr>
        <w:spacing w:after="0" w:line="25"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(formerly known as 2007 Equity Incentive Plan)</w:t>
      </w:r>
    </w:p>
    <w:p>
      <w:pPr>
        <w:jc w:val="center"/>
        <w:ind w:right="312"/>
        <w:spacing w:after="0"/>
        <w:rPr>
          <w:sz w:val="20"/>
          <w:szCs w:val="20"/>
          <w:color w:val="auto"/>
        </w:rPr>
      </w:pPr>
      <w:r>
        <w:rPr>
          <w:rFonts w:ascii="Times New Roman" w:cs="Times New Roman" w:eastAsia="Times New Roman" w:hAnsi="Times New Roman"/>
          <w:sz w:val="16"/>
          <w:szCs w:val="16"/>
          <w:color w:val="auto"/>
        </w:rPr>
        <w:t>(Full Title of the Plan)</w:t>
      </w: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81"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Zeynep Hakimoglu</w:t>
      </w:r>
    </w:p>
    <w:p>
      <w:pPr>
        <w:spacing w:after="0" w:line="28"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President, CEO and Director</w:t>
      </w:r>
    </w:p>
    <w:p>
      <w:pPr>
        <w:spacing w:after="0" w:line="63" w:lineRule="exact"/>
        <w:rPr>
          <w:sz w:val="24"/>
          <w:szCs w:val="24"/>
          <w:color w:val="auto"/>
        </w:rPr>
      </w:pPr>
    </w:p>
    <w:p>
      <w:pPr>
        <w:ind w:left="4308"/>
        <w:spacing w:after="0"/>
        <w:rPr>
          <w:sz w:val="20"/>
          <w:szCs w:val="20"/>
          <w:color w:val="auto"/>
        </w:rPr>
      </w:pPr>
      <w:r>
        <w:rPr>
          <w:rFonts w:ascii="Times New Roman" w:cs="Times New Roman" w:eastAsia="Times New Roman" w:hAnsi="Times New Roman"/>
          <w:sz w:val="16"/>
          <w:szCs w:val="16"/>
          <w:b w:val="1"/>
          <w:bCs w:val="1"/>
          <w:color w:val="auto"/>
        </w:rPr>
        <w:t>5225 Wiley Post Way, Suite 500</w:t>
      </w:r>
    </w:p>
    <w:p>
      <w:pPr>
        <w:spacing w:after="0" w:line="25" w:lineRule="exact"/>
        <w:rPr>
          <w:sz w:val="24"/>
          <w:szCs w:val="24"/>
          <w:color w:val="auto"/>
        </w:rPr>
      </w:pPr>
    </w:p>
    <w:p>
      <w:pPr>
        <w:ind w:left="4448"/>
        <w:spacing w:after="0"/>
        <w:rPr>
          <w:sz w:val="20"/>
          <w:szCs w:val="20"/>
          <w:color w:val="auto"/>
        </w:rPr>
      </w:pPr>
      <w:r>
        <w:rPr>
          <w:rFonts w:ascii="Times New Roman" w:cs="Times New Roman" w:eastAsia="Times New Roman" w:hAnsi="Times New Roman"/>
          <w:sz w:val="16"/>
          <w:szCs w:val="16"/>
          <w:b w:val="1"/>
          <w:bCs w:val="1"/>
          <w:color w:val="auto"/>
        </w:rPr>
        <w:t>Salt Lake City, Utah 84116</w:t>
      </w:r>
    </w:p>
    <w:p>
      <w:pPr>
        <w:spacing w:after="0" w:line="5" w:lineRule="exact"/>
        <w:rPr>
          <w:sz w:val="24"/>
          <w:szCs w:val="24"/>
          <w:color w:val="auto"/>
        </w:rPr>
      </w:pPr>
    </w:p>
    <w:p>
      <w:pPr>
        <w:ind w:left="4868"/>
        <w:spacing w:after="0"/>
        <w:rPr>
          <w:sz w:val="20"/>
          <w:szCs w:val="20"/>
          <w:color w:val="auto"/>
        </w:rPr>
      </w:pPr>
      <w:r>
        <w:rPr>
          <w:rFonts w:ascii="Times New Roman" w:cs="Times New Roman" w:eastAsia="Times New Roman" w:hAnsi="Times New Roman"/>
          <w:sz w:val="16"/>
          <w:szCs w:val="16"/>
          <w:b w:val="1"/>
          <w:bCs w:val="1"/>
          <w:color w:val="auto"/>
        </w:rPr>
        <w:t>(801) 975-7200</w:t>
      </w:r>
    </w:p>
    <w:p>
      <w:pPr>
        <w:spacing w:after="0" w:line="5" w:lineRule="exact"/>
        <w:rPr>
          <w:sz w:val="24"/>
          <w:szCs w:val="24"/>
          <w:color w:val="auto"/>
        </w:rPr>
      </w:pPr>
    </w:p>
    <w:p>
      <w:pPr>
        <w:ind w:left="3468"/>
        <w:spacing w:after="0"/>
        <w:rPr>
          <w:sz w:val="20"/>
          <w:szCs w:val="20"/>
          <w:color w:val="auto"/>
        </w:rPr>
      </w:pPr>
      <w:r>
        <w:rPr>
          <w:rFonts w:ascii="Times New Roman" w:cs="Times New Roman" w:eastAsia="Times New Roman" w:hAnsi="Times New Roman"/>
          <w:sz w:val="16"/>
          <w:szCs w:val="16"/>
          <w:color w:val="auto"/>
        </w:rPr>
        <w:t>(Name, address, including zip code, and telephone number,</w:t>
      </w:r>
    </w:p>
    <w:p>
      <w:pPr>
        <w:ind w:left="4048"/>
        <w:spacing w:after="0"/>
        <w:rPr>
          <w:sz w:val="20"/>
          <w:szCs w:val="20"/>
          <w:color w:val="auto"/>
        </w:rPr>
      </w:pPr>
      <w:r>
        <w:rPr>
          <w:rFonts w:ascii="Times New Roman" w:cs="Times New Roman" w:eastAsia="Times New Roman" w:hAnsi="Times New Roman"/>
          <w:sz w:val="16"/>
          <w:szCs w:val="16"/>
          <w:color w:val="auto"/>
        </w:rPr>
        <w:t>including area code, of agent for service)</w:t>
      </w: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83"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color w:val="auto"/>
        </w:rPr>
        <w:t>Copy to:</w:t>
      </w:r>
    </w:p>
    <w:p>
      <w:pPr>
        <w:spacing w:after="0" w:line="23"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Mark W. Coffin</w:t>
      </w:r>
    </w:p>
    <w:p>
      <w:pPr>
        <w:spacing w:after="0" w:line="5"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Seyfarth Shaw LLP</w:t>
      </w:r>
    </w:p>
    <w:p>
      <w:pPr>
        <w:spacing w:after="0" w:line="5"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700 Milam Street, Suite 1400</w:t>
      </w:r>
    </w:p>
    <w:p>
      <w:pPr>
        <w:spacing w:after="0" w:line="5"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Houston, Texas 77002</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(713) 225-2300</w:t>
      </w:r>
    </w:p>
    <w:p>
      <w:pPr>
        <w:ind w:left="4228"/>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p>
      <w:pPr>
        <w:spacing w:after="0" w:line="172" w:lineRule="exact"/>
        <w:rPr>
          <w:sz w:val="24"/>
          <w:szCs w:val="24"/>
          <w:color w:val="auto"/>
        </w:rPr>
      </w:pPr>
    </w:p>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ectPr>
          <w:pgSz w:w="11900" w:h="16838" w:orient="portrait"/>
          <w:cols w:equalWidth="0" w:num="1">
            <w:col w:w="11088"/>
          </w:cols>
          <w:pgMar w:left="572" w:top="682" w:right="239" w:bottom="1440" w:gutter="0" w:footer="0" w:header="0"/>
          <w:type w:val="continuous"/>
        </w:sectPr>
      </w:pPr>
    </w:p>
    <w:p>
      <w:pPr>
        <w:spacing w:after="0" w:line="217" w:lineRule="exact"/>
        <w:rPr>
          <w:sz w:val="24"/>
          <w:szCs w:val="24"/>
          <w:color w:val="auto"/>
        </w:rPr>
      </w:pPr>
    </w:p>
    <w:tbl>
      <w:tblPr>
        <w:tblLayout w:type="fixed"/>
        <w:tblInd w:w="608"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260" w:type="dxa"/>
            <w:vAlign w:val="bottom"/>
          </w:tcPr>
          <w:p>
            <w:pPr>
              <w:spacing w:after="0"/>
              <w:rPr>
                <w:sz w:val="14"/>
                <w:szCs w:val="14"/>
                <w:color w:val="auto"/>
              </w:rPr>
            </w:pPr>
          </w:p>
        </w:tc>
      </w:tr>
      <w:tr>
        <w:trPr>
          <w:trHeight w:val="162"/>
        </w:trPr>
        <w:tc>
          <w:tcPr>
            <w:tcW w:w="29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Amount to</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90"/>
        </w:trPr>
        <w:tc>
          <w:tcPr>
            <w:tcW w:w="29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be registered (1)</w:t>
            </w:r>
          </w:p>
        </w:tc>
        <w:tc>
          <w:tcPr>
            <w:tcW w:w="17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(2)</w:t>
            </w:r>
          </w:p>
        </w:tc>
        <w:tc>
          <w:tcPr>
            <w:tcW w:w="12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6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1,000,000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$13.34</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$13,340,000</w:t>
            </w:r>
          </w:p>
        </w:tc>
        <w:tc>
          <w:tcPr>
            <w:tcW w:w="12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$1,550.11</w:t>
            </w:r>
          </w:p>
        </w:tc>
      </w:tr>
    </w:tbl>
    <w:p>
      <w:pPr>
        <w:spacing w:after="0" w:line="14" w:lineRule="exact"/>
        <w:rPr>
          <w:sz w:val="24"/>
          <w:szCs w:val="24"/>
          <w:color w:val="auto"/>
        </w:rPr>
      </w:pPr>
    </w:p>
    <w:p>
      <w:pPr>
        <w:jc w:val="both"/>
        <w:ind w:left="328" w:hanging="328"/>
        <w:spacing w:after="0" w:line="313"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This registration statement covers 1,000,000 additional shares of Common Stock, par value $0.001 per share, of ClearOne, Inc. available for issuance under the ClearOne, Inc. Equity Incentive Plan, which amends and restates the 2007 Equity Incentive Plan. This registration statement also covers such indeterminable additional number of shares as may be issuable under the ClearOne, Inc. Equity Incentive Plan by reason of any adjustments in the number of shares to prevent dilution from any future stock splits, stock dividends and similar transactions. This Registration Statement covers any such additional shares in accordance with Rule 416(a) under the Securities Act of 1933, as amended. Pursuant to General Instruction E of Form S-8, a filing fee is only being paid with respect to the registration of additional securities for the ClearOne, Inc. Equity Incentive Plan. A Registration Statement on Form S-8 has been previously filed on January 22, 2008 (File No. 333-148789) covering 1,000,000 shares of Common Stock that are reserved for issuance pursuant of awards under the ClearOne, Inc. Equity Incentive Plan.</w:t>
      </w:r>
    </w:p>
    <w:p>
      <w:pPr>
        <w:spacing w:after="0" w:line="192" w:lineRule="exact"/>
        <w:rPr>
          <w:rFonts w:ascii="Times New Roman" w:cs="Times New Roman" w:eastAsia="Times New Roman" w:hAnsi="Times New Roman"/>
          <w:sz w:val="18"/>
          <w:szCs w:val="18"/>
          <w:color w:val="auto"/>
        </w:rPr>
      </w:pPr>
    </w:p>
    <w:p>
      <w:pPr>
        <w:ind w:left="328" w:hanging="328"/>
        <w:spacing w:after="0" w:line="294" w:lineRule="auto"/>
        <w:tabs>
          <w:tab w:leader="none" w:pos="3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Estimated solely for the purpose of calculating the registration fee pursuant to Rule 457(c) and Rule 457(h)(1) under the Securities Act of 1933, as amended and based on the average of the high and low sales prices of our common stock reported on the NASDAQ Capital Market on June 26, 2015.</w:t>
      </w:r>
    </w:p>
    <w:p>
      <w:pPr>
        <w:sectPr>
          <w:pgSz w:w="11900" w:h="16838" w:orient="portrait"/>
          <w:cols w:equalWidth="0" w:num="1">
            <w:col w:w="11088"/>
          </w:cols>
          <w:pgMar w:left="572" w:top="682" w:right="2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ClearOne, Inc. (the “Company”) filed a Registration Statement on Form S-8 (File No. 333-148789) with the Securities and Exchange Commission (the “Commission”) on January 22, 2008 to register 1,000,000 shares of its common stock, $0.001 par value per share (the “Common Stock”), for issuance, offer and sale pursuant to awards under the 2007 Equity Incentive Plan (the “2007 Plan”) of the Company (formerly named ClearOne Communications, Inc.). On December 12, 2014, the shareholders of the Company approved the ClearOne, Inc. Equity Incentive Plan (the “Amended and Restated Plan”), which amends and restates the 2007 Plan and increases the amount of Common Stock available for issuance, offer and sale pursuant to awards under the Amended and Restated Plan by an additional 1,000,000 shares.</w:t>
      </w:r>
    </w:p>
    <w:p>
      <w:pPr>
        <w:spacing w:after="0" w:line="18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is filing this Post-Effective Amendment No. 1 to the Registration Statement on Form S-8 (this “Amendment”) to register under the Securities Act of 1933, as amended, an additional 1,000,000 shares for issuance, offer and sale pursuant to awards under the Amended and Restated Plan. Following this Amendment, an aggregate of 2,000,000 shares of Common Stock will be registered under this Registration Statement on Form S-8, as amended.</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This Amendment is filed pursuant to General Instruction E of Form S-8 regarding the registration of additional securities of the same class as other securities for which a registration statement filed on Form S-8 relating to an employee benefit plan is effective. Except for the changes set forth herein, the contents of the Registration Statement on Form S-8 (File No. 333-148789), including each of the documents filed with the Commission, are incorporated by reference herein. In addition, all exhibits required by General Instruction E of Form S-8 are filed as exhibits hereto.</w:t>
      </w:r>
    </w:p>
    <w:p>
      <w:pPr>
        <w:sectPr>
          <w:pgSz w:w="11900" w:h="16838" w:orient="portrait"/>
          <w:cols w:equalWidth="0" w:num="1">
            <w:col w:w="11380"/>
          </w:cols>
          <w:pgMar w:left="240" w:top="576" w:right="2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Company with the Commission are hereby incorporated by reference:</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for the year ended December 31, 2014, as filed on Form 10-K on March 31, 2015, and as amended on April 30, 2015;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period ended March 31, 2015, filed on May 15, 2015;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Annual Report on Form 10-K, as amended, referred to in paragraph (a) above;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$0.001 par value per share, in the Registrant’s Form 8-A, filed with the Commission on August 10, 2007, and any amendment or report filed for the purpose of updating such description.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all reports and other documents subsequently filed by the Company pursuant to Sections 13(a), 13(c), 14, or 15(d) of the Exchange Act prior to the filing of a post-effective amendment which indicates that all securities covered by this Registration Statement have been sold or which deregisters all such securities then remaining unsold shall be deemed to be incorporated by reference herein and to be a part hereof from the date of the filing of such reports and documents.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as being incorporated by reference to another filing of the Company with the Commission, the following exhibits are attached to this Registration Statement: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ClearOne, Inc. Equity Incentive Plan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Amended and Restated Articles of Incorporation of ClearOne, Inc. (incorporated by reference to Exhibit 3.1 of the</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Company’s Form 10-K filed on March 25, 2013)</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Bylaws (incorporated by reference to Exhibit 3.2 of the Company’s Form 10-K filed on March 31, 2011)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Amendment No. 1 to ClearOne, Inc. Equity Incentive Plan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Opinion of Seyfarth Shaw LLP concerning the legality of the securities being registered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Consent of Seyfarth Shaw LLP (included in Exhibit 5.1 to this registration statement)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Consent of McGladrey LLP, Independent Registered Public Accounting Firm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9"/>
              </w:rPr>
              <w:t>Powers of Attorney (incorporated by reference to signature page on Form S-8 (File No. 333-148789), filed with the</w:t>
            </w:r>
          </w:p>
        </w:tc>
      </w:tr>
      <w:tr>
        <w:trPr>
          <w:trHeight w:val="234"/>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Commission on January 22, 2008)</w:t>
            </w:r>
          </w:p>
        </w:tc>
      </w:tr>
    </w:tbl>
    <w:p>
      <w:pPr>
        <w:sectPr>
          <w:pgSz w:w="11900" w:h="16838" w:orient="portrait"/>
          <w:cols w:equalWidth="0" w:num="1">
            <w:col w:w="11420"/>
          </w:cols>
          <w:pgMar w:left="240" w:top="576"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Post-Effective Amendment No. 1 and has duly caused this Registration Statement to be signed on its behalf by the undersigned, thereunto duly authorized, in the city of Salt Lake City, State of Utah, on June 29, 2015.</w:t>
      </w:r>
    </w:p>
    <w:p>
      <w:pPr>
        <w:spacing w:after="0" w:line="33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35560</wp:posOffset>
            </wp:positionV>
            <wp:extent cx="36620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6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June 29, 2015</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Zeynep Hakimoglu</w:t>
            </w: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 Narsi Narayanan</w:t>
            </w:r>
          </w:p>
        </w:tc>
      </w:tr>
      <w:tr>
        <w:trPr>
          <w:trHeight w:val="27"/>
        </w:trPr>
        <w:tc>
          <w:tcPr>
            <w:tcW w:w="49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Zeynep Hakimoglu</w:t>
            </w: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Narsi Narayanan</w:t>
            </w:r>
          </w:p>
        </w:tc>
      </w:tr>
      <w:tr>
        <w:trPr>
          <w:trHeight w:val="25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Senior Vice President of Finance (Principal Accounting and</w:t>
            </w:r>
          </w:p>
        </w:tc>
      </w:tr>
      <w:tr>
        <w:trPr>
          <w:trHeight w:val="236"/>
        </w:trPr>
        <w:tc>
          <w:tcPr>
            <w:tcW w:w="4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bl>
    <w:p>
      <w:pPr>
        <w:spacing w:after="0" w:line="36" w:lineRule="exact"/>
        <w:rPr>
          <w:sz w:val="20"/>
          <w:szCs w:val="20"/>
          <w:color w:val="auto"/>
        </w:rPr>
      </w:pPr>
    </w:p>
    <w:p>
      <w:pPr>
        <w:sectPr>
          <w:pgSz w:w="11900" w:h="16838" w:orient="portrait"/>
          <w:cols w:equalWidth="0" w:num="1">
            <w:col w:w="11400"/>
          </w:cols>
          <w:pgMar w:left="240" w:top="576" w:right="25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June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Brad R.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35560</wp:posOffset>
            </wp:positionV>
            <wp:extent cx="3155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Brad R. Baldwin</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43180</wp:posOffset>
            </wp:positionV>
            <wp:extent cx="3155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Scott M. Huntsman</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Zeynep Hakimoglu</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Attorney-in-fact</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29,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Larry R.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43180</wp:posOffset>
            </wp:positionV>
            <wp:extent cx="3078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R. Hendricks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2101215</wp:posOffset>
            </wp:positionV>
            <wp:extent cx="7160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2">
            <w:col w:w="5820" w:space="720"/>
            <w:col w:w="4860"/>
          </w:cols>
          <w:pgMar w:left="240" w:top="576" w:right="2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9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ClearOne, Inc. Equity Incentive Plan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Amended and Restated Articles of Incorporation of ClearOne, Inc. (incorporated by reference to Exhibit 3.1 of the</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Company’s Form 10-K filed on March 25, 2013)</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Bylaws (incorporated by reference to Exhibit 3.2 of the Company’s Form 10-K filed on March 31, 2011)</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Opinion of Seyfarth Shaw LLP concerning the legality of the securities being registered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Consent of Seyfarth Shaw LLP (included in Exhibit 5.1 to this registration statement)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Consent of McGladrey LLP, Independent Registered Public Accounting Firm (filed herewith)</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9"/>
              </w:rPr>
              <w:t>Powers of Attorney (incorporated by reference to signature page on Form S-8 (File No. 333-148789), filed with the</w:t>
            </w:r>
          </w:p>
        </w:tc>
      </w:tr>
      <w:tr>
        <w:trPr>
          <w:trHeight w:val="234"/>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Commission on January 22, 2008)</w:t>
            </w:r>
          </w:p>
        </w:tc>
      </w:tr>
    </w:tbl>
    <w:p>
      <w:pPr>
        <w:sectPr>
          <w:pgSz w:w="11900" w:h="16838" w:orient="portrait"/>
          <w:cols w:equalWidth="0" w:num="1">
            <w:col w:w="10920"/>
          </w:cols>
          <w:pgMar w:left="240" w:top="576" w:right="7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EFFECTIVE DECEMBER 12, 2014</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purpose of the ClearOne, Inc. Equity Incentive Plan (the “Plan”) is to advance the interests of ClearOne, Inc. (the “Company,” formerly known as ClearOne Communications, Inc.) by stimulating the efforts of employees, officers, nonemployee directors and other service providers, in each case who are selected to be participants, by heightening the desire of such persons to continue in working toward and contributing to the success and progress of the Company. The Plan provides for the grant of Incentive and Nonqualified Stock Options, Stock Appreciation Rights, Restricted Stock and Restricted Stock Units, any of which may be performance-based, as determined by the Administrator. The Company previously adopted the ClearOne Communications, Inc. 2007 Equity Incentive Plan, effective as of November 20, 2007. The Plan is hereby amended and restated effective December 12, 2014 and is renamed the “ClearOne, Inc. Equity Incentive Plan.”</w:t>
      </w:r>
    </w:p>
    <w:p>
      <w:pPr>
        <w:spacing w:after="0" w:line="18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the Plan, the following terms shall have the meanings set forth below:</w:t>
      </w:r>
    </w:p>
    <w:p>
      <w:pPr>
        <w:spacing w:after="0" w:line="256"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means the Administrator of the Plan in accordance with Section 20.</w:t>
      </w:r>
    </w:p>
    <w:p>
      <w:pPr>
        <w:spacing w:after="0" w:line="265" w:lineRule="exact"/>
        <w:rPr>
          <w:rFonts w:ascii="Times New Roman" w:cs="Times New Roman" w:eastAsia="Times New Roman" w:hAnsi="Times New Roman"/>
          <w:sz w:val="18"/>
          <w:szCs w:val="18"/>
          <w:color w:val="auto"/>
        </w:rPr>
      </w:pPr>
    </w:p>
    <w:p>
      <w:pPr>
        <w:ind w:right="60" w:firstLine="656"/>
        <w:spacing w:after="0" w:line="313" w:lineRule="auto"/>
        <w:tabs>
          <w:tab w:leader="none" w:pos="15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 Incentive Stock Option, Nonqualified Stock Option, Stock Appreciation Right, Restricted Stock, Restricted Stock Unit or Incentive Bonus granted to a Participant pursuant to the provisions of the Plan, any of which the Administrator may structure to qualify in whole or in part as a Performance Award.</w:t>
      </w:r>
    </w:p>
    <w:p>
      <w:pPr>
        <w:spacing w:after="0" w:line="176" w:lineRule="exact"/>
        <w:rPr>
          <w:rFonts w:ascii="Times New Roman" w:cs="Times New Roman" w:eastAsia="Times New Roman" w:hAnsi="Times New Roman"/>
          <w:sz w:val="18"/>
          <w:szCs w:val="18"/>
          <w:color w:val="auto"/>
        </w:rPr>
      </w:pPr>
    </w:p>
    <w:p>
      <w:pPr>
        <w:ind w:right="320" w:firstLine="656"/>
        <w:spacing w:after="0" w:line="308" w:lineRule="auto"/>
        <w:tabs>
          <w:tab w:leader="none" w:pos="14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 written agreement or other instrument as may be approved from time to time by the Administrator implementing the grant of each Award. An Agreement may be in the form of an agreement to be executed by both the Participant and the Company (or an authorized representative of the Company) or certificates, notices or similar instruments as approved by the Administrator. The Award Agreement may be executed electronically.</w:t>
      </w:r>
    </w:p>
    <w:p>
      <w:pPr>
        <w:spacing w:after="0" w:line="179"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65" w:lineRule="exact"/>
        <w:rPr>
          <w:rFonts w:ascii="Times New Roman" w:cs="Times New Roman" w:eastAsia="Times New Roman" w:hAnsi="Times New Roman"/>
          <w:sz w:val="18"/>
          <w:szCs w:val="18"/>
          <w:color w:val="auto"/>
        </w:rPr>
      </w:pPr>
    </w:p>
    <w:p>
      <w:pPr>
        <w:ind w:right="20" w:firstLine="656"/>
        <w:spacing w:after="0" w:line="303" w:lineRule="auto"/>
        <w:tabs>
          <w:tab w:leader="none" w:pos="14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the (i) commission of an act of fraud or theft against the Company; conviction (including a guilty plea or plea of nolo contendere) for any felony; (ii) conviction (including a guilty plea or plea of nolo contendere) for any misdemeanor involving moral turpitude which might, in the Company’s opinion, cause embarrassment to the Company; (iii) significant violation of any material Company policy; (iv) willful or repeated nonperformance or substandard performance of material duties which is not cured within thirty (30) days after written notice thereof to the Participant; or (v) violation of any material state or federal laws, rules or regulations in connection with or during performance of the Participant’s work which, if such violation is curable, is not cured within thirty (30) days after notice thereof to the Participant.</w:t>
      </w:r>
    </w:p>
    <w:p>
      <w:pPr>
        <w:spacing w:after="0" w:line="187"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and the rulings and regulations issues thereunder.</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ClearOne, Inc., a Utah corporation.</w:t>
      </w:r>
    </w:p>
    <w:p>
      <w:pPr>
        <w:spacing w:after="0" w:line="265" w:lineRule="exact"/>
        <w:rPr>
          <w:rFonts w:ascii="Times New Roman" w:cs="Times New Roman" w:eastAsia="Times New Roman" w:hAnsi="Times New Roman"/>
          <w:sz w:val="18"/>
          <w:szCs w:val="18"/>
          <w:color w:val="auto"/>
        </w:rPr>
      </w:pPr>
    </w:p>
    <w:p>
      <w:pPr>
        <w:ind w:right="540" w:firstLine="656"/>
        <w:spacing w:after="0" w:line="329" w:lineRule="auto"/>
        <w:tabs>
          <w:tab w:leader="none" w:pos="15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Bonus” means a bonus opportunity awarded under Section 9(a) pursuant to which a Participant may become entitled to receive an amount based on satisfaction of such performance criteria as are specified in the Award Agreement.</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 stock option that is intended to be treated as an “incentive stock option” within the meaning of Section</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 of the Code.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6" w:name="page7"/>
    <w:bookmarkEnd w:id="6"/>
    <w:p>
      <w:pPr>
        <w:ind w:left="-20" w:right="560" w:firstLine="656"/>
        <w:spacing w:after="0" w:line="329" w:lineRule="auto"/>
        <w:tabs>
          <w:tab w:leader="none" w:pos="1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each person who is, or is elected to be, a member of the Board and who is not an employee of the Company or any Subsidiary.</w:t>
      </w:r>
    </w:p>
    <w:p>
      <w:pPr>
        <w:spacing w:after="0" w:line="161" w:lineRule="exact"/>
        <w:rPr>
          <w:rFonts w:ascii="Times New Roman" w:cs="Times New Roman" w:eastAsia="Times New Roman" w:hAnsi="Times New Roman"/>
          <w:sz w:val="18"/>
          <w:szCs w:val="18"/>
          <w:color w:val="auto"/>
        </w:rPr>
      </w:pPr>
    </w:p>
    <w:p>
      <w:pPr>
        <w:ind w:left="-20" w:right="20" w:firstLine="656"/>
        <w:spacing w:after="0" w:line="329" w:lineRule="auto"/>
        <w:tabs>
          <w:tab w:leader="none" w:pos="14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 stock option that is not intended to be treated as an “incentive stock option” within the meaning of Section 422 of the Code.</w:t>
      </w:r>
    </w:p>
    <w:p>
      <w:pPr>
        <w:spacing w:after="0" w:line="161" w:lineRule="exact"/>
        <w:rPr>
          <w:rFonts w:ascii="Times New Roman" w:cs="Times New Roman" w:eastAsia="Times New Roman" w:hAnsi="Times New Roman"/>
          <w:sz w:val="18"/>
          <w:szCs w:val="18"/>
          <w:color w:val="auto"/>
        </w:rPr>
      </w:pPr>
    </w:p>
    <w:p>
      <w:pPr>
        <w:ind w:left="-20" w:right="80" w:firstLine="656"/>
        <w:spacing w:after="0" w:line="329" w:lineRule="auto"/>
        <w:tabs>
          <w:tab w:leader="none" w:pos="1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Incentive Stock Option and/or a Nonqualified Stock Option granted pursuant to Section 6 of the Plan that entitles the Participant to purchase a certain number of Shares at an exercise price established by the Administrator.</w:t>
      </w:r>
    </w:p>
    <w:p>
      <w:pPr>
        <w:spacing w:after="0" w:line="161" w:lineRule="exact"/>
        <w:rPr>
          <w:rFonts w:ascii="Times New Roman" w:cs="Times New Roman" w:eastAsia="Times New Roman" w:hAnsi="Times New Roman"/>
          <w:sz w:val="18"/>
          <w:szCs w:val="18"/>
          <w:color w:val="auto"/>
        </w:rPr>
      </w:pPr>
    </w:p>
    <w:p>
      <w:pPr>
        <w:ind w:left="-20" w:right="200" w:firstLine="656"/>
        <w:spacing w:after="0" w:line="329" w:lineRule="auto"/>
        <w:tabs>
          <w:tab w:leader="none" w:pos="15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any individual described in Section 3 to whom Awards have been granted from time to time by the Administrator and any authorized transferee of such individual.</w:t>
      </w:r>
    </w:p>
    <w:p>
      <w:pPr>
        <w:spacing w:after="0" w:line="161" w:lineRule="exact"/>
        <w:rPr>
          <w:rFonts w:ascii="Times New Roman" w:cs="Times New Roman" w:eastAsia="Times New Roman" w:hAnsi="Times New Roman"/>
          <w:sz w:val="18"/>
          <w:szCs w:val="18"/>
          <w:color w:val="auto"/>
        </w:rPr>
      </w:pPr>
    </w:p>
    <w:p>
      <w:pPr>
        <w:ind w:left="-20" w:right="160" w:firstLine="656"/>
        <w:spacing w:after="0" w:line="329" w:lineRule="auto"/>
        <w:tabs>
          <w:tab w:leader="none" w:pos="14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 means an Award, the grant, issuance, retention, vesting or settlement of which is subject to satisfaction of one or more performance criteria pursuant to Section 14.</w:t>
      </w:r>
    </w:p>
    <w:p>
      <w:pPr>
        <w:spacing w:after="0" w:line="161" w:lineRule="exact"/>
        <w:rPr>
          <w:rFonts w:ascii="Times New Roman" w:cs="Times New Roman" w:eastAsia="Times New Roman" w:hAnsi="Times New Roman"/>
          <w:sz w:val="18"/>
          <w:szCs w:val="18"/>
          <w:color w:val="auto"/>
        </w:rPr>
      </w:pPr>
    </w:p>
    <w:p>
      <w:pPr>
        <w:ind w:left="1500" w:hanging="864"/>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ClearOne, Inc. Equity Incentive Plan as set forth herein and as amended from time to time.</w:t>
      </w:r>
    </w:p>
    <w:p>
      <w:pPr>
        <w:spacing w:after="0" w:line="265" w:lineRule="exact"/>
        <w:rPr>
          <w:rFonts w:ascii="Times New Roman" w:cs="Times New Roman" w:eastAsia="Times New Roman" w:hAnsi="Times New Roman"/>
          <w:sz w:val="18"/>
          <w:szCs w:val="18"/>
          <w:color w:val="auto"/>
        </w:rPr>
      </w:pPr>
    </w:p>
    <w:p>
      <w:pPr>
        <w:ind w:left="1500" w:hanging="864"/>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Performance Criteria” has the meaning set forth in Section 14(b).</w:t>
      </w:r>
    </w:p>
    <w:p>
      <w:pPr>
        <w:spacing w:after="0" w:line="265" w:lineRule="exact"/>
        <w:rPr>
          <w:rFonts w:ascii="Times New Roman" w:cs="Times New Roman" w:eastAsia="Times New Roman" w:hAnsi="Times New Roman"/>
          <w:sz w:val="18"/>
          <w:szCs w:val="18"/>
          <w:color w:val="auto"/>
        </w:rPr>
      </w:pPr>
    </w:p>
    <w:p>
      <w:pPr>
        <w:ind w:left="1500" w:hanging="864"/>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granted pursuant to Section 8 of the Plan.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20" w:right="200" w:firstLine="656"/>
        <w:spacing w:after="0" w:line="329" w:lineRule="auto"/>
        <w:tabs>
          <w:tab w:leader="none" w:pos="14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an Award granted to a Participant pursuant to Section 8 pursuant to which Shares or cash in lieu thereof may be issued in the future.</w:t>
      </w:r>
    </w:p>
    <w:p>
      <w:pPr>
        <w:spacing w:after="0" w:line="377" w:lineRule="exact"/>
        <w:rPr>
          <w:rFonts w:ascii="Times New Roman" w:cs="Times New Roman" w:eastAsia="Times New Roman" w:hAnsi="Times New Roman"/>
          <w:sz w:val="18"/>
          <w:szCs w:val="18"/>
          <w:color w:val="auto"/>
        </w:rPr>
      </w:pPr>
    </w:p>
    <w:p>
      <w:pPr>
        <w:ind w:left="-20" w:right="40" w:firstLine="656"/>
        <w:spacing w:after="0" w:line="308" w:lineRule="auto"/>
        <w:tabs>
          <w:tab w:leader="none" w:pos="14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has the meaning specified by the Administrator in the terms of an Award Agreement or, in the absence of any such term, for Participants other than Nonemployee Directors shall mean retirement from active employment with the Company and its Subsidiaries (i) at or after age 55 and with the approval of the Administrator or (ii) at or after age 65. The determination of the Administrator as to an individual’s Retirement shall be conclusive on all parties.</w:t>
      </w:r>
    </w:p>
    <w:p>
      <w:pPr>
        <w:spacing w:after="0" w:line="396" w:lineRule="exact"/>
        <w:rPr>
          <w:rFonts w:ascii="Times New Roman" w:cs="Times New Roman" w:eastAsia="Times New Roman" w:hAnsi="Times New Roman"/>
          <w:sz w:val="18"/>
          <w:szCs w:val="18"/>
          <w:color w:val="auto"/>
        </w:rPr>
      </w:pPr>
    </w:p>
    <w:p>
      <w:pPr>
        <w:ind w:left="1460" w:hanging="824"/>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the Company’s common stock, par value $.001, subject to adjustment as provided in Section 13.</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20" w:firstLine="656"/>
        <w:spacing w:after="0" w:line="313" w:lineRule="auto"/>
        <w:tabs>
          <w:tab w:leader="none" w:pos="14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 right granted to a Participant pursuant to Section 7 of the Plan that entitles the Participant to receive, in cash or Shares or a combination thereof, as determined by the Administrator, value equal to or otherwise based on the excess of (i) the market price of a specified number of Shares at the time of exercise over (ii) the exercise price of the right, as established by the Administrator on the date of grant.</w:t>
      </w:r>
    </w:p>
    <w:p>
      <w:pPr>
        <w:spacing w:after="0" w:line="392" w:lineRule="exact"/>
        <w:rPr>
          <w:rFonts w:ascii="Times New Roman" w:cs="Times New Roman" w:eastAsia="Times New Roman" w:hAnsi="Times New Roman"/>
          <w:sz w:val="18"/>
          <w:szCs w:val="18"/>
          <w:color w:val="auto"/>
        </w:rPr>
      </w:pPr>
    </w:p>
    <w:p>
      <w:pPr>
        <w:ind w:left="-20" w:right="20" w:firstLine="656"/>
        <w:spacing w:after="0" w:line="305" w:lineRule="auto"/>
        <w:tabs>
          <w:tab w:leader="none" w:pos="14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(other than the Company) in an unbroken chain of corporations beginning with the Company where each of the corporations in the unbroken chain other than the last corporation owns stock possessing at least 50 percent or more of the total combined voting power of all classes of stock in one of the other corporations in the chain, and if specifically determined by the Administrator in the context other than with respect to Incentive Stock Options, may include an entity in which the Company has a significant ownership interest or that is directly or indirectly controlled by the Company.</w:t>
      </w:r>
    </w:p>
    <w:p>
      <w:pPr>
        <w:spacing w:after="0" w:line="399" w:lineRule="exact"/>
        <w:rPr>
          <w:rFonts w:ascii="Times New Roman" w:cs="Times New Roman" w:eastAsia="Times New Roman" w:hAnsi="Times New Roman"/>
          <w:sz w:val="18"/>
          <w:szCs w:val="18"/>
          <w:color w:val="auto"/>
        </w:rPr>
      </w:pPr>
    </w:p>
    <w:p>
      <w:pPr>
        <w:ind w:left="-20" w:right="80" w:firstLine="656"/>
        <w:spacing w:after="0" w:line="308" w:lineRule="auto"/>
        <w:tabs>
          <w:tab w:leader="none" w:pos="15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means ceasing to serve as a full-time employee of the Company and its Subsidiaries or, with respect to a service provider, ceasing to serve as such for the Company, except that with respect to all or any Awards held by a Participant (i) the Administrator may determine, subject to Section 6(d), that an approved leave of absence or approved employment on a less than full-time basis is not considered a “termination of employment,” (ii) the Administrator may determine that a transition of employment to service with a partnership,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60" w:top="607" w:right="259" w:bottom="1440" w:gutter="0" w:footer="0" w:header="0"/>
        </w:sectPr>
      </w:pPr>
    </w:p>
    <w:bookmarkStart w:id="7" w:name="page8"/>
    <w:bookmarkEnd w:id="7"/>
    <w:p>
      <w:pPr>
        <w:ind w:right="20"/>
        <w:spacing w:after="0" w:line="303" w:lineRule="auto"/>
        <w:rPr>
          <w:sz w:val="20"/>
          <w:szCs w:val="20"/>
          <w:color w:val="auto"/>
        </w:rPr>
      </w:pPr>
      <w:r>
        <w:rPr>
          <w:rFonts w:ascii="Times New Roman" w:cs="Times New Roman" w:eastAsia="Times New Roman" w:hAnsi="Times New Roman"/>
          <w:sz w:val="18"/>
          <w:szCs w:val="18"/>
          <w:color w:val="auto"/>
        </w:rPr>
        <w:t>joint venture or corporation not meeting the requirements of a Subsidiary in which the Company or a Subsidiary is a party is not considered a “termination of employment,” (iii) service as a member of the Board shall constitute continued employment with respect to Awards granted to a Participant while he or she served as an employee and (iv) service as an employee of the Company or a Subsidiary shall constitute continued employment with respect to Awards granted to a Participant while he or she served as a member of the Board. The Administrator shall determine whether any corporate transaction, such as a sale or spin-off of a division or subsidiary that employs a Participant, shall be deemed to result in a termination of employment with the Company and its Subsidiaries for purposes of any affected Participant’s Options, and the Administrator’s decision shall be final and binding.</w:t>
      </w:r>
    </w:p>
    <w:p>
      <w:pPr>
        <w:spacing w:after="0" w:line="188" w:lineRule="exact"/>
        <w:rPr>
          <w:sz w:val="20"/>
          <w:szCs w:val="20"/>
          <w:color w:val="auto"/>
        </w:rPr>
      </w:pPr>
    </w:p>
    <w:p>
      <w:pPr>
        <w:ind w:right="80" w:firstLine="656"/>
        <w:spacing w:after="0" w:line="308" w:lineRule="auto"/>
        <w:tabs>
          <w:tab w:leader="none" w:pos="15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and Permanent Disablement” has the meaning specified by the Administrator in the terms of an Award Agreement or, in the absence of any such term or in the case of an Incentive Stock Option, the inability to engage in any substantial gainful activity by reason of any medically determinable physical or mental impairment which can be expected to result in death or which has lasted or can be expected to last for a continuous period of not less than 12 months. The determination of the Administrator as to an individual’s Total and Permanent Disablement shall be conclusive on all parties.</w:t>
      </w:r>
    </w:p>
    <w:p>
      <w:pPr>
        <w:spacing w:after="0" w:line="392"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p>
    <w:p>
      <w:pPr>
        <w:spacing w:after="0" w:line="2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person who is a current or prospective officer or employee (including any director who is also an employee, in his or her capacity as such) of the Company or of any Subsidiary shall be eligible for selection by the Administrator for the grant of Awards hereunder. Any Nonemployee Director shall be eligible for the grant of Awards hereunder as determined by the Administrator. In addition any service provider who has been retained to provide consulting, advisory or other services to the Company or to any Subsidiary shall be eligible for selection by the Administrator for the grant of Awards hereunder. Incentive Stock Options may only be granted to employees of the Company or any Subsidiary within the meaning of the Code, as selected by the Administrator. For purposes of this Plan, the Chairman of the Board’s status as an employee shall be determined by the Administrator.</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and Termination of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Plan originally became effective on November 20, 2007, the date on which the Plan was approved by the Company’s shareholders and adopted by the Board of Directors. The Plan, as amended and restated herein is effective [insert date of shareholder approval] (the “Effective Date”), the date on which the Plan was approved by the Company’s shareholders and adopted by the Board of Directors. All Awards granted under this Plan are subject to, and may not be exercised before, the approval of this Plan by the shareholders prior to the first anniversary date of the effective date of the Plan, by the affirmative vote of the holders of a majority of the outstanding Shares of the Company present, or represented by proxy, and entitled to vote, at a meeting of the Company’s shareholders or by written consent in accordance with the laws of the State of Utah. However, if the Company’s shareholders do not approve the Plan as amended and restated, the Plan as in effect prior to this amendment and restatement shall stay in effect and any Awards granted under this Plan, as amended and restated, shall continue only if they could have been granted under the Plan as in effect before such amendment and restatement. The Plan shall remain available for the grant of Awards until the tenth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 and then in effect.</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Subject to the Plan and to Awards</w:t>
      </w:r>
    </w:p>
    <w:p>
      <w:pPr>
        <w:spacing w:after="0" w:line="254" w:lineRule="exact"/>
        <w:rPr>
          <w:rFonts w:ascii="Times New Roman" w:cs="Times New Roman" w:eastAsia="Times New Roman" w:hAnsi="Times New Roman"/>
          <w:sz w:val="18"/>
          <w:szCs w:val="18"/>
          <w:color w:val="auto"/>
        </w:rPr>
      </w:pPr>
    </w:p>
    <w:p>
      <w:pPr>
        <w:ind w:right="40" w:firstLine="656"/>
        <w:spacing w:after="0" w:line="304" w:lineRule="auto"/>
        <w:tabs>
          <w:tab w:leader="none" w:pos="14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Aggregate Limits</w:t>
      </w:r>
      <w:r>
        <w:rPr>
          <w:rFonts w:ascii="Times New Roman" w:cs="Times New Roman" w:eastAsia="Times New Roman" w:hAnsi="Times New Roman"/>
          <w:sz w:val="18"/>
          <w:szCs w:val="18"/>
          <w:color w:val="auto"/>
        </w:rPr>
        <w:t>. The aggregate number of Shares issuable pursuant to all Awards under this Plan shall not exceed 2,000,000;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Shares granted after the Effective Date under Options or Stock Appreciation Rights shall be counted against this limit on a one-for-one basis and any Shares granted under Awards other than Options or Stock Appreciation Rights shall be counted against this limit as two (2) Shares for every one (1) Share subject to such Award. The aggregate number of Shares available for grant under this Plan and the number of Shares subject to outstanding Awards shall be subject to adjustment as provided in Section 13. The Shares issued pursuant to Awards granted under this Plan may be shares that are authorized and unissued or shares that were reacquired by the Company, including shares purchased in the open market.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07" w:right="239" w:bottom="1440" w:gutter="0" w:footer="0" w:header="0"/>
        </w:sectPr>
      </w:pPr>
    </w:p>
    <w:bookmarkStart w:id="8" w:name="page9"/>
    <w:bookmarkEnd w:id="8"/>
    <w:p>
      <w:pPr>
        <w:jc w:val="both"/>
        <w:ind w:right="120" w:firstLine="656"/>
        <w:spacing w:after="0" w:line="315" w:lineRule="auto"/>
        <w:tabs>
          <w:tab w:leader="none" w:pos="150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Issuance of Shares</w:t>
      </w:r>
      <w:r>
        <w:rPr>
          <w:rFonts w:ascii="Times New Roman" w:cs="Times New Roman" w:eastAsia="Times New Roman" w:hAnsi="Times New Roman"/>
          <w:sz w:val="17"/>
          <w:szCs w:val="17"/>
          <w:color w:val="auto"/>
        </w:rPr>
        <w:t>. For purposes of Section 5(a), the aggregate number of Shares issued under this Plan at any time shall equal only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Shares actually issued upon exercise or settlement of an Award under this Plan. Notwithstanding the foregoing, Shares subject to an Award under this Plan may not again be made available for issuance under this Plan if such shares are: (i) shares that were subject to a stock-settled Stock Appreciation Right and were not issued upon the net settlement or net exercise of such Stock Appreciation Right, (ii) shares used to pay the exercise price of an Option,</w:t>
      </w:r>
    </w:p>
    <w:p>
      <w:pPr>
        <w:spacing w:after="0" w:line="2" w:lineRule="exact"/>
        <w:rPr>
          <w:rFonts w:ascii="Times New Roman" w:cs="Times New Roman" w:eastAsia="Times New Roman" w:hAnsi="Times New Roman"/>
          <w:sz w:val="17"/>
          <w:szCs w:val="17"/>
          <w:color w:val="auto"/>
        </w:rPr>
      </w:pPr>
    </w:p>
    <w:p>
      <w:pPr>
        <w:jc w:val="both"/>
        <w:ind w:right="80" w:firstLine="8"/>
        <w:spacing w:after="0" w:line="313"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to or withheld by the Company to pay the withholding taxes related to an Option or a Stock Appreciation Right, (iv) shares repurchased on the open market with the proceeds of an Option exercise, or (v) shares that are not issued because the Award was settled in cash. Shares subject to Awards that have been canceled, expired, forfeited, terminated or otherwise not issued under an Award shall not count as shares issued under this Plan.</w:t>
      </w:r>
    </w:p>
    <w:p>
      <w:pPr>
        <w:spacing w:after="0" w:line="174"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Maximum Awards. </w:t>
      </w:r>
      <w:r>
        <w:rPr>
          <w:rFonts w:ascii="Times New Roman" w:cs="Times New Roman" w:eastAsia="Times New Roman" w:hAnsi="Times New Roman"/>
          <w:sz w:val="18"/>
          <w:szCs w:val="18"/>
          <w:color w:val="auto"/>
        </w:rPr>
        <w:t>No Participant may receive an Award in any calendar year during the term of the Plan in excess of the following</w:t>
      </w:r>
    </w:p>
    <w:p>
      <w:pPr>
        <w:spacing w:after="0" w:line="51" w:lineRule="exact"/>
        <w:rPr>
          <w:rFonts w:ascii="Times New Roman" w:cs="Times New Roman" w:eastAsia="Times New Roman" w:hAnsi="Times New Roman"/>
          <w:sz w:val="18"/>
          <w:szCs w:val="18"/>
          <w:color w:val="auto"/>
        </w:rPr>
      </w:pPr>
    </w:p>
    <w:p>
      <w:pPr>
        <w:ind w:right="4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 in the case of Options and Stock Appreciation Rights, Awards covering a maximum of 250,000 Shares, (ii) in the case of an Award other than an Option or Stock Appreciation Right, 250,000 Shares (determined before the application of the two-to-one multiplier described in paragraph (a)), and (iii) in the case of a Performance Award that provides for a target number of Shares and also provides that a larger number of Shares (not exceeding twice the target) may be granted if the performance criteria are exceeded, the limits set forth in clauses (i) and (ii) shall be based on the target award, provided that for purposes of Section 5(a), the number of Shares available for issuance shall be reduced by the number of Shares actually issued. The preceding limits shall be subject to adjustment as provided in Section 13. The maximum number of Shares with respect to which Incentive Stock Options may be granted shall be 1,300,000, which shall be adjusted pursuant to Section 13 only the extent permitted by Section 422 of the Code.</w:t>
      </w:r>
    </w:p>
    <w:p>
      <w:pPr>
        <w:spacing w:after="0" w:line="200" w:lineRule="exact"/>
        <w:rPr>
          <w:sz w:val="20"/>
          <w:szCs w:val="20"/>
          <w:color w:val="auto"/>
        </w:rPr>
      </w:pPr>
    </w:p>
    <w:p>
      <w:pPr>
        <w:spacing w:after="0" w:line="201" w:lineRule="exact"/>
        <w:rPr>
          <w:sz w:val="20"/>
          <w:szCs w:val="20"/>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w:t>
      </w:r>
    </w:p>
    <w:p>
      <w:pPr>
        <w:spacing w:after="0" w:line="267" w:lineRule="exact"/>
        <w:rPr>
          <w:rFonts w:ascii="Times New Roman" w:cs="Times New Roman" w:eastAsia="Times New Roman" w:hAnsi="Times New Roman"/>
          <w:sz w:val="18"/>
          <w:szCs w:val="18"/>
          <w:color w:val="auto"/>
        </w:rPr>
      </w:pPr>
    </w:p>
    <w:p>
      <w:pPr>
        <w:ind w:right="160" w:firstLine="656"/>
        <w:spacing w:after="0" w:line="306" w:lineRule="auto"/>
        <w:tabs>
          <w:tab w:leader="none" w:pos="14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Awards</w:t>
      </w:r>
      <w:r>
        <w:rPr>
          <w:rFonts w:ascii="Times New Roman" w:cs="Times New Roman" w:eastAsia="Times New Roman" w:hAnsi="Times New Roman"/>
          <w:sz w:val="18"/>
          <w:szCs w:val="18"/>
          <w:color w:val="auto"/>
        </w:rPr>
        <w:t>. Options may be granted at any time and from time to time prior to the termination of the Plan to Participants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Administrator. No Participant shall have any rights as a shareholder with respect to any Shares subject to Option hereunder until said Shares have been issued, except that the Administrator may authorize dividend equivalent accruals with respect to such Shares. Each Option shall be evidenced by an Award Agreement. Options granted pursuant to the Plan need not be identical but each Option must contain and be subject to the terms and conditions set forth below.</w:t>
      </w:r>
    </w:p>
    <w:p>
      <w:pPr>
        <w:spacing w:after="0" w:line="395" w:lineRule="exact"/>
        <w:rPr>
          <w:rFonts w:ascii="Times New Roman" w:cs="Times New Roman" w:eastAsia="Times New Roman" w:hAnsi="Times New Roman"/>
          <w:sz w:val="18"/>
          <w:szCs w:val="18"/>
          <w:color w:val="auto"/>
        </w:rPr>
      </w:pPr>
    </w:p>
    <w:p>
      <w:pPr>
        <w:ind w:firstLine="656"/>
        <w:spacing w:after="0" w:line="301" w:lineRule="auto"/>
        <w:tabs>
          <w:tab w:leader="none" w:pos="15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The Administrator will establish the exercise price per Share under each Option, which, in no event will be less than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the Shares on the date of grant. However, the exercise price per Share with respect to an Option that is granted in connection with a corporate transaction (as defined in Section 409A of the Code) as a substitute or replacement award may be less than 100% of the market price of the Shares on the date such Option is granted if such exercise price is based on a formula set forth in the terms of the options held by such optionees or in the terms of the agreement providing for such merger or other acquisition. In such circumstance, the terms of such substitute or replacement award must otherwise satisfy the requirements of Section 409A of the Code with respect to discounted stock options that are otherwise exempt from Section 409A of the Code. The exercise price of any Option may be paid in Shares,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right="140" w:firstLine="656"/>
        <w:spacing w:after="0" w:line="314" w:lineRule="auto"/>
        <w:tabs>
          <w:tab w:leader="none" w:pos="14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w:t>
      </w:r>
      <w:r>
        <w:rPr>
          <w:rFonts w:ascii="Times New Roman" w:cs="Times New Roman" w:eastAsia="Times New Roman" w:hAnsi="Times New Roman"/>
          <w:sz w:val="18"/>
          <w:szCs w:val="18"/>
          <w:color w:val="auto"/>
        </w:rPr>
        <w:t>. Other than in connection with a change in the Company’s capitalization (as described in Section 13) the exercise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Option may not be reduced without shareholder approval (including canceling previously awarded Options in exchange for cash, another Option with a lower exercise price or the grant of another type of Award).</w:t>
      </w:r>
    </w:p>
    <w:p>
      <w:pPr>
        <w:spacing w:after="0" w:line="173" w:lineRule="exact"/>
        <w:rPr>
          <w:rFonts w:ascii="Times New Roman" w:cs="Times New Roman" w:eastAsia="Times New Roman" w:hAnsi="Times New Roman"/>
          <w:sz w:val="18"/>
          <w:szCs w:val="18"/>
          <w:color w:val="auto"/>
        </w:rPr>
      </w:pPr>
    </w:p>
    <w:p>
      <w:pPr>
        <w:jc w:val="both"/>
        <w:ind w:right="220" w:firstLine="656"/>
        <w:spacing w:after="0" w:line="308" w:lineRule="auto"/>
        <w:tabs>
          <w:tab w:leader="none" w:pos="15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Options</w:t>
      </w:r>
      <w:r>
        <w:rPr>
          <w:rFonts w:ascii="Times New Roman" w:cs="Times New Roman" w:eastAsia="Times New Roman" w:hAnsi="Times New Roman"/>
          <w:sz w:val="18"/>
          <w:szCs w:val="18"/>
          <w:color w:val="auto"/>
        </w:rPr>
        <w:t>. The date or dates on which Options become exercisable shall be determined at the sole discretion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and set forth in an Award Agreement. Options shall be subject to such terms and conditions as shall be determined by the Administrator. Unless provided otherwise in the applicable Award Agreement, to the extent that the Administrator determines that an approved leave of absence or employment on a less than full-time basis is not a Termination of Employment, the vesting period and/or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605" w:right="259" w:bottom="1440" w:gutter="0" w:footer="0" w:header="0"/>
        </w:sectPr>
      </w:pPr>
    </w:p>
    <w:bookmarkStart w:id="9" w:name="page10"/>
    <w:bookmarkEnd w:id="9"/>
    <w:p>
      <w:pPr>
        <w:ind w:right="80"/>
        <w:spacing w:after="0" w:line="329" w:lineRule="auto"/>
        <w:rPr>
          <w:sz w:val="20"/>
          <w:szCs w:val="20"/>
          <w:color w:val="auto"/>
        </w:rPr>
      </w:pPr>
      <w:r>
        <w:rPr>
          <w:rFonts w:ascii="Times New Roman" w:cs="Times New Roman" w:eastAsia="Times New Roman" w:hAnsi="Times New Roman"/>
          <w:sz w:val="18"/>
          <w:szCs w:val="18"/>
          <w:color w:val="auto"/>
        </w:rPr>
        <w:t>exercisability of an Option shall be adjusted by the Administrator during or to reflect the effects of any period during which the Participant is on an approved leave of absence or is employed on a less than full-time basis.</w:t>
      </w:r>
    </w:p>
    <w:p>
      <w:pPr>
        <w:spacing w:after="0" w:line="160" w:lineRule="exact"/>
        <w:rPr>
          <w:sz w:val="20"/>
          <w:szCs w:val="20"/>
          <w:color w:val="auto"/>
        </w:rPr>
      </w:pPr>
    </w:p>
    <w:p>
      <w:pPr>
        <w:ind w:right="460" w:firstLine="656"/>
        <w:spacing w:after="0" w:line="308" w:lineRule="auto"/>
        <w:tabs>
          <w:tab w:leader="none" w:pos="14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of Options and Termination of Employment</w:t>
      </w:r>
      <w:r>
        <w:rPr>
          <w:rFonts w:ascii="Times New Roman" w:cs="Times New Roman" w:eastAsia="Times New Roman" w:hAnsi="Times New Roman"/>
          <w:sz w:val="18"/>
          <w:szCs w:val="18"/>
          <w:color w:val="auto"/>
        </w:rPr>
        <w:t>. The Administrator shall establish the term of each Option, which in no case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a period of ten (10) years from the date of grant. Unless an Option earlier expires upon the expiration date established pursuant to the foregoing sentence, upon the termination of the Participant’s employment, his or her rights to exercise an Option then held shall be only as follows, unless the Administrator specifies otherwise:</w:t>
      </w:r>
    </w:p>
    <w:p>
      <w:pPr>
        <w:spacing w:after="0" w:line="396" w:lineRule="exact"/>
        <w:rPr>
          <w:rFonts w:ascii="Times New Roman" w:cs="Times New Roman" w:eastAsia="Times New Roman" w:hAnsi="Times New Roman"/>
          <w:sz w:val="18"/>
          <w:szCs w:val="18"/>
          <w:color w:val="auto"/>
        </w:rPr>
      </w:pPr>
    </w:p>
    <w:p>
      <w:pPr>
        <w:ind w:left="660" w:right="120" w:firstLine="1293"/>
        <w:spacing w:after="0" w:line="304" w:lineRule="auto"/>
        <w:tabs>
          <w:tab w:leader="none" w:pos="28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Upon the death of a Participant while in the employ of the Company or any Subsidiary or while serving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the Participant’s Options then held shall be exercisable by his or her estate, heir or beneficiary at any time during the one (1) year period commencing on the date of death to the extent that the Options are exercisable as of that date. Any and all of the deceased Participant’s Options that are not exercised during the one (1) year commencing on the date of death shall terminate as of the end of such one (1) year period. To the extent that any Option is not exercisable as of the date of death, such portion of the Option shall remain unexercisable and shall terminate as of such date.</w:t>
      </w:r>
    </w:p>
    <w:p>
      <w:pPr>
        <w:spacing w:after="0" w:line="158"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If a Participant should die within thirty (30) days after his or her Termination of Employment with the Company and its Subsidiaries, an Option shall be exercisable by his or her estate, heir or beneficiary at any time during the one (1) year period commencing on the date of termination, but only to the extent of the number of Shares as to which such Option was exercisable as of the date of such termination. Any and all of the deceased Participant’s Options that are not exercised during the one (1) year period commencing on the date of termination shall terminate as of the end of such one (1) year period. A Participant’s estate shall mean his or her legal representative or other person who so acquires the right to exercise the Option by bequest or inheritance or by reason of the death of the Participant.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right="160" w:firstLine="1293"/>
        <w:spacing w:after="0" w:line="306" w:lineRule="auto"/>
        <w:tabs>
          <w:tab w:leader="none" w:pos="281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and Permanent Disablement</w:t>
      </w:r>
      <w:r>
        <w:rPr>
          <w:rFonts w:ascii="Times New Roman" w:cs="Times New Roman" w:eastAsia="Times New Roman" w:hAnsi="Times New Roman"/>
          <w:sz w:val="18"/>
          <w:szCs w:val="18"/>
          <w:color w:val="auto"/>
        </w:rPr>
        <w:t>. Upon termination of employment as a result of the Total and Permanent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Disablement of any Participant, the Participant’s Options then held shall be exercisable during the one (1) year period commencing on the date of termination to the extent that the Options are exercisable as of that date. Any and all Options that are not exercised during the one (1) year period commencing on the date of termination shall terminate as of the end of such one (1) year period. To the extent that any Option is not exercisable as of the date of termination, such portion of the Option shall remain unexercisable and shall terminate as of such date.</w:t>
      </w:r>
    </w:p>
    <w:p>
      <w:pPr>
        <w:spacing w:after="0" w:line="179"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Upon Retirement of a Participant, the Participant’s Options then held shall be exercisable during the one</w:t>
      </w:r>
    </w:p>
    <w:p>
      <w:pPr>
        <w:spacing w:after="0" w:line="51" w:lineRule="exact"/>
        <w:rPr>
          <w:rFonts w:ascii="Times New Roman" w:cs="Times New Roman" w:eastAsia="Times New Roman" w:hAnsi="Times New Roman"/>
          <w:sz w:val="18"/>
          <w:szCs w:val="18"/>
          <w:color w:val="auto"/>
        </w:rPr>
      </w:pPr>
    </w:p>
    <w:p>
      <w:pPr>
        <w:ind w:left="660" w:right="120" w:hanging="4"/>
        <w:spacing w:after="0" w:line="305" w:lineRule="auto"/>
        <w:tabs>
          <w:tab w:leader="none" w:pos="9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commencing on the date of Retirement. The number of Shares with respect to which the Options shall be exercisable shall equal the total number of Shares that were exercisable under the Participant’s Option on the date of his or her Retirement. Any and all Options that are not exercised during the one (1) year period commencing on the date of termination shall terminate as of the end of such one (1) year period. To the extent that any Option is not exercisable as of his or her Retirement, such portion of the Option shall remain unexercisable and shall terminate as of such date.</w:t>
      </w:r>
    </w:p>
    <w:p>
      <w:pPr>
        <w:spacing w:after="0" w:line="181" w:lineRule="exact"/>
        <w:rPr>
          <w:rFonts w:ascii="Times New Roman" w:cs="Times New Roman" w:eastAsia="Times New Roman" w:hAnsi="Times New Roman"/>
          <w:sz w:val="18"/>
          <w:szCs w:val="18"/>
          <w:color w:val="auto"/>
        </w:rPr>
      </w:pPr>
    </w:p>
    <w:p>
      <w:pPr>
        <w:ind w:left="660" w:right="40" w:firstLine="1293"/>
        <w:spacing w:after="0" w:line="331" w:lineRule="auto"/>
        <w:tabs>
          <w:tab w:leader="none" w:pos="28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Upon the date of a termination of a Participant’s employment for Cause, any Option that is unexercised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termination shall terminate as of such date.</w:t>
      </w:r>
    </w:p>
    <w:p>
      <w:pPr>
        <w:spacing w:after="0" w:line="374" w:lineRule="exact"/>
        <w:rPr>
          <w:rFonts w:ascii="Times New Roman" w:cs="Times New Roman" w:eastAsia="Times New Roman" w:hAnsi="Times New Roman"/>
          <w:sz w:val="18"/>
          <w:szCs w:val="18"/>
          <w:color w:val="auto"/>
        </w:rPr>
      </w:pPr>
    </w:p>
    <w:p>
      <w:pPr>
        <w:ind w:left="660" w:right="160" w:firstLine="1293"/>
        <w:spacing w:after="0" w:line="306" w:lineRule="auto"/>
        <w:tabs>
          <w:tab w:leader="none" w:pos="281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Reasons</w:t>
      </w:r>
      <w:r>
        <w:rPr>
          <w:rFonts w:ascii="Times New Roman" w:cs="Times New Roman" w:eastAsia="Times New Roman" w:hAnsi="Times New Roman"/>
          <w:sz w:val="18"/>
          <w:szCs w:val="18"/>
          <w:color w:val="auto"/>
        </w:rPr>
        <w:t>. Upon the date of a termination of a Participant’s employment for any reason other than those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in Sections 6(e)(1), (e)(2), (e)(3) and (e)(4) or as described in Section 18, (A) to the extent that any Option is not exercisable as of such termination date, such portion of the Option shall remain unexercisable and shall terminate as of such date, and (B) to the extent that any Option is exercisable as of such termination date, such portion of the Option shall expire on the earlier of (i) ninety (90) days following such date and (ii) the expiration date of such Option.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607" w:right="259" w:bottom="1440" w:gutter="0" w:footer="0" w:header="0"/>
        </w:sectPr>
      </w:pPr>
    </w:p>
    <w:bookmarkStart w:id="10" w:name="page11"/>
    <w:bookmarkEnd w:id="10"/>
    <w:p>
      <w:pPr>
        <w:ind w:right="60" w:firstLine="656"/>
        <w:spacing w:after="0" w:line="300" w:lineRule="auto"/>
        <w:tabs>
          <w:tab w:leader="none" w:pos="14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Notwithstanding anything to the contrary in this Section, in the case of the grant of an Option intending to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an Incentive Stock Option: (i) if the Participant owns stock possessing more than 10 percent of the combined voting power of all classes of stock of the Company (a “10% Shareholder”), the exercise price of such Option must be at least 110 percent of the fair market value of the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 thereunder) of the Company and its Subsidiaries. Notwithstanding anything in this Section to the contrary, options designated as Incentive Stock Options shall not be eligible for treatment under the Code as Incentive Stock Options (and will be deemed to be Nonqualified Stock Options) to the extent that either (a) 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(b) such Options otherwise remain exercisable but are not exercised within three (3) months of Termination of Employment (or such other period of time provided in Section 422 of the Code).</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Rights</w:t>
      </w:r>
    </w:p>
    <w:p>
      <w:pPr>
        <w:spacing w:after="0" w:line="2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to Participants from time to time either in tandem with or as a component of other Awards granted under the Plan (“tandem SARs”) or not in conjunction with other Awards (“freestanding SARs”) and may, but need not, relate to a specific Option granted under Section 6. The provisions of Stock Appreciation Rights need not be the same with respect to each grant or each Participant.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Administrator may impose such other conditions or restrictions on any Stock Appreciation Right as it shall deem appropriate. Stock Appreciation Rights may be settled in Shares, cash or a combination thereof, as determined by the Administrator and set forth in the applicable Award Agreement. Other than in connection with a change in the Company’s capitalization (as described in Section 13) the exercise price of Stock Appreciation Rights may not be reduced without shareholder approval (including canceling previously awarded Stock Appreciation Rights andin exchange for cash, another Stock Appreciation Right with a lower exercise price or the grant of another type of Award).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54" w:lineRule="exact"/>
        <w:rPr>
          <w:rFonts w:ascii="Times New Roman" w:cs="Times New Roman" w:eastAsia="Times New Roman" w:hAnsi="Times New Roman"/>
          <w:sz w:val="18"/>
          <w:szCs w:val="18"/>
          <w:color w:val="auto"/>
        </w:rPr>
      </w:pPr>
    </w:p>
    <w:p>
      <w:pPr>
        <w:ind w:firstLine="656"/>
        <w:spacing w:after="0" w:line="297" w:lineRule="auto"/>
        <w:tabs>
          <w:tab w:leader="none" w:pos="14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 Awards</w:t>
      </w:r>
      <w:r>
        <w:rPr>
          <w:rFonts w:ascii="Times New Roman" w:cs="Times New Roman" w:eastAsia="Times New Roman" w:hAnsi="Times New Roman"/>
          <w:sz w:val="18"/>
          <w:szCs w:val="18"/>
          <w:color w:val="auto"/>
        </w:rPr>
        <w:t>. Restricted Stock and Restricted Stock Units may be granted at any time 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prior to the termination of the Plan to Participants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 Each grant of Restricted Stock and Restricted Stock Units shall be evidenced by an Award Agreement. Unless determined otherwise by the Administrator, each Restricted Stock Unit will be equal to one Share and will entitle a Participant to either the issuance of Shares or payment of an amount of cash determined with reference to the value of Shares. To the extent determined by the Administrator, Restricted Stock and Restricted Stock Units may be satisfied or settled in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6" w:lineRule="exact"/>
        <w:rPr>
          <w:rFonts w:ascii="Times New Roman" w:cs="Times New Roman" w:eastAsia="Times New Roman" w:hAnsi="Times New Roman"/>
          <w:sz w:val="18"/>
          <w:szCs w:val="18"/>
          <w:color w:val="auto"/>
        </w:rPr>
      </w:pPr>
    </w:p>
    <w:p>
      <w:pPr>
        <w:spacing w:after="0"/>
        <w:tabs>
          <w:tab w:leader="none" w:pos="0" w:val="left"/>
        </w:tabs>
        <w:numPr>
          <w:ilvl w:val="1"/>
          <w:numId w:val="18"/>
        </w:numPr>
        <w:rPr>
          <w:rFonts w:ascii="Times New Roman" w:cs="Times New Roman" w:eastAsia="Times New Roman" w:hAnsi="Times New Roman"/>
          <w:sz w:val="18"/>
          <w:szCs w:val="18"/>
          <w:color w:val="auto"/>
        </w:rPr>
      </w:pPr>
    </w:p>
    <w:p>
      <w:pPr>
        <w:spacing w:after="0" w:line="264" w:lineRule="exact"/>
        <w:rPr>
          <w:sz w:val="20"/>
          <w:szCs w:val="20"/>
          <w:color w:val="auto"/>
        </w:rPr>
      </w:pPr>
    </w:p>
    <w:p>
      <w:pPr>
        <w:ind w:right="60" w:firstLine="656"/>
        <w:spacing w:after="0" w:line="314" w:lineRule="auto"/>
        <w:tabs>
          <w:tab w:leader="none" w:pos="14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Agreement</w:t>
      </w:r>
      <w:r>
        <w:rPr>
          <w:rFonts w:ascii="Times New Roman" w:cs="Times New Roman" w:eastAsia="Times New Roman" w:hAnsi="Times New Roman"/>
          <w:sz w:val="18"/>
          <w:szCs w:val="18"/>
          <w:color w:val="auto"/>
        </w:rPr>
        <w:t>. Each Award Agreement shall contain provisions regarding (i) the number of Shares or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Award or a formula for determining such number, (ii) the purchase price of the Shares, if any, and the means of payment, (iii) the performance criteria, if any, and level of achievement versus these criteria that shall determine the number of Shares or Restricted Stock Units granted,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05" w:right="239" w:bottom="1440" w:gutter="0" w:footer="0" w:header="0"/>
        </w:sectPr>
      </w:pPr>
    </w:p>
    <w:bookmarkStart w:id="11" w:name="page12"/>
    <w:bookmarkEnd w:id="11"/>
    <w:p>
      <w:pPr>
        <w:ind w:right="20"/>
        <w:spacing w:after="0" w:line="305" w:lineRule="auto"/>
        <w:rPr>
          <w:sz w:val="20"/>
          <w:szCs w:val="20"/>
          <w:color w:val="auto"/>
        </w:rPr>
      </w:pPr>
      <w:r>
        <w:rPr>
          <w:rFonts w:ascii="Times New Roman" w:cs="Times New Roman" w:eastAsia="Times New Roman" w:hAnsi="Times New Roman"/>
          <w:sz w:val="18"/>
          <w:szCs w:val="18"/>
          <w:color w:val="auto"/>
        </w:rPr>
        <w:t>issued, retainable and/or vested, (iv) such terms and conditions on the grant, issuance, vesting and/or forfeiture of the Shares or Restricted Stock Units as may be determined from time to time by the Administrator, (v) the term of the performance period, if any, as to which performance will be measured for determining the number of such Shares or Restricted Stock Units, and (vi) restrictions on the transferability of the Shares or Restricted Stock Units. Shares issued under a Restricted Stock Award may be issued in the name of the Participant and held by the Participant or held by the Company, in each case as the Administrator may provide.</w:t>
      </w:r>
    </w:p>
    <w:p>
      <w:pPr>
        <w:spacing w:after="0" w:line="182" w:lineRule="exact"/>
        <w:rPr>
          <w:sz w:val="20"/>
          <w:szCs w:val="20"/>
          <w:color w:val="auto"/>
        </w:rPr>
      </w:pPr>
    </w:p>
    <w:p>
      <w:pPr>
        <w:ind w:firstLine="656"/>
        <w:spacing w:after="0" w:line="301" w:lineRule="auto"/>
        <w:tabs>
          <w:tab w:leader="none" w:pos="15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Performance Criteria</w:t>
      </w:r>
      <w:r>
        <w:rPr>
          <w:rFonts w:ascii="Times New Roman" w:cs="Times New Roman" w:eastAsia="Times New Roman" w:hAnsi="Times New Roman"/>
          <w:sz w:val="18"/>
          <w:szCs w:val="18"/>
          <w:color w:val="auto"/>
        </w:rPr>
        <w:t>. The grant, issuance, retention, vesting and/or settlement of shares of Restricted Stock and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will occur when and in such installments as the Administrator determines or under criteria the Administrator establishes, which may include Qualifying Performance Criteria. The grant, issuance, retention, vesting and/or settlement of Shares under any such Award that is based on performance criteria and level of achievement versus such criteria will be subject to a performance period of not less than six months, except that the Administrator may provide for the satisfaction and/or lapse of all conditions under any such Award in the event of the Participant’s death, disability, Retirement or in connection with a change of control, and the Administrator may provide that any such restriction or limitation will not apply in the case of a Restricted Stock or Restricted Stock Unit Award that is issued in payment or settlement of compensation that has been earned by the Participant. Notwithstanding anything in this Plan to the contrary, the performance criteria for any Restricted Stock or Restricted Stock Unit that is intended to satisfy the requirements for “performance-based compensation” under Section 162(m) of the Code will be a measure based on one or more Qualifying Performance Criteria selected by the Administrator and specified when the Award is granted.</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right="180" w:firstLine="656"/>
        <w:spacing w:after="0" w:line="306" w:lineRule="auto"/>
        <w:tabs>
          <w:tab w:leader="none" w:pos="14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 and Limits</w:t>
      </w:r>
      <w:r>
        <w:rPr>
          <w:rFonts w:ascii="Times New Roman" w:cs="Times New Roman" w:eastAsia="Times New Roman" w:hAnsi="Times New Roman"/>
          <w:sz w:val="18"/>
          <w:szCs w:val="18"/>
          <w:color w:val="auto"/>
        </w:rPr>
        <w:t>. Subject to the limits imposed under Section 162(m) of the Code for Awards that are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“performance based compensation,” notwithstanding the satisfaction of any performance goals, the number of Shares granted, issued, retainable and/or vested under an Award of Restricted Stock or Restricted Stock Units on account of either financial performance or personal performance evaluations may, to the extent specified in the Award Agreement, be reduced by the Administrator on the basis of such further considerations as the Administrator shall determine.</w:t>
      </w:r>
    </w:p>
    <w:p>
      <w:pPr>
        <w:spacing w:after="0" w:line="395" w:lineRule="exact"/>
        <w:rPr>
          <w:rFonts w:ascii="Times New Roman" w:cs="Times New Roman" w:eastAsia="Times New Roman" w:hAnsi="Times New Roman"/>
          <w:sz w:val="18"/>
          <w:szCs w:val="18"/>
          <w:color w:val="auto"/>
        </w:rPr>
      </w:pPr>
    </w:p>
    <w:p>
      <w:pPr>
        <w:ind w:right="80" w:firstLine="656"/>
        <w:spacing w:after="0" w:line="314" w:lineRule="auto"/>
        <w:tabs>
          <w:tab w:leader="none" w:pos="14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Unless otherwise determined by the Administrator, Participants holding shares of Restricted Stock granted hereunder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full voting rights with respect to those shares during the period of restriction. Participants shall have no voting rights with respect to Shares underlying Restricted Stock Units unless and until such Shares are reflected as issued and outstanding shares on the Company’s stock ledger.</w:t>
      </w:r>
    </w:p>
    <w:p>
      <w:pPr>
        <w:spacing w:after="0" w:line="173" w:lineRule="exact"/>
        <w:rPr>
          <w:rFonts w:ascii="Times New Roman" w:cs="Times New Roman" w:eastAsia="Times New Roman" w:hAnsi="Times New Roman"/>
          <w:sz w:val="18"/>
          <w:szCs w:val="18"/>
          <w:color w:val="auto"/>
        </w:rPr>
      </w:pPr>
    </w:p>
    <w:p>
      <w:pPr>
        <w:ind w:right="20" w:firstLine="656"/>
        <w:spacing w:after="0" w:line="306" w:lineRule="auto"/>
        <w:tabs>
          <w:tab w:leader="none" w:pos="15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Participants in whose name Restricted Stock is granted shall be entitled to receive all dividends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paid with respect to those Shares, unless determined otherwise by the Administrator. The Administrator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paid in cash. Shares underlying Restricted Stock Units shall be entitled to dividends or dividend equivalents only to the extent provided by the Administrator.</w:t>
      </w:r>
    </w:p>
    <w:p>
      <w:pPr>
        <w:spacing w:after="0" w:line="39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Awards.</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right="180" w:firstLine="656"/>
        <w:spacing w:after="0" w:line="314" w:lineRule="auto"/>
        <w:tabs>
          <w:tab w:leader="none" w:pos="14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Incentive Bonuses. </w:t>
      </w:r>
      <w:r>
        <w:rPr>
          <w:rFonts w:ascii="Times New Roman" w:cs="Times New Roman" w:eastAsia="Times New Roman" w:hAnsi="Times New Roman"/>
          <w:sz w:val="18"/>
          <w:szCs w:val="18"/>
          <w:color w:val="auto"/>
        </w:rPr>
        <w:t>The Administrator may in its discretion grant to any Participant the right to receive an Incentive Bonus, which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an amount payable in cash to the Participant based on the achievement of performance criteria as determined by the Administrator, and payable at such times, in such amounts, and subject to such conditions as the Administrator may in its sole discretion determine.</w:t>
      </w:r>
    </w:p>
    <w:p>
      <w:pPr>
        <w:spacing w:after="0" w:line="173" w:lineRule="exact"/>
        <w:rPr>
          <w:rFonts w:ascii="Times New Roman" w:cs="Times New Roman" w:eastAsia="Times New Roman" w:hAnsi="Times New Roman"/>
          <w:sz w:val="18"/>
          <w:szCs w:val="18"/>
          <w:color w:val="auto"/>
        </w:rPr>
      </w:pPr>
    </w:p>
    <w:p>
      <w:pPr>
        <w:ind w:right="160" w:firstLine="656"/>
        <w:spacing w:after="0" w:line="304" w:lineRule="auto"/>
        <w:tabs>
          <w:tab w:leader="none" w:pos="15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If the Administrator so chooses, it may grant dividend equivalents, which shall consist of a grant to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in connection with any Award otherwise granted under the Plan, of a cash payment equal to all or a portion of the dividends that the Participant would have received had the Participant owned the number of Shares subject to the Award on the record date for dividends paid by the Company. Dividend equivalents may be granted either at the same time the underlying Award is granted, or at any time while the Award is outstanding, and shall be subject to such terms and conditions as the Administrator determines appropriate that must be satisfied before the transfer of Shares including, without limitation, continued employment through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607" w:right="259" w:bottom="1440" w:gutter="0" w:footer="0" w:header="0"/>
        </w:sectPr>
      </w:pPr>
    </w:p>
    <w:bookmarkStart w:id="12" w:name="page13"/>
    <w:bookmarkEnd w:id="12"/>
    <w:p>
      <w:pPr>
        <w:spacing w:after="0" w:line="302" w:lineRule="auto"/>
        <w:rPr>
          <w:sz w:val="20"/>
          <w:szCs w:val="20"/>
          <w:color w:val="auto"/>
        </w:rPr>
      </w:pPr>
      <w:r>
        <w:rPr>
          <w:rFonts w:ascii="Times New Roman" w:cs="Times New Roman" w:eastAsia="Times New Roman" w:hAnsi="Times New Roman"/>
          <w:sz w:val="18"/>
          <w:szCs w:val="18"/>
          <w:color w:val="auto"/>
        </w:rPr>
        <w:t>specified dates or the achievement of performance goals established by the Administrator; provided, however, that if the underlying Award is conditioned upon the achievement of performance goals, receipt of the dividend equivalent payments shall be conditioned at least upon achievement of a performance goal (which need not be the same goal), plus any additional conditions that the Administrator deems appropriate. Dividend equivalent payments shall be paid at the times specified in the Award Agreement, which may be the record date for payment of the dividend, the date on which the underlying Award either vests or is settled, or such other time or times as the Administrator determines provided that the time of payment satisfies the requirements of Section 409A of the Code and the regulations thereunder. Notwithstanding the foregoing, payment of dividend equivalents granted with respect to an Option or Stock Appreciation Right shall in no event be conditioned upon the Participant’s exercise of the underlying Option or Stock Appreciation Right.</w:t>
      </w:r>
    </w:p>
    <w:p>
      <w:pPr>
        <w:spacing w:after="0" w:line="200" w:lineRule="exact"/>
        <w:rPr>
          <w:sz w:val="20"/>
          <w:szCs w:val="20"/>
          <w:color w:val="auto"/>
        </w:rPr>
      </w:pPr>
    </w:p>
    <w:p>
      <w:pPr>
        <w:spacing w:after="0" w:line="201" w:lineRule="exact"/>
        <w:rPr>
          <w:sz w:val="20"/>
          <w:szCs w:val="20"/>
          <w:color w:val="auto"/>
        </w:rPr>
      </w:pPr>
    </w:p>
    <w:p>
      <w:pPr>
        <w:ind w:left="880" w:hanging="87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Market Value.</w:t>
      </w:r>
    </w:p>
    <w:p>
      <w:pPr>
        <w:spacing w:after="0" w:line="24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fair market value of a Share at any time shall be determined on the basis of the trading price of the stock in such manner as the Administrator may deem equitable or as required by applicable law or regulation which shall include regulations regarding the determination of fair market value promulgated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Deferral of Gains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Subject to Section 15(i), the Administrator may, in an Award Agreement or otherwise, provide for the deferred delivery of Shares upon settlement, vesting or other events with respect to Restricted Stock or Restricted Stock Units, or in payment or satisfaction of an Incentive Bonus.</w:t>
      </w:r>
    </w:p>
    <w:p>
      <w:pPr>
        <w:spacing w:after="0" w:line="200" w:lineRule="exact"/>
        <w:rPr>
          <w:sz w:val="20"/>
          <w:szCs w:val="20"/>
          <w:color w:val="auto"/>
        </w:rPr>
      </w:pPr>
    </w:p>
    <w:p>
      <w:pPr>
        <w:spacing w:after="0" w:line="39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and Restrictions Upon Securities Subject to Awards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Administrator may provide that the Shares issued upon exercise of an Option or Stock Appreciation Right or otherwise subject to or issued under an Award shall be subject to such further agreements, restrictions, conditions or limitations as the Administrator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18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 of and Changes in the Stock</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number and kind of Shares available for issuance under this Plan (including under any Awards then outstanding), and the number and kind of Shares subject to the individual limits set forth in Section 5 of this Plan, shall be adjusted by the Administrator as it determines appropriate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the Company outstanding. Such adjustment may be designed to comply with Section 424 of the Code may be designed to treat the Shares available under the Plan and subject to Awards as if they were all outstanding on the record date for such event or transaction or to increase the number of such Shares to reflect a deemed reinvestment in Shares of the amount distributed to the Company’s security holders. The terms of any outstanding Award may also be adjusted by the Administrator as to price, number or kind of Shares subject to such Award, vesting, and other terms to reflect the foregoing events, which adjustments need not be uniform as between different Awards or different types of Awards.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607" w:right="259" w:bottom="1440" w:gutter="0" w:footer="0" w:header="0"/>
        </w:sectPr>
      </w:pPr>
    </w:p>
    <w:bookmarkStart w:id="13" w:name="page14"/>
    <w:bookmarkEnd w:id="13"/>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there shall be any other change in the number or kind of outstanding Shares, or any stock or other securities into which such Shares shall have been changed, or for which it shall have been exchanged, by reason of a change of control, other merger, consolidation or otherwise, then the Administrator shall, in its sole discretion, determine the appropriate adjustment, if any, to be effected. In addition, in the event of a change in control or of such other change described in this paragraph, the Administrator may accelerate the time or times at which any Award shall be vested and the extent to which Performance Awards are deemed to have been earned, and may provide for cancellation of any Awards in return for a payment equal to the value of the Shares covered by the Award; provided, that in the case of an Option or Stock Appreciation Right, the payment shall be equal to the excess, if any, of the value of the Shares over the exercise price of the Option or Stock Appreciation Right, and if the value of the Shares does not exceed the exercise price, such Awards may be cancelled without payment of additional consideration.</w:t>
      </w:r>
    </w:p>
    <w:p>
      <w:pPr>
        <w:spacing w:after="0" w:line="18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No right to purchase fractional shares shall result from any adjustment in Awards pursuant to this Section. In case of any such adjustment, the Shares subject to the Award shall be rounded down to the nearest whole share. The Company shall notify Participants holding Awards subject to any adjustments pursuant to this Section of such adjustment, but (whether or not notice is given) such adjustment shall be effective and binding for all purposes of the Plan.</w:t>
      </w:r>
    </w:p>
    <w:p>
      <w:pPr>
        <w:spacing w:after="0" w:line="200" w:lineRule="exact"/>
        <w:rPr>
          <w:sz w:val="20"/>
          <w:szCs w:val="20"/>
          <w:color w:val="auto"/>
        </w:rPr>
      </w:pPr>
    </w:p>
    <w:p>
      <w:pPr>
        <w:spacing w:after="0" w:line="386" w:lineRule="exact"/>
        <w:rPr>
          <w:sz w:val="20"/>
          <w:szCs w:val="20"/>
          <w:color w:val="auto"/>
        </w:rPr>
      </w:pPr>
    </w:p>
    <w:p>
      <w:pPr>
        <w:ind w:left="660" w:hanging="328"/>
        <w:spacing w:after="0"/>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Qualifying Performance-Based Compensation</w:t>
      </w: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right="40" w:firstLine="656"/>
        <w:spacing w:after="0" w:line="300" w:lineRule="auto"/>
        <w:tabs>
          <w:tab w:leader="none" w:pos="149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Administrator may establish performance criteria and level of achievement versus such criteria that shall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or units to be granted, retained, vested, issued or issuable pursuant to an Award, or the amount to be paid with respect to an Incentive Bonus, which criteria may be based on Qualifying Performance Criteria or other standards of financial performance and/or personal performance evaluations. A Performance Award may be identified as “Performance Share”, “Performance Equity”, “Performance Unit” or other such term as chosen by the Administrator. In addition, the Administrator may specify that an Award or a portion of an Award is intended to satisfy the requirements for “performance-based compensation” under Section 162(m) of the Code, provided that the performance criteria for such Award or portion of an Award that is intended by the Administrator to satisfy the requirements for “performance-based compensation” under Section 162(m) of the Code shall be a measure based on one or more Qualifying Performance Criteria selected by the Administrator and specified at the time the Award is granted. The Administrator shall certify the extent to which any Qualifying Performance Criteria has been satisfied, and the amount payable as a result thereof, prior to payment, settlement or vesting of any Award that is intended to satisfy the requirements for “performance-based compensation” under Section 162(m) of the Code. Notwithstanding satisfaction of any performance goals, the number of Shares issued under or the amount paid under an award may, unless otherwise specified in the Award Agreement, be reduced by the Administrator on the basis of such further considerations as the Administrator in its sole discretion shall determine.</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right="80" w:firstLine="656"/>
        <w:spacing w:after="0" w:line="315" w:lineRule="auto"/>
        <w:tabs>
          <w:tab w:leader="none" w:pos="1506"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Qualifying Performance Criteria</w:t>
      </w:r>
      <w:r>
        <w:rPr>
          <w:rFonts w:ascii="Times New Roman" w:cs="Times New Roman" w:eastAsia="Times New Roman" w:hAnsi="Times New Roman"/>
          <w:sz w:val="17"/>
          <w:szCs w:val="17"/>
          <w:color w:val="auto"/>
        </w:rPr>
        <w:t>. For purposes of this Plan, the term “Qualifying Performance Criteria” shall mean any one or more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following performance criteria,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 cash flow (before or after dividends), (ii) earning or earnings per share (including earnings before interest, taxes, depreciation and amortization), (iii) stock price,</w:t>
      </w:r>
    </w:p>
    <w:p>
      <w:pPr>
        <w:spacing w:after="0" w:line="2" w:lineRule="exact"/>
        <w:rPr>
          <w:rFonts w:ascii="Times New Roman" w:cs="Times New Roman" w:eastAsia="Times New Roman" w:hAnsi="Times New Roman"/>
          <w:sz w:val="17"/>
          <w:szCs w:val="17"/>
          <w:color w:val="auto"/>
        </w:rPr>
      </w:pPr>
    </w:p>
    <w:p>
      <w:pPr>
        <w:ind w:right="100" w:firstLine="8"/>
        <w:spacing w:after="0" w:line="302" w:lineRule="auto"/>
        <w:tabs>
          <w:tab w:leader="none" w:pos="3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 (v) total shareholder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NSR and/or Total backlog, or (xxi) days sales outstanding. To the extent consistent with Section 162(m) of the Code, the Administrator (A) shall appropriately adjust any evaluation of performance under Qualifying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580" w:right="259" w:bottom="1440" w:gutter="0" w:footer="0" w:header="0"/>
        </w:sectPr>
      </w:pPr>
    </w:p>
    <w:bookmarkStart w:id="14" w:name="page15"/>
    <w:bookmarkEnd w:id="14"/>
    <w:p>
      <w:pPr>
        <w:ind w:right="40"/>
        <w:spacing w:after="0" w:line="303" w:lineRule="auto"/>
        <w:rPr>
          <w:sz w:val="20"/>
          <w:szCs w:val="20"/>
          <w:color w:val="auto"/>
        </w:rPr>
      </w:pPr>
      <w:r>
        <w:rPr>
          <w:rFonts w:ascii="Times New Roman" w:cs="Times New Roman" w:eastAsia="Times New Roman" w:hAnsi="Times New Roman"/>
          <w:sz w:val="18"/>
          <w:szCs w:val="18"/>
          <w:color w:val="auto"/>
        </w:rPr>
        <w:t>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Qualifying Performance Criteria to exclude any of the following events that occur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0" w:hanging="87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p>
    <w:p>
      <w:pPr>
        <w:spacing w:after="0" w:line="269" w:lineRule="exact"/>
        <w:rPr>
          <w:rFonts w:ascii="Times New Roman" w:cs="Times New Roman" w:eastAsia="Times New Roman" w:hAnsi="Times New Roman"/>
          <w:sz w:val="18"/>
          <w:szCs w:val="18"/>
          <w:color w:val="auto"/>
        </w:rPr>
      </w:pPr>
    </w:p>
    <w:p>
      <w:pPr>
        <w:ind w:right="80" w:firstLine="656"/>
        <w:spacing w:after="0" w:line="305" w:lineRule="auto"/>
        <w:tabs>
          <w:tab w:leader="none" w:pos="14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Company’s intent that any Award granted under this Plan be structured to be exempt from Section 409A of the Code, including all Treasury Regulations and other guidance issuance pursuant thereto or to comply with the requirements of deferred compensation subject to Section 409A. To the extent any Award under this Plan constitutes deferred compensation as defined in Section 409A (a “409A award”), the rules of this Section shall apply to the extent required by Section 409A of the Code, notwithstanding any provision of the Plan or any Award Agreement to the contrary. For purposes of this Section, an Award shall constitute a 409A award only if and to the extent either</w:t>
      </w:r>
    </w:p>
    <w:p>
      <w:pPr>
        <w:spacing w:after="0" w:line="183" w:lineRule="exact"/>
        <w:rPr>
          <w:rFonts w:ascii="Times New Roman" w:cs="Times New Roman" w:eastAsia="Times New Roman" w:hAnsi="Times New Roman"/>
          <w:sz w:val="18"/>
          <w:szCs w:val="18"/>
          <w:color w:val="auto"/>
        </w:rPr>
      </w:pPr>
    </w:p>
    <w:p>
      <w:pPr>
        <w:ind w:left="660" w:firstLine="1293"/>
        <w:spacing w:after="0" w:line="305" w:lineRule="auto"/>
        <w:tabs>
          <w:tab w:leader="none" w:pos="281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Award (other than an Option, Stock Appreciation Right, or Restricted Stock) that is not subject to a substantial risk of forfeiture as defined in Section 409A of the Code, and the settlement of such Award by the taxable payment of cash, stock or other property to the Participant either actually occurs after the later of March 15 of the calendar year following the year in which the Award ceases to be subject to a substantial risk of forfeiture (the “409A required payment date”), or the terms of the Plan or the Award Agreement provide for settlement after such date, or upon or after the occurrence of any event, that will or may occur later than the 409A required payment date; or</w:t>
      </w:r>
    </w:p>
    <w:p>
      <w:pPr>
        <w:spacing w:after="0" w:line="183"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determines in good faith that the Award is a 409A award.</w:t>
      </w:r>
    </w:p>
    <w:p>
      <w:pPr>
        <w:spacing w:after="0" w:line="265" w:lineRule="exact"/>
        <w:rPr>
          <w:rFonts w:ascii="Times New Roman" w:cs="Times New Roman" w:eastAsia="Times New Roman" w:hAnsi="Times New Roman"/>
          <w:sz w:val="18"/>
          <w:szCs w:val="18"/>
          <w:color w:val="auto"/>
        </w:rPr>
      </w:pPr>
    </w:p>
    <w:p>
      <w:pPr>
        <w:ind w:right="80" w:firstLine="656"/>
        <w:spacing w:after="0" w:line="302" w:lineRule="auto"/>
        <w:tabs>
          <w:tab w:leader="none" w:pos="15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becomes payable under any 409A award by reason of a Participant’s Termination of Employment, and such Participant incurs a Termination of Employment as defined by the Plan or the Award Agreement that is not a “separation from service,” as defined by Section 409A of the Code, then the Participant’s right to such payment shall be vested on the date of the Termination of Employment to the extent provided by the Plan or Award Agreement, but payment shall be deferred until the earliest of (i) the date the Participant incurs a separation from service (or six months thereafter to the extent required by Section 15(d)), (ii) the date that a “change in control event” with respect to the Participant occurs as defined in Section 409A of the Code, (iii) the Participant’s death, and (iv) if the terms of the Award Agreement provide for payment upon a specific vesting date, such vesting date. In such case, the Plan and the Award shall be construed as if “Termination of Employment” meant “separation from service.” The Administrator shall not exercise its discretion under the Plan in a manner inconsistent with the foregoing provisions.</w:t>
      </w:r>
    </w:p>
    <w:p>
      <w:pPr>
        <w:spacing w:after="0" w:line="185" w:lineRule="exact"/>
        <w:rPr>
          <w:rFonts w:ascii="Times New Roman" w:cs="Times New Roman" w:eastAsia="Times New Roman" w:hAnsi="Times New Roman"/>
          <w:sz w:val="18"/>
          <w:szCs w:val="18"/>
          <w:color w:val="auto"/>
        </w:rPr>
      </w:pPr>
    </w:p>
    <w:p>
      <w:pPr>
        <w:ind w:right="20" w:firstLine="656"/>
        <w:spacing w:after="0" w:line="303" w:lineRule="auto"/>
        <w:tabs>
          <w:tab w:leader="none" w:pos="14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becomes payable under any 409A award by reason of a change in control, and a change in control occurs as defined in any Award Agreement that is not a “change in control event” with respect to such Participant, as defined by Section 409A of the Code, then the Participant’s right to such payment shall be vested on the date of the change in control to the extent provided in the Award Agreement, and the amount of such payment shall be determined as of such date, but payment shall be deferred until the earliest of (i) the date on which a change in control event occurs with respect to the Participant, (ii) the date on which the Participant incurs a separation from service (or six months thereafter to the extent required by Section 15(d)), (iii) the Participant’s death, and (iv) if the terms of the Award Agreement provides for payment upon a specific vesting date, such vesting date.</w:t>
      </w:r>
    </w:p>
    <w:p>
      <w:pPr>
        <w:spacing w:after="0" w:line="187" w:lineRule="exact"/>
        <w:rPr>
          <w:rFonts w:ascii="Times New Roman" w:cs="Times New Roman" w:eastAsia="Times New Roman" w:hAnsi="Times New Roman"/>
          <w:sz w:val="18"/>
          <w:szCs w:val="18"/>
          <w:color w:val="auto"/>
        </w:rPr>
      </w:pPr>
    </w:p>
    <w:p>
      <w:pPr>
        <w:ind w:right="40" w:firstLine="656"/>
        <w:spacing w:after="0" w:line="313" w:lineRule="auto"/>
        <w:tabs>
          <w:tab w:leader="none" w:pos="15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that becomes payable under any 409A award by reason of a Participant’s separation from service will be made to a Participant who is a “specified employee” (as defined by Section 409A of the Code) until the earlier of: (i) the first day following the sixth month anniversary of the Participant’s separation from service, or (ii) the Participant’s date of death.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07" w:right="239" w:bottom="1440" w:gutter="0" w:footer="0" w:header="0"/>
        </w:sectPr>
      </w:pPr>
    </w:p>
    <w:bookmarkStart w:id="15" w:name="page16"/>
    <w:bookmarkEnd w:id="15"/>
    <w:p>
      <w:pPr>
        <w:ind w:right="160" w:firstLine="656"/>
        <w:spacing w:after="0" w:line="305" w:lineRule="auto"/>
        <w:tabs>
          <w:tab w:leader="none" w:pos="14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any amount is required to be deferred to a specific date (the “409A deferral date”) by reason of Section 409A of the Code, all amounts that would otherwise have been paid prior to the 409A deferral date shall be paid in a single lump sum on the first business day following the 409A deferral date, and the Administrator may, in its sole discretion (but shall in no event be required to) permit an earlier payment to a Participant to the extent necessary to alleviate a “severe financial hardship” resulting from an “unforeseeable emergency”, as defined in Section 409A of the Code.</w:t>
      </w:r>
    </w:p>
    <w:p>
      <w:pPr>
        <w:spacing w:after="0" w:line="183" w:lineRule="exact"/>
        <w:rPr>
          <w:rFonts w:ascii="Times New Roman" w:cs="Times New Roman" w:eastAsia="Times New Roman" w:hAnsi="Times New Roman"/>
          <w:sz w:val="18"/>
          <w:szCs w:val="18"/>
          <w:color w:val="auto"/>
        </w:rPr>
      </w:pPr>
    </w:p>
    <w:p>
      <w:pPr>
        <w:ind w:right="120" w:firstLine="656"/>
        <w:spacing w:after="0" w:line="329" w:lineRule="auto"/>
        <w:tabs>
          <w:tab w:leader="none" w:pos="14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of the Code, each “payment” (as defined by Section 409A of the Code) made under this Plan with respect to a 409A award shall be considered a “separate payment” for purposes of Section 409A of the Code.</w:t>
      </w:r>
    </w:p>
    <w:p>
      <w:pPr>
        <w:spacing w:after="0" w:line="161" w:lineRule="exact"/>
        <w:rPr>
          <w:rFonts w:ascii="Times New Roman" w:cs="Times New Roman" w:eastAsia="Times New Roman" w:hAnsi="Times New Roman"/>
          <w:sz w:val="18"/>
          <w:szCs w:val="18"/>
          <w:color w:val="auto"/>
        </w:rPr>
      </w:pPr>
    </w:p>
    <w:p>
      <w:pPr>
        <w:ind w:right="60" w:firstLine="656"/>
        <w:spacing w:after="0" w:line="313" w:lineRule="auto"/>
        <w:tabs>
          <w:tab w:leader="none" w:pos="15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with respect to a 409A award that becomes payable upon a specified vesting date, as defined in the Plan or Award Agreement, shall be paid as soon as practical after such vesting date, but not later than the last day of the calendar year in which the vesting date occurs (or, if later, the fifteenth day of the third month after the month that includes the vesting date).</w:t>
      </w:r>
    </w:p>
    <w:p>
      <w:pPr>
        <w:spacing w:after="0" w:line="176" w:lineRule="exact"/>
        <w:rPr>
          <w:rFonts w:ascii="Times New Roman" w:cs="Times New Roman" w:eastAsia="Times New Roman" w:hAnsi="Times New Roman"/>
          <w:sz w:val="18"/>
          <w:szCs w:val="18"/>
          <w:color w:val="auto"/>
        </w:rPr>
      </w:pPr>
    </w:p>
    <w:p>
      <w:pPr>
        <w:ind w:right="80" w:firstLine="656"/>
        <w:spacing w:after="0" w:line="305" w:lineRule="auto"/>
        <w:tabs>
          <w:tab w:leader="none" w:pos="15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have any right to defer the amount received upon exercise of an Option or Stock Appreciation Right. To the extent a Participant is entitled to elect to defer the amount received upon settlement of any other Award to a non-qualified deferred compensation plan maintained by the Company, such deferral shall be elected and administered in accordance with Section 409A of the Code, and the right to defer shall be disregarded for purposes of applying the short-term deferral rules to payments made under Awards granted hereunder, as provided under in Treasury Regulation Section 1.409A-1(b)(4).</w:t>
      </w:r>
    </w:p>
    <w:p>
      <w:pPr>
        <w:spacing w:after="0" w:line="183" w:lineRule="exact"/>
        <w:rPr>
          <w:rFonts w:ascii="Times New Roman" w:cs="Times New Roman" w:eastAsia="Times New Roman" w:hAnsi="Times New Roman"/>
          <w:sz w:val="18"/>
          <w:szCs w:val="18"/>
          <w:color w:val="auto"/>
        </w:rPr>
      </w:pPr>
    </w:p>
    <w:p>
      <w:pPr>
        <w:ind w:right="80" w:firstLine="656"/>
        <w:spacing w:after="0" w:line="305" w:lineRule="auto"/>
        <w:tabs>
          <w:tab w:leader="none" w:pos="14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use commercially reasonable efforts to administer this Plan and each Award in a manner that is consistent with Section 409A of the Code. Notwithstanding the foregoing, if any Award granted under this Plan would fail to meet the requirements of Section 409A of the Code with respect to such Award, then such Award shall remain in effect and be subject to taxation in accordance with Section 409A of the Code. Neither the Company nor the Administrator shall have any liability for any tax imposed on a Participant by Section 409A of the Code, and if any tax is imposed on the Participant, the Participant shall have no recourse against the Company or the Administrator for payment of any such tax.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hanging="872"/>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p>
    <w:p>
      <w:pPr>
        <w:spacing w:after="0" w:line="2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Award may not be sold, transferred, pledged, assigned, or otherwise alienated or hypothecated by a Participant other than by will or the laws of descent and distribution, and each Option or Stock Appreciation Right shall be exercisable only by the Participant during his or her lifetime. Notwithstanding the foregoing, to the extent permitted by the Administrator, the person to whom an Award is initially granted (the “Grantee”) may transfer an Award other than an Incentive Stock Option to any “family member” of the Grantee (as such term is defined in Section 1 (a)(5) of the General Instructions to Form S-8 under the Securities Act of 1933, as amended (“Form S-8”)), to trusts solely for the benefit of such family members and to partnerships in which such family members and/or trusts are the only partners; provided that, (i) as a condition thereof, the transferor and the transferee must execute a written agreement containing such terms as specified by the Administrator, and (ii) the transfer is pursuant to a gift or a domestic relations order to the extent permitted under the General Instructions to Form S-8. Except to the extent specified otherwise in the agreement the Administrator provides for the Grantee and transferee to execute, all vesting, exercisability and forfeiture provisions that are conditioned on the Grantee’s continued employment or service shall continue to be determined with reference to the Grantee’s employment or service (and not to the status of the transferee) after any transfer of an Award pursuant to this Section, and the responsibility to pay any taxes in connection with an Award shall remain with the Grantee notwithstanding any transfer other than by will or intestate succession.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Suspension or Termination of Awards</w:t>
      </w:r>
    </w:p>
    <w:p>
      <w:pPr>
        <w:spacing w:after="0" w:line="254" w:lineRule="exact"/>
        <w:rPr>
          <w:rFonts w:ascii="Times New Roman" w:cs="Times New Roman" w:eastAsia="Times New Roman" w:hAnsi="Times New Roman"/>
          <w:sz w:val="18"/>
          <w:szCs w:val="18"/>
          <w:color w:val="auto"/>
        </w:rPr>
      </w:pPr>
    </w:p>
    <w:p>
      <w:pPr>
        <w:ind w:right="480" w:firstLine="656"/>
        <w:spacing w:after="0" w:line="314" w:lineRule="auto"/>
        <w:tabs>
          <w:tab w:leader="none" w:pos="14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Acts of Misconduct. </w:t>
      </w:r>
      <w:r>
        <w:rPr>
          <w:rFonts w:ascii="Times New Roman" w:cs="Times New Roman" w:eastAsia="Times New Roman" w:hAnsi="Times New Roman"/>
          <w:sz w:val="18"/>
          <w:szCs w:val="18"/>
          <w:color w:val="auto"/>
        </w:rPr>
        <w:t>Except as otherwise provided by the Administrator, if at any time (including after a notice of exercise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or an award has vested) the Chief Executive Officer or any other person designated by the Administrator (each such person, an “Authorized Officer”) reasonably believes that a Participant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07" w:right="239" w:bottom="1440" w:gutter="0" w:footer="0" w:header="0"/>
        </w:sectPr>
      </w:pPr>
    </w:p>
    <w:bookmarkStart w:id="16" w:name="page17"/>
    <w:bookmarkEnd w:id="16"/>
    <w:p>
      <w:pPr>
        <w:ind w:right="340"/>
        <w:spacing w:after="0" w:line="313" w:lineRule="auto"/>
        <w:rPr>
          <w:sz w:val="20"/>
          <w:szCs w:val="20"/>
          <w:color w:val="auto"/>
        </w:rPr>
      </w:pPr>
      <w:r>
        <w:rPr>
          <w:rFonts w:ascii="Times New Roman" w:cs="Times New Roman" w:eastAsia="Times New Roman" w:hAnsi="Times New Roman"/>
          <w:sz w:val="18"/>
          <w:szCs w:val="18"/>
          <w:color w:val="auto"/>
        </w:rPr>
        <w:t>may have committed an Act of Misconduct as described in this Section, the Authorized Officer, Administrator or the Board may suspend the Participant’s rights to exercise any Option, to vest in an Award, and/or to receive payment for or receive Shares in settlement of an Award pending a determination of whether an Act of Misconduct has been committed.</w:t>
      </w:r>
    </w:p>
    <w:p>
      <w:pPr>
        <w:spacing w:after="0" w:line="14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If the Administrator or an Authorized Officer determines a Participant has committed an Act of Misconduct, then except as otherwise provided by the Administrator, (i) neither the Participant nor his or her estate nor transferee shall be entitled to exercise any Option or Stock Appreciation Right whatsoever, vest in or have the restrictions on an Award lapse, or otherwise receive payment of an Award, (ii) the Participant will forfeit all outstanding Awards and (iii) the Participant may be required, at the Administrator’s sole discretion, to return and/or repay to the Company any then vested Shares previously issued under the Plan (or any gain realized upon the Participant’s sale of Shares issued under an Award). In making such determination, the Administrator or an Authorized Officer shall give the Participant an opportunity to appear and present evidence on his or her behalf at a hearing before the Administrator or its designee or an opportunity to submit written comments, documents, information and arguments to be considered by the Administrator. Any dispute by a Participant or other person as to the determination of the Administrator shall be resolved pursuant to Section 20 of the Plan.</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Section, an Act of Misconduct, includes any of the following: act of embezzlement, fraud, dishonesty, nonpayment of any obligation owed to the Company or any Subsidiary, breach of fiduciary duty, violation of Company ethics policy or code of conduct, or deliberate disregard of the Company or Subsidiary rules resulting in loss, damage or injury to the Company or any Subsidiary, or if a Participant makes an unauthorized disclosure of any Company or Subsidiary trade secret or confidential information, solicits any employee or service provider to leave the employ or cease providing services to the Company or any Subsidiary, breaches any intellectual property or assignment of inventions covenant, engages in any conduct constituting unfair competition, breaches any non-competition agreement, induces any Company or Subsidiary customer to breach a contract with the Company or any Subsidiary or to cease doing business with the Company or any Subsidiary, or induces any principal for whom the Company or any Subsidiary acts as agent to terminate such agency relationship.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20" w:firstLine="645"/>
        <w:spacing w:after="0" w:line="300" w:lineRule="auto"/>
        <w:tabs>
          <w:tab w:leader="none" w:pos="216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Recoupment. </w:t>
      </w:r>
      <w:r>
        <w:rPr>
          <w:rFonts w:ascii="Times New Roman" w:cs="Times New Roman" w:eastAsia="Times New Roman" w:hAnsi="Times New Roman"/>
          <w:sz w:val="18"/>
          <w:szCs w:val="18"/>
          <w:color w:val="auto"/>
        </w:rPr>
        <w:t>In the event the Company is required to issue an accounting restatement due to the material noncompliance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Company) of the Company with any financial reporting requirement under the U.S. federal securities laws, the Company will seek to recover any award from a Participant who is an officer subject to Section 16 of the Securities Exchange Act of 1934, as amended, who received an Award from the Company or its Subsidiaries during the three-year period preceding the date on which the Company is required to prepare a restatement. For purposes of this Section, the amount to be recovered shall be all or any portion of an Award granted under the Plan that the Administrator determines, in its sole discretion, either (i) was granted, vested and/or settled based on the financial results that were subsequently restated in any material respect due to conduct by the Participant that the independent directors of the Board or a committee of such board determine, in their sole discretion, was knowing, intentionally fraudulent or illegal, (ii) the value of such Award was affected by the financial results that were subsequently restated in any material respect as provided in clause (i), or a forfeiture or recoupment is otherwise required by any provision of applicable law or exchange listing requirements. The foregoing shall be subject to any other recoupment policy adopted by the Company and the Administrator shall have exercise its discretion in determing the amount of and method for recoupment.</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880" w:hanging="87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 and Regulations</w:t>
      </w:r>
    </w:p>
    <w:p>
      <w:pPr>
        <w:spacing w:after="0" w:line="24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Plan, the grant, issuance, vesting, exercise and settlement of Awards thereunder, and the obligation of the Company to sell, issue or deliver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07" w:right="239" w:bottom="1440" w:gutter="0" w:footer="0" w:header="0"/>
        </w:sectPr>
      </w:pPr>
    </w:p>
    <w:bookmarkStart w:id="17" w:name="page18"/>
    <w:bookmarkEnd w:id="17"/>
    <w:p>
      <w:pPr>
        <w:ind w:right="100"/>
        <w:spacing w:after="0" w:line="266" w:lineRule="auto"/>
        <w:rPr>
          <w:sz w:val="20"/>
          <w:szCs w:val="20"/>
          <w:color w:val="auto"/>
        </w:rPr>
      </w:pPr>
      <w:r>
        <w:rPr>
          <w:rFonts w:ascii="Times New Roman" w:cs="Times New Roman" w:eastAsia="Times New Roman" w:hAnsi="Times New Roman"/>
          <w:sz w:val="18"/>
          <w:szCs w:val="18"/>
          <w:color w:val="auto"/>
        </w:rPr>
        <w:t>as to which such requisite authority shall not have been obtained. No Option shall be exercisable and no Shares shall be issued and/or transferable under any other Award unless a registration statement with respect to the Shares underlying such Option is effective and current or the Company has determined that such registration is unnecessary.</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event an Award is granted to or held by a Participant who is employed or providing services outside the United States, the Administrator may, in its sole discretion, modify the provisions of the Plan or of such Award as they pertain to such individual to comply with applicable foreign law or to recognize differences in local law, currency or tax policy. The Administrator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a Participant shall be required to satisfy, in a manner satisfactory to the Company, any withholding tax obligations that arise by reason of an Option exercise, disposition of Shares issued under an Incentive Stock Option, the vesting of or settlement of an Award, an election pursuant to Section 83(b) of the Code or otherwise with respect to an Award. The Company and its Subsidiaries shall not be required to issue Shares, make any payment or to recognize the transfer or disposition of Shares until such obligations are satisfied. The Administrator may provide for or permit the minimum statutory withholding obligations to be satisfied through the mandatory or elective sale of Shares and/or by having the Company withhold a portion of the Shares that otherwise would be issued to him or her upon exercise of the Option or the vesting or settlement of an Award, or by tendering Shares previously acquired.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p>
    <w:p>
      <w:pPr>
        <w:spacing w:after="0" w:line="254" w:lineRule="exact"/>
        <w:rPr>
          <w:rFonts w:ascii="Times New Roman" w:cs="Times New Roman" w:eastAsia="Times New Roman" w:hAnsi="Times New Roman"/>
          <w:sz w:val="18"/>
          <w:szCs w:val="18"/>
          <w:color w:val="auto"/>
        </w:rPr>
      </w:pPr>
    </w:p>
    <w:p>
      <w:pPr>
        <w:ind w:firstLine="656"/>
        <w:spacing w:after="0" w:line="300" w:lineRule="auto"/>
        <w:tabs>
          <w:tab w:leader="none" w:pos="14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of the Plan</w:t>
      </w:r>
      <w:r>
        <w:rPr>
          <w:rFonts w:ascii="Times New Roman" w:cs="Times New Roman" w:eastAsia="Times New Roman" w:hAnsi="Times New Roman"/>
          <w:sz w:val="18"/>
          <w:szCs w:val="18"/>
          <w:color w:val="auto"/>
        </w:rPr>
        <w:t>. The Plan shall be administered by the Administrator who shall be the Compensation Committee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the absence of a Compensation Committee, a properly constituted Compensation Committee or the Board itself. Any power of the Administrator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or cause an Award designated as a Performance Award not to qualify for treatment as performance-based compensation under Section 162(m) of the Code. To the extent that any permitted action taken by the Board conflicts with action taken by the Administrator, the Board action shall control. The Compensation Committee may by resolution authorize one or more officers of the Company to perform any or all things that the Administrator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Option agreement theretofore approved by the Compensation and Organization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and/or to one or more agents.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firstLine="656"/>
        <w:spacing w:after="0" w:line="301" w:lineRule="auto"/>
        <w:tabs>
          <w:tab w:leader="none" w:pos="150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Administrator</w:t>
      </w:r>
      <w:r>
        <w:rPr>
          <w:rFonts w:ascii="Times New Roman" w:cs="Times New Roman" w:eastAsia="Times New Roman" w:hAnsi="Times New Roman"/>
          <w:sz w:val="18"/>
          <w:szCs w:val="18"/>
          <w:color w:val="auto"/>
        </w:rPr>
        <w:t>. Subject to the express provisions of this Plan, the Administrator shall be authorized and empowered to do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of control), or other factors; (iv) to establish and verify the extent of satisfaction of any performance goals or other conditions applicable to the grant, issuance, exercisability, vesting</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580" w:right="279" w:bottom="1440" w:gutter="0" w:footer="0" w:header="0"/>
        </w:sectPr>
      </w:pPr>
    </w:p>
    <w:bookmarkStart w:id="18" w:name="page19"/>
    <w:bookmarkEnd w:id="18"/>
    <w:p>
      <w:pPr>
        <w:spacing w:after="0" w:line="305" w:lineRule="auto"/>
        <w:rPr>
          <w:sz w:val="20"/>
          <w:szCs w:val="20"/>
          <w:color w:val="auto"/>
        </w:rPr>
      </w:pPr>
      <w:r>
        <w:rPr>
          <w:rFonts w:ascii="Times New Roman" w:cs="Times New Roman" w:eastAsia="Times New Roman" w:hAnsi="Times New Roman"/>
          <w:sz w:val="18"/>
          <w:szCs w:val="18"/>
          <w:color w:val="auto"/>
        </w:rPr>
        <w:t>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whether, and the extent to which, adjustments are required pursuant to Section 14; (vii) to interpret and construe this Plan, any rules and regulations under this Plan and the terms and conditions of any Award granted hereunder, and to make exceptions to any such provisions in good faith and for the benefit of the Company; and (viii) to make all other determinations deemed necessary or advisable for the administration of this Plan.</w:t>
      </w:r>
    </w:p>
    <w:p>
      <w:pPr>
        <w:spacing w:after="0" w:line="182" w:lineRule="exact"/>
        <w:rPr>
          <w:sz w:val="20"/>
          <w:szCs w:val="20"/>
          <w:color w:val="auto"/>
        </w:rPr>
      </w:pPr>
    </w:p>
    <w:p>
      <w:pPr>
        <w:ind w:firstLine="656"/>
        <w:spacing w:after="0" w:line="306" w:lineRule="auto"/>
        <w:tabs>
          <w:tab w:leader="none" w:pos="14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Determinations by the Administrator</w:t>
      </w:r>
      <w:r>
        <w:rPr>
          <w:rFonts w:ascii="Times New Roman" w:cs="Times New Roman" w:eastAsia="Times New Roman" w:hAnsi="Times New Roman"/>
          <w:sz w:val="18"/>
          <w:szCs w:val="18"/>
          <w:color w:val="auto"/>
        </w:rPr>
        <w:t>. All decisions, determinations and interpretations by the Administrator regarding the Plan, any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regulations under the Plan and the terms and conditions of or operation of any Award granted hereunder, shall be final and binding on all Participants, beneficiaries, heirs, assigns or other persons holding or claiming rights under the Plan or any Award.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179" w:lineRule="exact"/>
        <w:rPr>
          <w:rFonts w:ascii="Times New Roman" w:cs="Times New Roman" w:eastAsia="Times New Roman" w:hAnsi="Times New Roman"/>
          <w:sz w:val="18"/>
          <w:szCs w:val="18"/>
          <w:color w:val="auto"/>
        </w:rPr>
      </w:pPr>
    </w:p>
    <w:p>
      <w:pPr>
        <w:ind w:right="100" w:firstLine="656"/>
        <w:spacing w:after="0" w:line="306" w:lineRule="auto"/>
        <w:tabs>
          <w:tab w:leader="none" w:pos="15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Awards</w:t>
      </w:r>
      <w:r>
        <w:rPr>
          <w:rFonts w:ascii="Times New Roman" w:cs="Times New Roman" w:eastAsia="Times New Roman" w:hAnsi="Times New Roman"/>
          <w:sz w:val="18"/>
          <w:szCs w:val="18"/>
          <w:color w:val="auto"/>
        </w:rPr>
        <w:t>. In the case of a grant of an Award to any Participant employed by a Subsidiary, such grant may, if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directs, be implemented by the Company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Plan. Notwithstanding any other provision hereof, such Award may be issued by and in the name of the Subsidiary and shall be deemed granted on such date as the Administrator shall determine.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80" w:hanging="872"/>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Plan or Awards</w:t>
      </w:r>
    </w:p>
    <w:p>
      <w:pPr>
        <w:spacing w:after="0" w:line="24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Board may amend, alter or discontinue this Plan and the Administrator may amend, or alter any agreement or other document evidencing an Award made under this Plan but, except as provided pursuant to the provisions of Section 14, no such amendment shall, without the approval of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00" w:hanging="844"/>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Shares for which Awards may be granted under this Plan;</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price at which Options may be granted below the price provided for in Section 6(b);</w:t>
      </w:r>
    </w:p>
    <w:p>
      <w:pPr>
        <w:spacing w:after="0" w:line="26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price of outstanding Options;</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26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w:t>
      </w:r>
    </w:p>
    <w:p>
      <w:pPr>
        <w:spacing w:after="0" w:line="26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under the Nasdaq listing requirements; or</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individual maximum limits in Section 5(c).</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w:t>
      </w:r>
    </w:p>
    <w:p>
      <w:pPr>
        <w:spacing w:after="0" w:line="2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 amendment or alteration to the Plan or an Award or Award Agreement shall be made which would materially impair the rights of the holder of an Award, without such holder’s consent, provided that no such consent shall be required if the Administrator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607" w:right="259" w:bottom="1440" w:gutter="0" w:footer="0" w:header="0"/>
        </w:sectPr>
      </w:pPr>
    </w:p>
    <w:bookmarkStart w:id="19" w:name="page20"/>
    <w:bookmarkEnd w:id="19"/>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Liability of Company</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and any Subsidiary or affiliate which is in existence or hereafter comes into existence shall not be liable to a Participant or any other person as to: (i) the non-issuance or sale of Shares as to which the Company has been unable to obtain from any regulatory body having jurisdiction or the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17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of Plan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Neither the adoption of this Plan by the Board nor the submission of this Plan to the shareholders of the Company for approval shall be construed as creating any limitations to the power of the Board or the Administrator to adopt such other incentive arrangements as either may deem desirable, including without limitation, the granting of restricted stock or stock options otherwise than under this Plan or an arrangement not intended to qualify under Code Section 162(m), and such arrangements may be either generally applicable or applicable only in specific cases.</w:t>
      </w:r>
    </w:p>
    <w:p>
      <w:pPr>
        <w:spacing w:after="0" w:line="17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Plan and any agreements or other documents hereunder shall be interpreted and construed in accordance with the laws of the State of Utah and applicable federal law. Any reference in this Plan or in the agreement or other document evidencing any Awards to a provision of law or to a rule or regulation shall be deemed to include any successor law, rule or regulation of similar effect or applicability.</w:t>
      </w:r>
    </w:p>
    <w:p>
      <w:pPr>
        <w:spacing w:after="0" w:line="17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 to Employment, Reelection or Continued Service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Sections 4 and 22, this Plan and the benefits hereunder may be terminated at any time in the sole and exclusive discretion of the Board without giving rise to any liability on the part of the Company, its Subsidiaries and/or its affiliates.</w:t>
      </w:r>
    </w:p>
    <w:p>
      <w:pPr>
        <w:spacing w:after="0" w:line="18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Standoff</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To the extent requested by the Company and any underwriter of securities of the Company in connection with a firm commitment underwriting, no holder of any Shares received as part of an Award will sell or otherwise transfer any such Shares not included in such underwriting, or not previously registered pursuant to a registration statement filed under the Securities Act of 1933, during the one hundred eighty (180) day period following the effective date of the registration statement filed with the Securities and Exchange Commission in connection with such offering, which period may be reduced in the sole discretion of the Company.</w:t>
      </w:r>
    </w:p>
    <w:p>
      <w:pPr>
        <w:spacing w:after="0" w:line="18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Unfunded Plan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Plan is intended to be an unfunded plan. Participants are and shall at all times be general creditors of the Company with respect to their Awards. If the Administrator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576" w:right="2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EFFECTIVE DECEMBER 12, 2014</w:t>
      </w:r>
    </w:p>
    <w:p>
      <w:pPr>
        <w:spacing w:after="0" w:line="20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ClearOne, Inc. (the “Company”) adopted and maintains the ClearOne, Inc. Equity Incentive Plan (the “Plan”), as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December 12, 2014, to provide an opportunity for its eligible employees and certain independent contractors to earn incentive awards in consideration for their services;</w:t>
      </w:r>
    </w:p>
    <w:p>
      <w:pPr>
        <w:spacing w:after="0" w:line="171"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21 of the Plan, the Company’s Board of Directors has retained the right to amend the Plan and now desires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Plan to clarify awards of dividend equivalents available for issuance under the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effective as of December 12, 2014, the Plan is hereby amended as follows:</w:t>
      </w: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Section 6(a) is hereby amended by replacing the second sentence set forth therein with the following:</w:t>
      </w:r>
    </w:p>
    <w:p>
      <w:pPr>
        <w:spacing w:after="0" w:line="225" w:lineRule="exact"/>
        <w:rPr>
          <w:sz w:val="20"/>
          <w:szCs w:val="20"/>
          <w:color w:val="auto"/>
        </w:rPr>
      </w:pPr>
    </w:p>
    <w:p>
      <w:pPr>
        <w:ind w:left="660" w:right="200" w:firstLine="648"/>
        <w:spacing w:after="0" w:line="282" w:lineRule="auto"/>
        <w:rPr>
          <w:sz w:val="20"/>
          <w:szCs w:val="20"/>
          <w:color w:val="auto"/>
        </w:rPr>
      </w:pPr>
      <w:r>
        <w:rPr>
          <w:rFonts w:ascii="Times New Roman" w:cs="Times New Roman" w:eastAsia="Times New Roman" w:hAnsi="Times New Roman"/>
          <w:sz w:val="18"/>
          <w:szCs w:val="18"/>
          <w:color w:val="auto"/>
        </w:rPr>
        <w:t>“No Participant shall have any rights as a shareholder with respect to any Shares subject to Options hereunder until said Shares have been issued, except that the Administrator may authorize and grant dividend equivalents with respect to such Shares.”</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tab/>
        <w:t>Section 9(b) is hereby amended by replacing the first sentence set forth therein with the following:</w:t>
      </w:r>
    </w:p>
    <w:p>
      <w:pPr>
        <w:spacing w:after="0" w:line="225" w:lineRule="exact"/>
        <w:rPr>
          <w:sz w:val="20"/>
          <w:szCs w:val="20"/>
          <w:color w:val="auto"/>
        </w:rPr>
      </w:pPr>
    </w:p>
    <w:p>
      <w:pPr>
        <w:ind w:left="660" w:right="120" w:firstLine="648"/>
        <w:spacing w:after="0" w:line="261" w:lineRule="auto"/>
        <w:rPr>
          <w:sz w:val="20"/>
          <w:szCs w:val="20"/>
          <w:color w:val="auto"/>
        </w:rPr>
      </w:pPr>
      <w:r>
        <w:rPr>
          <w:rFonts w:ascii="Times New Roman" w:cs="Times New Roman" w:eastAsia="Times New Roman" w:hAnsi="Times New Roman"/>
          <w:sz w:val="18"/>
          <w:szCs w:val="18"/>
          <w:color w:val="auto"/>
        </w:rPr>
        <w:t>“If the Administrator so chooses, it may grant dividend equivalents, which shall consist of a grant to a Participant made in connection with any Award otherwise granted under the Plan, payable in Shares or a cash payment equal to all or a portion of the dividends the Participant would have received had the Participant owned the number of Shares subject to the Award on the date established by the Administrator or the Board, as applicable.”</w:t>
      </w:r>
    </w:p>
    <w:p>
      <w:pPr>
        <w:spacing w:after="0" w:line="180" w:lineRule="exact"/>
        <w:rPr>
          <w:sz w:val="20"/>
          <w:szCs w:val="20"/>
          <w:color w:val="auto"/>
        </w:rPr>
      </w:pPr>
    </w:p>
    <w:p>
      <w:pPr>
        <w:ind w:left="10800"/>
        <w:spacing w:after="0"/>
        <w:tabs>
          <w:tab w:leader="none" w:pos="11040" w:val="left"/>
          <w:tab w:leader="none" w:pos="1132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ClearOne, Inc. has caused this Amendment No. 1 to the Plan to be executed by its duly authorized representatives on this 12 day of December 2014.</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Zeynep Hakimoglu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Narsi Narayanan</w:t>
      </w:r>
    </w:p>
    <w:p>
      <w:pPr>
        <w:spacing w:after="0" w:line="76" w:lineRule="exact"/>
        <w:rPr>
          <w:sz w:val="20"/>
          <w:szCs w:val="20"/>
          <w:color w:val="auto"/>
        </w:rPr>
      </w:pPr>
    </w:p>
    <w:p>
      <w:pPr>
        <w:sectPr>
          <w:pgSz w:w="11900" w:h="16838" w:orient="portrait"/>
          <w:cols w:equalWidth="0" w:num="4">
            <w:col w:w="540" w:space="400"/>
            <w:col w:w="3980" w:space="720"/>
            <w:col w:w="260" w:space="620"/>
            <w:col w:w="4900"/>
          </w:cols>
          <w:pgMar w:left="240" w:top="576" w:right="2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Narsi Narayanan</w:t>
      </w:r>
    </w:p>
    <w:p>
      <w:pPr>
        <w:spacing w:after="0" w:line="74" w:lineRule="exact"/>
        <w:rPr>
          <w:sz w:val="20"/>
          <w:szCs w:val="20"/>
          <w:color w:val="auto"/>
        </w:rPr>
      </w:pPr>
    </w:p>
    <w:p>
      <w:pPr>
        <w:sectPr>
          <w:pgSz w:w="11900" w:h="16838" w:orient="portrait"/>
          <w:cols w:equalWidth="0" w:num="2">
            <w:col w:w="5800" w:space="720"/>
            <w:col w:w="4900"/>
          </w:cols>
          <w:pgMar w:left="240" w:top="576" w:right="2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Vice President of Finance and Corporate Secretary</w:t>
      </w:r>
    </w:p>
    <w:p>
      <w:pPr>
        <w:sectPr>
          <w:pgSz w:w="11900" w:h="16838" w:orient="portrait"/>
          <w:cols w:equalWidth="0" w:num="2">
            <w:col w:w="5800" w:space="720"/>
            <w:col w:w="4900"/>
          </w:cols>
          <w:pgMar w:left="240" w:top="576" w:right="239"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on Legality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Seyfarth Shaw LLP Letterhead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29,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5225 Wile Post Way,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 84116</w:t>
      </w:r>
    </w:p>
    <w:p>
      <w:pPr>
        <w:sectPr>
          <w:pgSz w:w="11900" w:h="16838" w:orient="portrait"/>
          <w:cols w:equalWidth="0" w:num="1">
            <w:col w:w="11420"/>
          </w:cols>
          <w:pgMar w:left="240" w:top="576"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Registration Statement on Form S-8 Post-Effective Amendment No. 1 of ClearOne, Inc. - ClearOne, Inc. Equity Incentive Plan, which amends and restates the 2007 Equity Incentive Plan (the “Plan”)</w:t>
      </w:r>
    </w:p>
    <w:p>
      <w:pPr>
        <w:spacing w:after="0" w:line="162" w:lineRule="exact"/>
        <w:rPr>
          <w:sz w:val="20"/>
          <w:szCs w:val="20"/>
          <w:color w:val="auto"/>
        </w:rPr>
      </w:pPr>
    </w:p>
    <w:p>
      <w:pPr>
        <w:sectPr>
          <w:pgSz w:w="11900" w:h="16838" w:orient="portrait"/>
          <w:cols w:equalWidth="0" w:num="2">
            <w:col w:w="940" w:space="360"/>
            <w:col w:w="1012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for ClearOne, Inc., a Utah corporation (the “Company”), in connection with the referenced Registration Statement on Form S-8 Post-Effective Amendment No. 1 (the “Amendment”) being filed by the Company with the Securities and Exchange Commission (the “Commission”) under the Securities Act of 1933, as amended, and covering an additional 1,000,000 shares of the Company’s common stock, $0.001 par value per share (the “Common Stock”), that may be issued, offered and sold pursuant to the grant and exercise of awards under the Plan. We have been requested to furnish this Opinion Letter to be included as Exhibit 5 to the Amendment.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capacity described above, we have considered such matters of law and of fact, including the examination of originals or copies, certified or otherwise identified to our satisfaction, of such records and documents of the Company, certificates of public officials and such other documents as we have deemed appropriate as a basis for the opinion hereinafter set forth. Without limiting the foregoing, we have assumed without verification the genuineness of all signatures on all documents, the authority of the parties (other than the Company) executing such documents, the authenticity of all documents submitted to us as originals, and the conformity to original documents of all documents submitted to us as copies. The opinions set forth herein are based on existing laws, ordinances, rules, regulations, and judicial and administrative decisions as they presently have been interpreted, and we can give no assurances that our opinions would not be different after any change in any of the foregoing occurring after the date hereof. We have assumed without verification that, with respect to the minutes of any meetings of the Board of Directors or any committees thereof of the Company or of the shareholders of the Company that we have examined, due notice of the meetings was given or duly waived, the minutes accurately and completely reflect all actions taken at the meetings and a quorum was present and acting throughout the meetings. We have assumed without verification the accuracy and completeness of all corporate records made available to us by the Company.</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foregoing, upon the assumption that there will be no material changes in the documents we have examined and the matters investigated referred to above, we are of the opinion that the shares of Common Stock covered by the Amendment and to be issued pursuant to the Plan have been duly authorized by all requisite action on the part of the Company and, when issued in accordance with the terms and conditions of the Plan and for legal consideration not less than the consideration the Board of Directors of the Company has determined is adequate, will be legally and validly issued, fully paid and non-assessable.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Letter is provided to you for your sole benefit, and may not be relied upon by any other person or for any other purpose without our prior written consent. This letter speaks only as of the date hereof and we have no responsibilities to update or supplement it after such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 to the Amendment and further consent to the use of our name wherever appearing in the Registration Statement. By giving such consent we do not thereby admit we are in the category of persons where consent is required under Section 7 of the Securities Act of 1933, as amended, or the rules and regulations promulgated thereunder.</w:t>
      </w:r>
    </w:p>
    <w:p>
      <w:pPr>
        <w:spacing w:after="0" w:line="3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 Seyfarth Shaw LLP</w:t>
      </w:r>
    </w:p>
    <w:p>
      <w:pPr>
        <w:sectPr>
          <w:pgSz w:w="11900" w:h="16838" w:orient="portrait"/>
          <w:cols w:equalWidth="0" w:num="1">
            <w:col w:w="11420"/>
          </w:cols>
          <w:pgMar w:left="240" w:top="576" w:right="2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ClearOne, Inc. of our report dated March 30, 2015, relating to our audit of the consolidated financial statements which appears in the Annual Report on Form 10-K of ClearOne, Inc. for the year ended December 31, 2014.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McGladrey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lvl w:ilvl="1">
      <w:lvlJc w:val="left"/>
      <w:lvlText w:val="(%2)"/>
      <w:numFmt w:val="lowerLetter"/>
      <w:start w:val="1"/>
    </w:lvl>
  </w:abstractNum>
  <w:abstractNum w:abstractNumId="4">
    <w:nsid w:val="8EDBDAB"/>
    <w:multiLevelType w:val="hybridMultilevel"/>
    <w:lvl w:ilvl="0">
      <w:lvlJc w:val="left"/>
      <w:lvlText w:val="(%1)"/>
      <w:numFmt w:val="lowerLetter"/>
      <w:start w:val="10"/>
    </w:lvl>
  </w:abstractNum>
  <w:abstractNum w:abstractNumId="5">
    <w:nsid w:val="79838CB2"/>
    <w:multiLevelType w:val="hybridMultilevel"/>
    <w:lvl w:ilvl="0">
      <w:lvlJc w:val="left"/>
      <w:lvlText w:val="%1"/>
      <w:numFmt w:val="decimal"/>
      <w:start w:val="1"/>
    </w:lvl>
    <w:lvl w:ilvl="1">
      <w:lvlJc w:val="left"/>
      <w:lvlText w:val="(%2)"/>
      <w:numFmt w:val="lowerRoman"/>
      <w:start w:val="10"/>
    </w:lvl>
  </w:abstractNum>
  <w:abstractNum w:abstractNumId="6">
    <w:nsid w:val="4353D0CD"/>
    <w:multiLevelType w:val="hybridMultilevel"/>
    <w:lvl w:ilvl="0">
      <w:lvlJc w:val="left"/>
      <w:lvlText w:val="%1."/>
      <w:numFmt w:val="decimal"/>
      <w:start w:val="3"/>
    </w:lvl>
    <w:lvl w:ilvl="1">
      <w:lvlJc w:val="left"/>
      <w:lvlText w:val="%2"/>
      <w:numFmt w:val="lowerRoman"/>
      <w:start w:val="1"/>
    </w:lvl>
  </w:abstractNum>
  <w:abstractNum w:abstractNumId="7">
    <w:nsid w:val="B03E0C6"/>
    <w:multiLevelType w:val="hybridMultilevel"/>
    <w:lvl w:ilvl="0">
      <w:lvlJc w:val="left"/>
      <w:lvlText w:val="%1."/>
      <w:numFmt w:val="decimal"/>
      <w:start w:val="4"/>
    </w:lvl>
  </w:abstractNum>
  <w:abstractNum w:abstractNumId="8">
    <w:nsid w:val="189A769B"/>
    <w:multiLevelType w:val="hybridMultilevel"/>
    <w:lvl w:ilvl="0">
      <w:lvlJc w:val="left"/>
      <w:lvlText w:val="%1."/>
      <w:numFmt w:val="decimal"/>
      <w:start w:val="5"/>
    </w:lvl>
    <w:lvl w:ilvl="1">
      <w:lvlJc w:val="left"/>
      <w:lvlText w:val="(%2)"/>
      <w:numFmt w:val="lowerLetter"/>
      <w:start w:val="1"/>
    </w:lvl>
  </w:abstractNum>
  <w:abstractNum w:abstractNumId="9">
    <w:nsid w:val="54E49EB4"/>
    <w:multiLevelType w:val="hybridMultilevel"/>
    <w:lvl w:ilvl="0">
      <w:lvlJc w:val="left"/>
      <w:lvlText w:val="%1"/>
      <w:numFmt w:val="lowerLetter"/>
      <w:start w:val="1"/>
    </w:lvl>
    <w:lvl w:ilvl="1">
      <w:lvlJc w:val="left"/>
      <w:lvlText w:val="(%2)"/>
      <w:numFmt w:val="lowerLetter"/>
      <w:start w:val="2"/>
    </w:lvl>
  </w:abstractNum>
  <w:abstractNum w:abstractNumId="10">
    <w:nsid w:val="71F32454"/>
    <w:multiLevelType w:val="hybridMultilevel"/>
    <w:lvl w:ilvl="0">
      <w:lvlJc w:val="left"/>
      <w:lvlText w:val="(%1)"/>
      <w:numFmt w:val="lowerLetter"/>
      <w:start w:val="61"/>
    </w:lvl>
    <w:lvl w:ilvl="1">
      <w:lvlJc w:val="left"/>
      <w:lvlText w:val="(%2)"/>
      <w:numFmt w:val="lowerLetter"/>
      <w:start w:val="3"/>
    </w:lvl>
  </w:abstractNum>
  <w:abstractNum w:abstractNumId="11">
    <w:nsid w:val="2CA88611"/>
    <w:multiLevelType w:val="hybridMultilevel"/>
    <w:lvl w:ilvl="0">
      <w:lvlJc w:val="left"/>
      <w:lvlText w:val="%1."/>
      <w:numFmt w:val="decimal"/>
      <w:start w:val="6"/>
    </w:lvl>
    <w:lvl w:ilvl="1">
      <w:lvlJc w:val="left"/>
      <w:lvlText w:val="(%2)"/>
      <w:numFmt w:val="lowerLetter"/>
      <w:start w:val="1"/>
    </w:lvl>
  </w:abstractNum>
  <w:abstractNum w:abstractNumId="12">
    <w:nsid w:val="836C40E"/>
    <w:multiLevelType w:val="hybridMultilevel"/>
    <w:lvl w:ilvl="0">
      <w:lvlJc w:val="left"/>
      <w:lvlText w:val="(%1)"/>
      <w:numFmt w:val="lowerLetter"/>
      <w:start w:val="5"/>
    </w:lvl>
    <w:lvl w:ilvl="1">
      <w:lvlJc w:val="left"/>
      <w:lvlText w:val="(%2)"/>
      <w:numFmt w:val="decimal"/>
      <w:start w:val="1"/>
    </w:lvl>
  </w:abstractNum>
  <w:abstractNum w:abstractNumId="13">
    <w:nsid w:val="2901D82"/>
    <w:multiLevelType w:val="hybridMultilevel"/>
    <w:lvl w:ilvl="0">
      <w:lvlJc w:val="left"/>
      <w:lvlText w:val="%1"/>
      <w:numFmt w:val="decimal"/>
      <w:start w:val="1"/>
    </w:lvl>
    <w:lvl w:ilvl="1">
      <w:lvlJc w:val="left"/>
      <w:lvlText w:val="(%2)"/>
      <w:numFmt w:val="decimal"/>
      <w:start w:val="2"/>
    </w:lvl>
  </w:abstractNum>
  <w:abstractNum w:abstractNumId="14">
    <w:nsid w:val="3A95F874"/>
    <w:multiLevelType w:val="hybridMultilevel"/>
    <w:lvl w:ilvl="0">
      <w:lvlJc w:val="left"/>
      <w:lvlText w:val="(%1)"/>
      <w:numFmt w:val="decimal"/>
      <w:start w:val="1"/>
    </w:lvl>
    <w:lvl w:ilvl="1">
      <w:lvlJc w:val="left"/>
      <w:lvlText w:val="(%2)"/>
      <w:numFmt w:val="decimal"/>
      <w:start w:val="4"/>
    </w:lvl>
  </w:abstractNum>
  <w:abstractNum w:abstractNumId="15">
    <w:nsid w:val="8138641"/>
    <w:multiLevelType w:val="hybridMultilevel"/>
    <w:lvl w:ilvl="0">
      <w:lvlJc w:val="left"/>
      <w:lvlText w:val="%1"/>
      <w:numFmt w:val="decimal"/>
      <w:start w:val="1"/>
    </w:lvl>
    <w:lvl w:ilvl="1">
      <w:lvlJc w:val="left"/>
      <w:lvlText w:val="(%2)"/>
      <w:numFmt w:val="lowerLetter"/>
      <w:start w:val="6"/>
    </w:lvl>
  </w:abstractNum>
  <w:abstractNum w:abstractNumId="16">
    <w:nsid w:val="1E7FF521"/>
    <w:multiLevelType w:val="hybridMultilevel"/>
    <w:lvl w:ilvl="0">
      <w:lvlJc w:val="left"/>
      <w:lvlText w:val="%1."/>
      <w:numFmt w:val="decimal"/>
      <w:start w:val="7"/>
    </w:lvl>
    <w:lvl w:ilvl="1">
      <w:lvlJc w:val="left"/>
      <w:lvlText w:val="%2"/>
      <w:numFmt w:val="lowerLetter"/>
      <w:start w:val="1"/>
    </w:lvl>
  </w:abstractNum>
  <w:abstractNum w:abstractNumId="17">
    <w:nsid w:val="7C3DBD3D"/>
    <w:multiLevelType w:val="hybridMultilevel"/>
    <w:lvl w:ilvl="0">
      <w:lvlJc w:val="left"/>
      <w:lvlText w:val="%1."/>
      <w:numFmt w:val="decimal"/>
      <w:start w:val="8"/>
    </w:lvl>
    <w:lvl w:ilvl="1">
      <w:lvlJc w:val="left"/>
      <w:lvlText w:val="(%2)"/>
      <w:numFmt w:val="lowerLetter"/>
      <w:start w:val="1"/>
    </w:lvl>
  </w:abstractNum>
  <w:abstractNum w:abstractNumId="18">
    <w:nsid w:val="737B8DDC"/>
    <w:multiLevelType w:val="hybridMultilevel"/>
    <w:lvl w:ilvl="0">
      <w:lvlJc w:val="left"/>
      <w:lvlText w:val="(%1)"/>
      <w:numFmt w:val="lowerLetter"/>
      <w:start w:val="3"/>
    </w:lvl>
  </w:abstractNum>
  <w:abstractNum w:abstractNumId="19">
    <w:nsid w:val="6CEAF087"/>
    <w:multiLevelType w:val="hybridMultilevel"/>
    <w:lvl w:ilvl="0">
      <w:lvlJc w:val="left"/>
      <w:lvlText w:val="%1"/>
      <w:numFmt w:val="decimal"/>
      <w:start w:val="1"/>
    </w:lvl>
    <w:lvl w:ilvl="1">
      <w:lvlJc w:val="left"/>
      <w:lvlText w:val="(%2)"/>
      <w:numFmt w:val="lowerLetter"/>
      <w:start w:val="4"/>
    </w:lvl>
  </w:abstractNum>
  <w:abstractNum w:abstractNumId="20">
    <w:nsid w:val="22221A70"/>
    <w:multiLevelType w:val="hybridMultilevel"/>
    <w:lvl w:ilvl="0">
      <w:lvlJc w:val="left"/>
      <w:lvlText w:val="%1."/>
      <w:numFmt w:val="decimal"/>
      <w:start w:val="9"/>
    </w:lvl>
    <w:lvl w:ilvl="1">
      <w:lvlJc w:val="left"/>
      <w:lvlText w:val="(%2)"/>
      <w:numFmt w:val="lowerLetter"/>
      <w:start w:val="1"/>
    </w:lvl>
  </w:abstractNum>
  <w:abstractNum w:abstractNumId="21">
    <w:nsid w:val="4516DDE9"/>
    <w:multiLevelType w:val="hybridMultilevel"/>
    <w:lvl w:ilvl="0">
      <w:lvlJc w:val="left"/>
      <w:lvlText w:val="%1."/>
      <w:numFmt w:val="decimal"/>
      <w:start w:val="10"/>
    </w:lvl>
  </w:abstractNum>
  <w:abstractNum w:abstractNumId="22">
    <w:nsid w:val="3006C83E"/>
    <w:multiLevelType w:val="hybridMultilevel"/>
    <w:lvl w:ilvl="0">
      <w:lvlJc w:val="left"/>
      <w:lvlText w:val="%1."/>
      <w:numFmt w:val="decimal"/>
      <w:start w:val="11"/>
    </w:lvl>
  </w:abstractNum>
  <w:abstractNum w:abstractNumId="23">
    <w:nsid w:val="614FD4A1"/>
    <w:multiLevelType w:val="hybridMultilevel"/>
    <w:lvl w:ilvl="0">
      <w:lvlJc w:val="left"/>
      <w:lvlText w:val="%1."/>
      <w:numFmt w:val="decimal"/>
      <w:start w:val="12"/>
    </w:lvl>
  </w:abstractNum>
  <w:abstractNum w:abstractNumId="24">
    <w:nsid w:val="419AC241"/>
    <w:multiLevelType w:val="hybridMultilevel"/>
    <w:lvl w:ilvl="0">
      <w:lvlJc w:val="left"/>
      <w:lvlText w:val="%1."/>
      <w:numFmt w:val="decimal"/>
      <w:start w:val="13"/>
    </w:lvl>
  </w:abstractNum>
  <w:abstractNum w:abstractNumId="25">
    <w:nsid w:val="5577F8E1"/>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26">
    <w:nsid w:val="440BADF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7">
    <w:nsid w:val="5072367"/>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28">
    <w:nsid w:val="3804823E"/>
    <w:multiLevelType w:val="hybridMultilevel"/>
    <w:lvl w:ilvl="0">
      <w:lvlJc w:val="left"/>
      <w:lvlText w:val="(%1)"/>
      <w:numFmt w:val="lowerLetter"/>
      <w:start w:val="5"/>
    </w:lvl>
  </w:abstractNum>
  <w:abstractNum w:abstractNumId="29">
    <w:nsid w:val="77465F01"/>
    <w:multiLevelType w:val="hybridMultilevel"/>
    <w:lvl w:ilvl="0">
      <w:lvlJc w:val="left"/>
      <w:lvlText w:val="%1."/>
      <w:numFmt w:val="decimal"/>
      <w:start w:val="16"/>
    </w:lvl>
  </w:abstractNum>
  <w:abstractNum w:abstractNumId="30">
    <w:nsid w:val="7724C67E"/>
    <w:multiLevelType w:val="hybridMultilevel"/>
    <w:lvl w:ilvl="0">
      <w:lvlJc w:val="left"/>
      <w:lvlText w:val="%1."/>
      <w:numFmt w:val="decimal"/>
      <w:start w:val="17"/>
    </w:lvl>
    <w:lvl w:ilvl="1">
      <w:lvlJc w:val="left"/>
      <w:lvlText w:val="(%2)"/>
      <w:numFmt w:val="lowerLetter"/>
      <w:start w:val="1"/>
    </w:lvl>
  </w:abstractNum>
  <w:abstractNum w:abstractNumId="31">
    <w:nsid w:val="5C482A97"/>
    <w:multiLevelType w:val="hybridMultilevel"/>
    <w:lvl w:ilvl="0">
      <w:lvlJc w:val="left"/>
      <w:lvlText w:val="%1"/>
      <w:numFmt w:val="decimal"/>
      <w:start w:val="1"/>
    </w:lvl>
    <w:lvl w:ilvl="1">
      <w:lvlJc w:val="left"/>
      <w:lvlText w:val="(%2)"/>
      <w:numFmt w:val="lowerLetter"/>
      <w:start w:val="2"/>
    </w:lvl>
  </w:abstractNum>
  <w:abstractNum w:abstractNumId="32">
    <w:nsid w:val="2463B9EA"/>
    <w:multiLevelType w:val="hybridMultilevel"/>
    <w:lvl w:ilvl="0">
      <w:lvlJc w:val="left"/>
      <w:lvlText w:val="%1."/>
      <w:numFmt w:val="decimal"/>
      <w:start w:val="18"/>
    </w:lvl>
    <w:lvl w:ilvl="1">
      <w:lvlJc w:val="left"/>
      <w:lvlText w:val="%2"/>
      <w:numFmt w:val="lowerLetter"/>
      <w:start w:val="1"/>
    </w:lvl>
  </w:abstractNum>
  <w:abstractNum w:abstractNumId="33">
    <w:nsid w:val="5E884ADC"/>
    <w:multiLevelType w:val="hybridMultilevel"/>
    <w:lvl w:ilvl="0">
      <w:lvlJc w:val="left"/>
      <w:lvlText w:val="%1."/>
      <w:numFmt w:val="decimal"/>
      <w:start w:val="19"/>
    </w:lvl>
  </w:abstractNum>
  <w:abstractNum w:abstractNumId="34">
    <w:nsid w:val="51EAD36B"/>
    <w:multiLevelType w:val="hybridMultilevel"/>
    <w:lvl w:ilvl="0">
      <w:lvlJc w:val="left"/>
      <w:lvlText w:val="%1."/>
      <w:numFmt w:val="decimal"/>
      <w:start w:val="20"/>
    </w:lvl>
    <w:lvl w:ilvl="1">
      <w:lvlJc w:val="left"/>
      <w:lvlText w:val="(%2)"/>
      <w:numFmt w:val="lowerLetter"/>
      <w:start w:val="1"/>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decimal"/>
      <w:start w:val="2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22"/>
    </w:lvl>
  </w:abstractNum>
  <w:abstractNum w:abstractNumId="39">
    <w:nsid w:val="70A64E2A"/>
    <w:multiLevelType w:val="hybridMultilevel"/>
    <w:lvl w:ilvl="0">
      <w:lvlJc w:val="left"/>
      <w:lvlText w:val="%1."/>
      <w:numFmt w:val="decimal"/>
      <w:start w:val="23"/>
    </w:lvl>
  </w:abstractNum>
  <w:abstractNum w:abstractNumId="40">
    <w:nsid w:val="6A2342EC"/>
    <w:multiLevelType w:val="hybridMultilevel"/>
    <w:lvl w:ilvl="0">
      <w:lvlJc w:val="left"/>
      <w:lvlText w:val="%1."/>
      <w:numFmt w:val="decimal"/>
      <w:start w:val="24"/>
    </w:lvl>
  </w:abstractNum>
  <w:abstractNum w:abstractNumId="41">
    <w:nsid w:val="2A487CB0"/>
    <w:multiLevelType w:val="hybridMultilevel"/>
    <w:lvl w:ilvl="0">
      <w:lvlJc w:val="left"/>
      <w:lvlText w:val="%1."/>
      <w:numFmt w:val="decimal"/>
      <w:start w:val="25"/>
    </w:lvl>
  </w:abstractNum>
  <w:abstractNum w:abstractNumId="42">
    <w:nsid w:val="1D4ED43B"/>
    <w:multiLevelType w:val="hybridMultilevel"/>
    <w:lvl w:ilvl="0">
      <w:lvlJc w:val="left"/>
      <w:lvlText w:val="%1."/>
      <w:numFmt w:val="decimal"/>
      <w:start w:val="26"/>
    </w:lvl>
  </w:abstractNum>
  <w:abstractNum w:abstractNumId="43">
    <w:nsid w:val="725A06FB"/>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2019-12-06T04:02:36Z</dcterms:created>
  <dcterms:modified xsi:type="dcterms:W3CDTF">2019-12-06T04:02:36Z</dcterms:modified>
</cp:coreProperties>
</file>