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CLEARONE Communications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#185060100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FMR Corp.</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1,120,900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1,120,900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10.001%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1,120,900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1,120,900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10.001%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#185060100</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1,120,900</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1,120,900</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10.001%</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CLEARONE Communications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1825 Research Way</w:t>
      </w:r>
    </w:p>
    <w:p>
      <w:pPr>
        <w:ind w:left="1700"/>
        <w:spacing w:after="0"/>
        <w:tabs>
          <w:tab w:leader="none" w:pos="3780" w:val="left"/>
        </w:tabs>
        <w:rPr>
          <w:sz w:val="20"/>
          <w:szCs w:val="20"/>
          <w:color w:val="auto"/>
        </w:rPr>
      </w:pPr>
      <w:r>
        <w:rPr>
          <w:rFonts w:ascii="Courier New" w:cs="Courier New" w:eastAsia="Courier New" w:hAnsi="Courier New"/>
          <w:sz w:val="18"/>
          <w:szCs w:val="18"/>
          <w:color w:val="auto"/>
        </w:rPr>
        <w:t>Salt Lake City, UT</w:t>
      </w:r>
      <w:r>
        <w:rPr>
          <w:sz w:val="20"/>
          <w:szCs w:val="20"/>
          <w:color w:val="auto"/>
        </w:rPr>
        <w:tab/>
      </w:r>
      <w:r>
        <w:rPr>
          <w:rFonts w:ascii="Courier New" w:cs="Courier New" w:eastAsia="Courier New" w:hAnsi="Courier New"/>
          <w:sz w:val="16"/>
          <w:szCs w:val="16"/>
          <w:color w:val="auto"/>
        </w:rPr>
        <w:t>84119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ectPr>
          <w:pgSz w:w="11900" w:h="16855" w:orient="portrait"/>
          <w:cols w:equalWidth="0" w:num="1">
            <w:col w:w="10219"/>
          </w:cols>
          <w:pgMar w:left="240" w:top="244" w:right="1440" w:bottom="0" w:gutter="0" w:footer="0" w:header="0"/>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185060100</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1,120,900</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10.001%</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1,120,900</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CLEARONE Communications Incorporated. The interest of one person, Fidelity Low Priced Stock Fund, an investment company registered under the Investment Company Act of 1940, in the Common Stock of CLEARONE Communications Incorporated, amounted to</w:t>
      </w:r>
    </w:p>
    <w:p>
      <w:pPr>
        <w:spacing w:after="0" w:line="9"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1,114,200 shares or 9.941% of the total outstanding Common Stock at January 31, 2003.</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Schedule 13G in connection with FMR Corp.'s beneficial ownership of the Common Stock of CLEARONE Communications</w:t>
      </w:r>
    </w:p>
    <w:p>
      <w:pPr>
        <w:spacing w:after="0"/>
        <w:rPr>
          <w:sz w:val="20"/>
          <w:szCs w:val="20"/>
          <w:color w:val="auto"/>
        </w:rPr>
      </w:pPr>
      <w:r>
        <w:rPr>
          <w:rFonts w:ascii="Courier New" w:cs="Courier New" w:eastAsia="Courier New" w:hAnsi="Courier New"/>
          <w:sz w:val="18"/>
          <w:szCs w:val="18"/>
          <w:color w:val="auto"/>
        </w:rPr>
        <w:t>Incorporated at January 31, 2003 is true, complete and correct.</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February 10, 2003</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rPr>
          <w:sz w:val="20"/>
          <w:szCs w:val="20"/>
          <w:color w:val="auto"/>
        </w:rPr>
      </w:pPr>
      <w:r>
        <w:rPr>
          <w:rFonts w:ascii="Courier New" w:cs="Courier New" w:eastAsia="Courier New" w:hAnsi="Courier New"/>
          <w:sz w:val="18"/>
          <w:szCs w:val="18"/>
          <w:color w:val="auto"/>
        </w:rPr>
        <w:t>dated December 30, 1997 by and on behalf</w:t>
      </w:r>
    </w:p>
    <w:p>
      <w:pPr>
        <w:spacing w:after="0" w:line="237" w:lineRule="auto"/>
        <w:rPr>
          <w:sz w:val="20"/>
          <w:szCs w:val="20"/>
          <w:color w:val="auto"/>
        </w:rPr>
      </w:pPr>
      <w:r>
        <w:rPr>
          <w:rFonts w:ascii="Courier New" w:cs="Courier New" w:eastAsia="Courier New" w:hAnsi="Courier New"/>
          <w:sz w:val="18"/>
          <w:szCs w:val="18"/>
          <w:color w:val="auto"/>
        </w:rPr>
        <w:t>of FMR Corp. and its direct and indirect</w:t>
      </w:r>
    </w:p>
    <w:p>
      <w:pPr>
        <w:spacing w:after="0" w:line="238" w:lineRule="auto"/>
        <w:rPr>
          <w:sz w:val="20"/>
          <w:szCs w:val="20"/>
          <w:color w:val="auto"/>
        </w:rPr>
      </w:pPr>
      <w:r>
        <w:rPr>
          <w:rFonts w:ascii="Courier New" w:cs="Courier New" w:eastAsia="Courier New" w:hAnsi="Courier New"/>
          <w:sz w:val="18"/>
          <w:szCs w:val="18"/>
          <w:color w:val="auto"/>
        </w:rPr>
        <w:t>subsidiaries</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the instructions in Item 7 of Schedule</w:t>
      </w:r>
    </w:p>
    <w:p>
      <w:pPr>
        <w:spacing w:after="0" w:line="238" w:lineRule="auto"/>
        <w:rPr>
          <w:sz w:val="20"/>
          <w:szCs w:val="20"/>
          <w:color w:val="auto"/>
        </w:rPr>
      </w:pPr>
      <w:r>
        <w:rPr>
          <w:rFonts w:ascii="Courier New" w:cs="Courier New" w:eastAsia="Courier New" w:hAnsi="Courier New"/>
          <w:sz w:val="18"/>
          <w:szCs w:val="18"/>
          <w:color w:val="auto"/>
        </w:rPr>
        <w:t>13G, Fidelity Management &amp; Research Company</w:t>
      </w:r>
    </w:p>
    <w:p>
      <w:pPr>
        <w:spacing w:after="0"/>
        <w:rPr>
          <w:sz w:val="20"/>
          <w:szCs w:val="20"/>
          <w:color w:val="auto"/>
        </w:rPr>
      </w:pPr>
      <w:r>
        <w:rPr>
          <w:rFonts w:ascii="Courier New" w:cs="Courier New" w:eastAsia="Courier New" w:hAnsi="Courier New"/>
          <w:sz w:val="18"/>
          <w:szCs w:val="18"/>
          <w:color w:val="auto"/>
        </w:rPr>
        <w:t>("Fidelity"), 82 Devonshire Street, Boston, Massachusetts</w:t>
      </w:r>
    </w:p>
    <w:p>
      <w:pPr>
        <w:spacing w:after="0" w:line="237" w:lineRule="auto"/>
        <w:rPr>
          <w:sz w:val="20"/>
          <w:szCs w:val="20"/>
          <w:color w:val="auto"/>
        </w:rPr>
      </w:pPr>
      <w:r>
        <w:rPr>
          <w:rFonts w:ascii="Courier New" w:cs="Courier New" w:eastAsia="Courier New" w:hAnsi="Courier New"/>
          <w:sz w:val="18"/>
          <w:szCs w:val="18"/>
          <w:color w:val="auto"/>
        </w:rPr>
        <w:t>02109, a wholly-owned subsidiary of FMR Corp. and an</w:t>
      </w:r>
    </w:p>
    <w:p>
      <w:pPr>
        <w:spacing w:after="0" w:line="238" w:lineRule="auto"/>
        <w:rPr>
          <w:sz w:val="20"/>
          <w:szCs w:val="20"/>
          <w:color w:val="auto"/>
        </w:rPr>
      </w:pPr>
      <w:r>
        <w:rPr>
          <w:rFonts w:ascii="Courier New" w:cs="Courier New" w:eastAsia="Courier New" w:hAnsi="Courier New"/>
          <w:sz w:val="18"/>
          <w:szCs w:val="18"/>
          <w:color w:val="auto"/>
        </w:rPr>
        <w:t>investment adviser registered under Section 203 of the</w:t>
      </w:r>
    </w:p>
    <w:p>
      <w:pPr>
        <w:spacing w:after="0"/>
        <w:rPr>
          <w:sz w:val="20"/>
          <w:szCs w:val="20"/>
          <w:color w:val="auto"/>
        </w:rPr>
      </w:pPr>
      <w:r>
        <w:rPr>
          <w:rFonts w:ascii="Courier New" w:cs="Courier New" w:eastAsia="Courier New" w:hAnsi="Courier New"/>
          <w:sz w:val="18"/>
          <w:szCs w:val="18"/>
          <w:color w:val="auto"/>
        </w:rPr>
        <w:t>Investment Advisers Act of 1940, is the beneficial owner of</w:t>
      </w:r>
    </w:p>
    <w:p>
      <w:pPr>
        <w:spacing w:after="0" w:line="237" w:lineRule="auto"/>
        <w:rPr>
          <w:sz w:val="20"/>
          <w:szCs w:val="20"/>
          <w:color w:val="auto"/>
        </w:rPr>
      </w:pPr>
      <w:r>
        <w:rPr>
          <w:rFonts w:ascii="Courier New" w:cs="Courier New" w:eastAsia="Courier New" w:hAnsi="Courier New"/>
          <w:sz w:val="18"/>
          <w:szCs w:val="18"/>
          <w:color w:val="auto"/>
        </w:rPr>
        <w:t>1,120,900 shares or 10.001% of the Common Stock</w:t>
      </w:r>
    </w:p>
    <w:p>
      <w:pPr>
        <w:spacing w:after="0"/>
        <w:rPr>
          <w:sz w:val="20"/>
          <w:szCs w:val="20"/>
          <w:color w:val="auto"/>
        </w:rPr>
      </w:pPr>
      <w:r>
        <w:rPr>
          <w:rFonts w:ascii="Courier New" w:cs="Courier New" w:eastAsia="Courier New" w:hAnsi="Courier New"/>
          <w:sz w:val="18"/>
          <w:szCs w:val="18"/>
          <w:color w:val="auto"/>
        </w:rPr>
        <w:t>outstanding of CLEARONE Communications Incorporated</w:t>
      </w:r>
    </w:p>
    <w:p>
      <w:pPr>
        <w:spacing w:after="0" w:line="4"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("the Company") as a result of acting as investment adviser to various investment companies registered under Section 8 of the Investment Company Act of 1940.</w:t>
      </w:r>
    </w:p>
    <w:p>
      <w:pPr>
        <w:spacing w:after="0" w:line="209"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1,114,200 shares or 9.941%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1,120,900 shares owned by the Funds.</w:t>
      </w:r>
    </w:p>
    <w:p>
      <w:pPr>
        <w:spacing w:after="0" w:line="209"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409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10, 2003, agree and consent to the joint filing on their behalf of this Schedule 13G in connection with their beneficial ownership of the Common Stock of CLEARONE Communications Incorporated at January 31, 2003.</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FMR Corp. and its direct and indirect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Edward C. Johnson 3d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Duly authorized under Power of Attorney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December 30, 1997, by and on behalf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Fidelity Low Priced Stock Fund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Eric D. Roiter</w:t>
      </w:r>
    </w:p>
    <w:p>
      <w:pPr>
        <w:spacing w:after="0" w:line="238" w:lineRule="auto"/>
        <w:rPr>
          <w:sz w:val="20"/>
          <w:szCs w:val="20"/>
          <w:color w:val="auto"/>
        </w:rPr>
      </w:pPr>
      <w:r>
        <w:rPr>
          <w:rFonts w:ascii="Courier New" w:cs="Courier New" w:eastAsia="Courier New" w:hAnsi="Courier New"/>
          <w:sz w:val="18"/>
          <w:szCs w:val="18"/>
          <w:color w:val="auto"/>
        </w:rPr>
        <w:t>Eric D. Roiter</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9359"/>
      </w:cols>
      <w:pgMar w:left="110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2019-12-13T18:06:39Z</dcterms:created>
  <dcterms:modified xsi:type="dcterms:W3CDTF">2019-12-13T18:06:39Z</dcterms:modified>
</cp:coreProperties>
</file>