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26, 2020</w:t>
      </w:r>
    </w:p>
    <w:p>
      <w:pPr>
        <w:spacing w:after="0" w:line="4" w:lineRule="exact"/>
        <w:rPr>
          <w:sz w:val="24"/>
          <w:szCs w:val="24"/>
          <w:color w:val="auto"/>
        </w:rPr>
      </w:pPr>
    </w:p>
    <w:p>
      <w:pPr>
        <w:jc w:val="right"/>
        <w:ind w:right="180"/>
        <w:spacing w:after="0"/>
        <w:rPr>
          <w:sz w:val="20"/>
          <w:szCs w:val="20"/>
          <w:color w:val="auto"/>
        </w:rPr>
      </w:pPr>
      <w:r>
        <w:rPr>
          <w:rFonts w:ascii="Arial" w:cs="Arial" w:eastAsia="Arial" w:hAnsi="Arial"/>
          <w:sz w:val="14"/>
          <w:szCs w:val="14"/>
          <w:b w:val="1"/>
          <w:bCs w:val="1"/>
          <w:color w:val="auto"/>
        </w:rPr>
        <w:t>Registration No. 333- 238085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S-3/A</w:t>
      </w:r>
    </w:p>
    <w:p>
      <w:pPr>
        <w:spacing w:after="0" w:line="34"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2)</w:t>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CLEARONE,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79" w:right="339" w:bottom="1440" w:gutter="0" w:footer="0" w:header="0"/>
        </w:sectPr>
      </w:pP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DELAWARE</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4"/>
          <w:szCs w:val="14"/>
          <w:b w:val="1"/>
          <w:bCs w:val="1"/>
          <w:color w:val="auto"/>
        </w:rPr>
        <w:t>87-0398877</w:t>
      </w:r>
    </w:p>
    <w:p>
      <w:pPr>
        <w:spacing w:after="0" w:line="4" w:lineRule="exact"/>
        <w:rPr>
          <w:sz w:val="24"/>
          <w:szCs w:val="24"/>
          <w:color w:val="auto"/>
        </w:rPr>
      </w:pPr>
    </w:p>
    <w:p>
      <w:pPr>
        <w:jc w:val="center"/>
        <w:ind w:right="1580"/>
        <w:spacing w:after="0"/>
        <w:rPr>
          <w:sz w:val="20"/>
          <w:szCs w:val="20"/>
          <w:color w:val="auto"/>
        </w:rPr>
      </w:pPr>
      <w:r>
        <w:rPr>
          <w:rFonts w:ascii="Arial" w:cs="Arial" w:eastAsia="Arial" w:hAnsi="Arial"/>
          <w:sz w:val="13"/>
          <w:szCs w:val="13"/>
          <w:color w:val="auto"/>
        </w:rPr>
        <w:t>(I.R.S. Employer Identification Number)</w:t>
      </w:r>
    </w:p>
    <w:p>
      <w:pPr>
        <w:spacing w:after="0" w:line="24" w:lineRule="exact"/>
        <w:rPr>
          <w:sz w:val="24"/>
          <w:szCs w:val="24"/>
          <w:color w:val="auto"/>
        </w:rPr>
      </w:pPr>
    </w:p>
    <w:p>
      <w:pPr>
        <w:sectPr>
          <w:pgSz w:w="11900" w:h="16838" w:orient="portrait"/>
          <w:cols w:equalWidth="0" w:num="2">
            <w:col w:w="6600" w:space="720"/>
            <w:col w:w="3920"/>
          </w:cols>
          <w:pgMar w:left="320" w:top="279"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5225 Wiley Post Way</w:t>
      </w:r>
    </w:p>
    <w:p>
      <w:pPr>
        <w:jc w:val="center"/>
        <w:spacing w:after="0" w:line="226" w:lineRule="auto"/>
        <w:rPr>
          <w:sz w:val="20"/>
          <w:szCs w:val="20"/>
          <w:color w:val="auto"/>
        </w:rPr>
      </w:pPr>
      <w:r>
        <w:rPr>
          <w:rFonts w:ascii="Arial" w:cs="Arial" w:eastAsia="Arial" w:hAnsi="Arial"/>
          <w:sz w:val="14"/>
          <w:szCs w:val="14"/>
          <w:b w:val="1"/>
          <w:bCs w:val="1"/>
          <w:color w:val="auto"/>
        </w:rPr>
        <w:t>Suite 500</w:t>
      </w:r>
    </w:p>
    <w:p>
      <w:pPr>
        <w:jc w:val="center"/>
        <w:spacing w:after="0" w:line="221" w:lineRule="auto"/>
        <w:rPr>
          <w:sz w:val="20"/>
          <w:szCs w:val="20"/>
          <w:color w:val="auto"/>
        </w:rPr>
      </w:pPr>
      <w:r>
        <w:rPr>
          <w:rFonts w:ascii="Arial" w:cs="Arial" w:eastAsia="Arial" w:hAnsi="Arial"/>
          <w:sz w:val="14"/>
          <w:szCs w:val="14"/>
          <w:b w:val="1"/>
          <w:bCs w:val="1"/>
          <w:color w:val="auto"/>
        </w:rPr>
        <w:t>Salt Lake City, Utah 84116</w:t>
      </w:r>
    </w:p>
    <w:p>
      <w:pPr>
        <w:jc w:val="center"/>
        <w:spacing w:after="0" w:line="222" w:lineRule="auto"/>
        <w:rPr>
          <w:sz w:val="20"/>
          <w:szCs w:val="20"/>
          <w:color w:val="auto"/>
        </w:rPr>
      </w:pPr>
      <w:r>
        <w:rPr>
          <w:rFonts w:ascii="Arial" w:cs="Arial" w:eastAsia="Arial" w:hAnsi="Arial"/>
          <w:sz w:val="14"/>
          <w:szCs w:val="14"/>
          <w:b w:val="1"/>
          <w:bCs w:val="1"/>
          <w:color w:val="auto"/>
        </w:rPr>
        <w:t>(801) 975-7200</w:t>
      </w:r>
    </w:p>
    <w:p>
      <w:pPr>
        <w:jc w:val="center"/>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spacing w:after="0"/>
        <w:rPr>
          <w:sz w:val="20"/>
          <w:szCs w:val="20"/>
          <w:color w:val="auto"/>
        </w:rPr>
      </w:pPr>
      <w:r>
        <w:rPr>
          <w:rFonts w:ascii="Arial" w:cs="Arial" w:eastAsia="Arial" w:hAnsi="Arial"/>
          <w:sz w:val="14"/>
          <w:szCs w:val="14"/>
          <w:color w:val="auto"/>
        </w:rPr>
        <w:t>area code, of registrant’s principal executive offices)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Zeynep Hakimoglu</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ClearOne, Inc.</w:t>
      </w:r>
    </w:p>
    <w:p>
      <w:pPr>
        <w:jc w:val="center"/>
        <w:spacing w:after="0" w:line="222" w:lineRule="auto"/>
        <w:rPr>
          <w:sz w:val="20"/>
          <w:szCs w:val="20"/>
          <w:color w:val="auto"/>
        </w:rPr>
      </w:pPr>
      <w:r>
        <w:rPr>
          <w:rFonts w:ascii="Arial" w:cs="Arial" w:eastAsia="Arial" w:hAnsi="Arial"/>
          <w:sz w:val="14"/>
          <w:szCs w:val="14"/>
          <w:b w:val="1"/>
          <w:bCs w:val="1"/>
          <w:color w:val="auto"/>
        </w:rPr>
        <w:t>5225 Wiley Post Way, Suite 500</w:t>
      </w:r>
    </w:p>
    <w:p>
      <w:pPr>
        <w:jc w:val="center"/>
        <w:spacing w:after="0" w:line="221" w:lineRule="auto"/>
        <w:rPr>
          <w:sz w:val="20"/>
          <w:szCs w:val="20"/>
          <w:color w:val="auto"/>
        </w:rPr>
      </w:pPr>
      <w:r>
        <w:rPr>
          <w:rFonts w:ascii="Arial" w:cs="Arial" w:eastAsia="Arial" w:hAnsi="Arial"/>
          <w:sz w:val="14"/>
          <w:szCs w:val="14"/>
          <w:b w:val="1"/>
          <w:bCs w:val="1"/>
          <w:color w:val="auto"/>
        </w:rPr>
        <w:t>Salt Lake City, Utah 84116</w:t>
      </w:r>
    </w:p>
    <w:p>
      <w:pPr>
        <w:jc w:val="center"/>
        <w:spacing w:after="0" w:line="222" w:lineRule="auto"/>
        <w:rPr>
          <w:sz w:val="20"/>
          <w:szCs w:val="20"/>
          <w:color w:val="auto"/>
        </w:rPr>
      </w:pPr>
      <w:r>
        <w:rPr>
          <w:rFonts w:ascii="Arial" w:cs="Arial" w:eastAsia="Arial" w:hAnsi="Arial"/>
          <w:sz w:val="14"/>
          <w:szCs w:val="14"/>
          <w:b w:val="1"/>
          <w:bCs w:val="1"/>
          <w:color w:val="auto"/>
        </w:rPr>
        <w:t>(801) 975-7200</w:t>
      </w:r>
    </w:p>
    <w:p>
      <w:pPr>
        <w:jc w:val="center"/>
        <w:spacing w:after="0" w:line="221" w:lineRule="auto"/>
        <w:rPr>
          <w:sz w:val="20"/>
          <w:szCs w:val="20"/>
          <w:color w:val="auto"/>
        </w:rPr>
      </w:pPr>
      <w:r>
        <w:rPr>
          <w:rFonts w:ascii="Arial" w:cs="Arial" w:eastAsia="Arial" w:hAnsi="Arial"/>
          <w:sz w:val="14"/>
          <w:szCs w:val="14"/>
          <w:color w:val="auto"/>
        </w:rPr>
        <w:t>(Name, 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Michael Dunn, Esq.</w:t>
      </w:r>
    </w:p>
    <w:p>
      <w:pPr>
        <w:jc w:val="center"/>
        <w:spacing w:after="0" w:line="226" w:lineRule="auto"/>
        <w:rPr>
          <w:sz w:val="20"/>
          <w:szCs w:val="20"/>
          <w:color w:val="auto"/>
        </w:rPr>
      </w:pPr>
      <w:r>
        <w:rPr>
          <w:rFonts w:ascii="Arial" w:cs="Arial" w:eastAsia="Arial" w:hAnsi="Arial"/>
          <w:sz w:val="14"/>
          <w:szCs w:val="14"/>
          <w:color w:val="auto"/>
        </w:rPr>
        <w:t>Seyfarth Shaw LLP</w:t>
      </w:r>
    </w:p>
    <w:p>
      <w:pPr>
        <w:jc w:val="center"/>
        <w:spacing w:after="0" w:line="221" w:lineRule="auto"/>
        <w:rPr>
          <w:sz w:val="20"/>
          <w:szCs w:val="20"/>
          <w:color w:val="auto"/>
        </w:rPr>
      </w:pPr>
      <w:r>
        <w:rPr>
          <w:rFonts w:ascii="Arial" w:cs="Arial" w:eastAsia="Arial" w:hAnsi="Arial"/>
          <w:sz w:val="14"/>
          <w:szCs w:val="14"/>
          <w:color w:val="auto"/>
        </w:rPr>
        <w:t>700 Milam Street, Suite 1400</w:t>
      </w:r>
    </w:p>
    <w:p>
      <w:pPr>
        <w:jc w:val="center"/>
        <w:spacing w:after="0" w:line="222" w:lineRule="auto"/>
        <w:rPr>
          <w:sz w:val="20"/>
          <w:szCs w:val="20"/>
          <w:color w:val="auto"/>
        </w:rPr>
      </w:pPr>
      <w:r>
        <w:rPr>
          <w:rFonts w:ascii="Arial" w:cs="Arial" w:eastAsia="Arial" w:hAnsi="Arial"/>
          <w:sz w:val="14"/>
          <w:szCs w:val="14"/>
          <w:color w:val="auto"/>
        </w:rPr>
        <w:t>Houston, TX 77002</w:t>
      </w:r>
    </w:p>
    <w:p>
      <w:pPr>
        <w:jc w:val="center"/>
        <w:spacing w:after="0"/>
        <w:rPr>
          <w:sz w:val="20"/>
          <w:szCs w:val="20"/>
          <w:color w:val="auto"/>
        </w:rPr>
      </w:pPr>
      <w:r>
        <w:rPr>
          <w:rFonts w:ascii="Arial" w:cs="Arial" w:eastAsia="Arial" w:hAnsi="Arial"/>
          <w:sz w:val="14"/>
          <w:szCs w:val="14"/>
          <w:color w:val="auto"/>
        </w:rPr>
        <w:t>(713) 238-1817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81915</wp:posOffset>
            </wp:positionV>
            <wp:extent cx="9429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2975" cy="17145"/>
                    </a:xfrm>
                    <a:prstGeom prst="rect">
                      <a:avLst/>
                    </a:prstGeom>
                    <a:noFill/>
                  </pic:spPr>
                </pic:pic>
              </a:graphicData>
            </a:graphic>
          </wp:anchor>
        </w:drawing>
      </w:r>
    </w:p>
    <w:p>
      <w:pPr>
        <w:spacing w:after="0" w:line="19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4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42" w:lineRule="exact"/>
        <w:rPr>
          <w:sz w:val="24"/>
          <w:szCs w:val="24"/>
          <w:color w:val="auto"/>
        </w:rPr>
      </w:pPr>
    </w:p>
    <w:p>
      <w:pPr>
        <w:ind w:right="220" w:firstLine="324"/>
        <w:spacing w:after="0" w:line="271"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ind w:right="460" w:firstLine="324"/>
        <w:spacing w:after="0" w:line="27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right="380" w:firstLine="324"/>
        <w:spacing w:after="0" w:line="271" w:lineRule="auto"/>
        <w:rPr>
          <w:sz w:val="20"/>
          <w:szCs w:val="20"/>
          <w:color w:val="auto"/>
        </w:rPr>
      </w:pPr>
      <w:r>
        <w:rPr>
          <w:rFonts w:ascii="Arial" w:cs="Arial" w:eastAsia="Arial" w:hAnsi="Arial"/>
          <w:sz w:val="14"/>
          <w:szCs w:val="14"/>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spacing w:after="0" w:line="1" w:lineRule="exact"/>
        <w:rPr>
          <w:sz w:val="24"/>
          <w:szCs w:val="24"/>
          <w:color w:val="auto"/>
        </w:rPr>
      </w:pPr>
    </w:p>
    <w:p>
      <w:pPr>
        <w:ind w:right="200" w:firstLine="324"/>
        <w:spacing w:after="0" w:line="271"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of 1933, check the following box.</w:t>
      </w:r>
    </w:p>
    <w:p>
      <w:pPr>
        <w:spacing w:after="0" w:line="1" w:lineRule="exact"/>
        <w:rPr>
          <w:sz w:val="24"/>
          <w:szCs w:val="24"/>
          <w:color w:val="auto"/>
        </w:rPr>
      </w:pPr>
    </w:p>
    <w:p>
      <w:pPr>
        <w:ind w:right="500" w:firstLine="324"/>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of 1933, check the following box.</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20" w:type="dxa"/>
            <w:vAlign w:val="bottom"/>
          </w:tcPr>
          <w:p>
            <w:pPr>
              <w:ind w:left="2740"/>
              <w:spacing w:after="0"/>
              <w:rPr>
                <w:sz w:val="20"/>
                <w:szCs w:val="20"/>
                <w:color w:val="auto"/>
              </w:rPr>
            </w:pPr>
            <w:r>
              <w:rPr>
                <w:rFonts w:ascii="Arial" w:cs="Arial" w:eastAsia="Arial" w:hAnsi="Arial"/>
                <w:sz w:val="14"/>
                <w:szCs w:val="14"/>
                <w:color w:val="auto"/>
              </w:rPr>
              <w:t>Accelerated filer</w:t>
            </w:r>
          </w:p>
        </w:tc>
      </w:tr>
      <w:tr>
        <w:trPr>
          <w:trHeight w:val="175"/>
        </w:trPr>
        <w:tc>
          <w:tcPr>
            <w:tcW w:w="4020" w:type="dxa"/>
            <w:vAlign w:val="bottom"/>
          </w:tcPr>
          <w:p>
            <w:pPr>
              <w:spacing w:after="0"/>
              <w:rPr>
                <w:sz w:val="20"/>
                <w:szCs w:val="20"/>
                <w:color w:val="auto"/>
              </w:rPr>
            </w:pPr>
            <w:r>
              <w:rPr>
                <w:rFonts w:ascii="Arial" w:cs="Arial" w:eastAsia="Arial" w:hAnsi="Arial"/>
                <w:sz w:val="14"/>
                <w:szCs w:val="14"/>
                <w:color w:val="auto"/>
              </w:rPr>
              <w:t>Non-accelerated filer</w:t>
            </w:r>
          </w:p>
        </w:tc>
        <w:tc>
          <w:tcPr>
            <w:tcW w:w="722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r>
      <w:tr>
        <w:trPr>
          <w:trHeight w:val="182"/>
        </w:trPr>
        <w:tc>
          <w:tcPr>
            <w:tcW w:w="4020" w:type="dxa"/>
            <w:vAlign w:val="bottom"/>
          </w:tcPr>
          <w:p>
            <w:pPr>
              <w:spacing w:after="0"/>
              <w:rPr>
                <w:sz w:val="15"/>
                <w:szCs w:val="15"/>
                <w:color w:val="auto"/>
              </w:rPr>
            </w:pPr>
          </w:p>
        </w:tc>
        <w:tc>
          <w:tcPr>
            <w:tcW w:w="722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r>
      <w:tr>
        <w:trPr>
          <w:trHeight w:val="518"/>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92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224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Amount to</w:t>
            </w:r>
          </w:p>
        </w:tc>
        <w:tc>
          <w:tcPr>
            <w:tcW w:w="1920" w:type="dxa"/>
            <w:vAlign w:val="bottom"/>
          </w:tcPr>
          <w:p>
            <w:pPr>
              <w:jc w:val="center"/>
              <w:ind w:right="111"/>
              <w:spacing w:after="0" w:line="106" w:lineRule="exact"/>
              <w:rPr>
                <w:sz w:val="20"/>
                <w:szCs w:val="20"/>
                <w:color w:val="auto"/>
              </w:rPr>
            </w:pPr>
            <w:r>
              <w:rPr>
                <w:rFonts w:ascii="Arial" w:cs="Arial" w:eastAsia="Arial" w:hAnsi="Arial"/>
                <w:sz w:val="12"/>
                <w:szCs w:val="12"/>
                <w:b w:val="1"/>
                <w:bCs w:val="1"/>
                <w:color w:val="auto"/>
              </w:rPr>
              <w:t>Proposed Maximum</w:t>
            </w:r>
          </w:p>
        </w:tc>
        <w:tc>
          <w:tcPr>
            <w:tcW w:w="1940" w:type="dxa"/>
            <w:vAlign w:val="bottom"/>
          </w:tcPr>
          <w:p>
            <w:pPr>
              <w:jc w:val="center"/>
              <w:ind w:right="171"/>
              <w:spacing w:after="0" w:line="106" w:lineRule="exact"/>
              <w:rPr>
                <w:sz w:val="20"/>
                <w:szCs w:val="20"/>
                <w:color w:val="auto"/>
              </w:rPr>
            </w:pPr>
            <w:r>
              <w:rPr>
                <w:rFonts w:ascii="Arial" w:cs="Arial" w:eastAsia="Arial" w:hAnsi="Arial"/>
                <w:sz w:val="12"/>
                <w:szCs w:val="12"/>
                <w:b w:val="1"/>
                <w:bCs w:val="1"/>
                <w:color w:val="auto"/>
              </w:rPr>
              <w:t>Proposed Maximum</w:t>
            </w:r>
          </w:p>
        </w:tc>
        <w:tc>
          <w:tcPr>
            <w:tcW w:w="2220" w:type="dxa"/>
            <w:vAlign w:val="bottom"/>
            <w:vMerge w:val="restart"/>
          </w:tcPr>
          <w:p>
            <w:pPr>
              <w:jc w:val="center"/>
              <w:ind w:right="40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92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192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94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9"/>
              </w:rPr>
              <w:t>Aggregate</w:t>
            </w: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22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7"/>
              </w:rPr>
              <w:t xml:space="preserve">Be Registered </w:t>
            </w:r>
            <w:r>
              <w:rPr>
                <w:rFonts w:ascii="Arial" w:cs="Arial" w:eastAsia="Arial" w:hAnsi="Arial"/>
                <w:sz w:val="14"/>
                <w:szCs w:val="14"/>
                <w:color w:val="auto"/>
                <w:w w:val="87"/>
                <w:vertAlign w:val="superscript"/>
              </w:rPr>
              <w:t>(1)</w:t>
            </w:r>
          </w:p>
        </w:tc>
        <w:tc>
          <w:tcPr>
            <w:tcW w:w="19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4"/>
              </w:rPr>
              <w:t>Security</w:t>
            </w:r>
            <w:r>
              <w:rPr>
                <w:rFonts w:ascii="Arial" w:cs="Arial" w:eastAsia="Arial" w:hAnsi="Arial"/>
                <w:sz w:val="14"/>
                <w:szCs w:val="14"/>
                <w:color w:val="auto"/>
                <w:w w:val="84"/>
                <w:vertAlign w:val="superscript"/>
              </w:rPr>
              <w:t>(2)(3)</w:t>
            </w:r>
          </w:p>
        </w:tc>
        <w:tc>
          <w:tcPr>
            <w:tcW w:w="19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4"/>
                <w:szCs w:val="14"/>
                <w:color w:val="auto"/>
                <w:w w:val="90"/>
                <w:vertAlign w:val="superscript"/>
              </w:rPr>
              <w:t>(2)(3)</w:t>
            </w:r>
          </w:p>
        </w:tc>
        <w:tc>
          <w:tcPr>
            <w:tcW w:w="222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4"/>
                <w:szCs w:val="14"/>
                <w:color w:val="auto"/>
                <w:w w:val="87"/>
                <w:vertAlign w:val="superscript"/>
              </w:rPr>
              <w:t>(2)(3)</w:t>
            </w:r>
          </w:p>
        </w:tc>
        <w:tc>
          <w:tcPr>
            <w:tcW w:w="0" w:type="dxa"/>
            <w:vAlign w:val="bottom"/>
          </w:tcPr>
          <w:p>
            <w:pPr>
              <w:spacing w:after="0"/>
              <w:rPr>
                <w:sz w:val="1"/>
                <w:szCs w:val="1"/>
                <w:color w:val="auto"/>
              </w:rPr>
            </w:pPr>
          </w:p>
        </w:tc>
      </w:tr>
      <w:tr>
        <w:trPr>
          <w:trHeight w:val="169"/>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14"/>
                <w:szCs w:val="14"/>
                <w:color w:val="auto"/>
                <w:vertAlign w:val="superscript"/>
              </w:rPr>
              <w:t>(1)(2)</w:t>
            </w:r>
            <w:r>
              <w:rPr>
                <w:rFonts w:ascii="Arial" w:cs="Arial" w:eastAsia="Arial" w:hAnsi="Arial"/>
                <w:sz w:val="14"/>
                <w:szCs w:val="14"/>
                <w:color w:val="auto"/>
              </w:rPr>
              <w:t>:</w:t>
            </w:r>
          </w:p>
        </w:tc>
        <w:tc>
          <w:tcPr>
            <w:tcW w:w="2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1,762,710</w:t>
            </w:r>
          </w:p>
        </w:tc>
        <w:tc>
          <w:tcPr>
            <w:tcW w:w="19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$1.65</w:t>
            </w:r>
          </w:p>
        </w:tc>
        <w:tc>
          <w:tcPr>
            <w:tcW w:w="19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$2,908,471.50</w:t>
            </w:r>
          </w:p>
        </w:tc>
        <w:tc>
          <w:tcPr>
            <w:tcW w:w="2220" w:type="dxa"/>
            <w:vAlign w:val="bottom"/>
            <w:tcBorders>
              <w:bottom w:val="single" w:sz="8" w:color="auto"/>
            </w:tcBorders>
          </w:tcPr>
          <w:p>
            <w:pPr>
              <w:jc w:val="right"/>
              <w:ind w:right="388"/>
              <w:spacing w:after="0" w:line="169" w:lineRule="exact"/>
              <w:rPr>
                <w:sz w:val="20"/>
                <w:szCs w:val="20"/>
                <w:color w:val="auto"/>
              </w:rPr>
            </w:pPr>
            <w:r>
              <w:rPr>
                <w:rFonts w:ascii="Arial" w:cs="Arial" w:eastAsia="Arial" w:hAnsi="Arial"/>
                <w:sz w:val="14"/>
                <w:szCs w:val="14"/>
                <w:color w:val="auto"/>
              </w:rPr>
              <w:t>$377.52</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80" w:hanging="352"/>
        <w:spacing w:after="0" w:line="22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registers the resale of 1,421,801 shares of common stock of ClearOne, Inc. issuable upon conversion of issued and outstanding secured convertible notes and 340,909 shares of common stock of ClearOne, Inc. issuable upon exercise of issued and outstanding warrants. This Registration Statement also relates to such additional securities (i) to be offered or issued in connection with any provision of any securities purported to be registered hereby to be offered pursuant to terms which provide for a change in the amount of securities being offered or issued to prevent dilution resulting from stock splits, stock dividends, or similar transactions and (ii)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ind w:left="360" w:hanging="352"/>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U.S. dollars or the equivalent thereof denominated in one or more foreign currencies or units of two or more foreign currencies or composite currencies.</w:t>
      </w:r>
    </w:p>
    <w:p>
      <w:pPr>
        <w:spacing w:after="0" w:line="56" w:lineRule="exact"/>
        <w:rPr>
          <w:rFonts w:ascii="Arial" w:cs="Arial" w:eastAsia="Arial" w:hAnsi="Arial"/>
          <w:sz w:val="14"/>
          <w:szCs w:val="14"/>
          <w:color w:val="auto"/>
        </w:rPr>
      </w:pPr>
    </w:p>
    <w:p>
      <w:pPr>
        <w:ind w:left="360" w:right="20" w:hanging="352"/>
        <w:spacing w:after="0" w:line="230"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457(c) under the Securities Act. The price per share and aggregate offering price are based on the average of the high and low sales prices of the common stock on May 4, 2020, as reported on The NASDAQ Capital Market.</w:t>
      </w:r>
    </w:p>
    <w:p>
      <w:pPr>
        <w:ind w:left="360" w:hanging="352"/>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both"/>
        <w:ind w:left="160" w:right="120"/>
        <w:spacing w:after="0" w:line="343" w:lineRule="auto"/>
        <w:rPr>
          <w:sz w:val="20"/>
          <w:szCs w:val="20"/>
          <w:color w:val="auto"/>
        </w:rPr>
      </w:pPr>
      <w:r>
        <w:rPr>
          <w:rFonts w:ascii="Arial" w:cs="Arial" w:eastAsia="Arial" w:hAnsi="Arial"/>
          <w:sz w:val="15"/>
          <w:szCs w:val="15"/>
          <w:b w:val="1"/>
          <w:bCs w:val="1"/>
          <w:color w:val="F93F26"/>
        </w:rPr>
        <w:drawing>
          <wp:anchor simplePos="0" relativeHeight="251657728" behindDoc="1" locked="0" layoutInCell="0" allowOverlap="1">
            <wp:simplePos x="0" y="0"/>
            <wp:positionH relativeFrom="page">
              <wp:posOffset>248920</wp:posOffset>
            </wp:positionH>
            <wp:positionV relativeFrom="page">
              <wp:posOffset>498475</wp:posOffset>
            </wp:positionV>
            <wp:extent cx="7050405" cy="509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0405" cy="509905"/>
                    </a:xfrm>
                    <a:prstGeom prst="rect">
                      <a:avLst/>
                    </a:prstGeom>
                    <a:noFill/>
                  </pic:spPr>
                </pic:pic>
              </a:graphicData>
            </a:graphic>
          </wp:anchor>
        </w:drawing>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0000"/>
        </w:rPr>
        <w:t>Subject to Completion, Dated June 26,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1,762,710 Shares of Common Stock</w:t>
      </w:r>
    </w:p>
    <w:p>
      <w:pPr>
        <w:spacing w:after="0" w:line="21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This prospectus relates to the possible resale, from time to time, by the selling stockholders identified in this prospectus of up to 1,762,710 shares of our common stock, par value $0.001 per share, initially issued in a private placement transaction. 1,421,801 of the shares offered by this prospectus are issuable upon conversion of $3,000,000 outstanding principal amount of secured convertible notes that are convertible to shares of common stock at an initial conversion price of $2.11 per share. 340,909 of the shares offered by this prospectus are issuable upon exercise of outstanding common stock warrants with an initial exercise price of $1.76 per share.</w:t>
      </w:r>
    </w:p>
    <w:p>
      <w:pPr>
        <w:spacing w:after="0" w:line="188"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 selling stockholders may offer the shares from time to time as such selling stockholders may determine through public or private transactions or through other means described in the section entitled “Plan of Distribution” or a supplement to this prospectus. The selling stockholders also may sell shares under Rule 144 under the Securities Act of 1933, as amended, if available, rather than under this prospectus.</w:t>
      </w:r>
    </w:p>
    <w:p>
      <w:pPr>
        <w:spacing w:after="0" w:line="16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registration of these shares does not necessarily mean that the selling stockholders will sell any of their shares or convert any portion of the secured convertible notes or exercise their warrants. We are not offering for sale any shares of our common stock pursuant to this prospectus. We will not receive any cash proceeds from the sale of any of our shares of common stock by the selling stockholders, but we have agreed to pay certain registration expenses.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“CLRO.” The closing price of our common stock as reported on The NASDAQ Capital Market on June 25, 2020 was $2.22 per share.</w:t>
      </w:r>
    </w:p>
    <w:p>
      <w:pPr>
        <w:spacing w:after="0" w:line="166"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mailing address and telephone number are: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5225 Wiley Post 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Salt Lake City, Utah 84116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(801) 975-7200</w:t>
      </w:r>
    </w:p>
    <w:p>
      <w:pPr>
        <w:spacing w:after="0" w:line="207" w:lineRule="exact"/>
        <w:rPr>
          <w:sz w:val="20"/>
          <w:szCs w:val="20"/>
          <w:color w:val="auto"/>
        </w:rPr>
      </w:pPr>
    </w:p>
    <w:p>
      <w:pPr>
        <w:ind w:right="360" w:firstLine="432"/>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44" w:lineRule="exact"/>
        <w:rPr>
          <w:sz w:val="20"/>
          <w:szCs w:val="20"/>
          <w:color w:val="auto"/>
        </w:rPr>
      </w:pPr>
    </w:p>
    <w:tbl>
      <w:tblPr>
        <w:tblLayout w:type="fixed"/>
        <w:tblInd w:w="398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78"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4"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8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2"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For further information on factors which could impact us and the statements contained herein, see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6"/>
          <w:szCs w:val="16"/>
          <w:color w:val="auto"/>
        </w:rPr>
        <w:t>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w:t>
      </w:r>
    </w:p>
    <w:p>
      <w:pPr>
        <w:spacing w:after="0" w:line="1"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can also obtain copies of materials we file with the SEC from our Internet website found at </w:t>
      </w:r>
      <w:r>
        <w:rPr>
          <w:rFonts w:ascii="Arial" w:cs="Arial" w:eastAsia="Arial" w:hAnsi="Arial"/>
          <w:sz w:val="18"/>
          <w:szCs w:val="18"/>
          <w:i w:val="1"/>
          <w:iCs w:val="1"/>
          <w:color w:val="auto"/>
        </w:rPr>
        <w:t>http://www.clearone.com/</w:t>
      </w:r>
      <w:r>
        <w:rPr>
          <w:rFonts w:ascii="Arial" w:cs="Arial" w:eastAsia="Arial" w:hAnsi="Arial"/>
          <w:sz w:val="18"/>
          <w:szCs w:val="18"/>
          <w:color w:val="auto"/>
        </w:rPr>
        <w:t>. The information contained in our website is not a part of this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79" w:lineRule="exact"/>
        <w:rPr>
          <w:sz w:val="20"/>
          <w:szCs w:val="20"/>
          <w:color w:val="auto"/>
        </w:rPr>
      </w:pPr>
    </w:p>
    <w:p>
      <w:pPr>
        <w:ind w:left="660" w:hanging="35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30, 2020;</w:t>
      </w:r>
    </w:p>
    <w:p>
      <w:pPr>
        <w:spacing w:after="0" w:line="36" w:lineRule="exact"/>
        <w:rPr>
          <w:rFonts w:ascii="Arial" w:cs="Arial" w:eastAsia="Arial" w:hAnsi="Arial"/>
          <w:sz w:val="18"/>
          <w:szCs w:val="18"/>
          <w:color w:val="auto"/>
        </w:rPr>
      </w:pPr>
    </w:p>
    <w:p>
      <w:pPr>
        <w:ind w:left="660" w:hanging="35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2020, as filed with the SEC on May 20, 2020;</w:t>
      </w:r>
    </w:p>
    <w:p>
      <w:pPr>
        <w:spacing w:after="0" w:line="36" w:lineRule="exact"/>
        <w:rPr>
          <w:rFonts w:ascii="Arial" w:cs="Arial" w:eastAsia="Arial" w:hAnsi="Arial"/>
          <w:sz w:val="18"/>
          <w:szCs w:val="18"/>
          <w:color w:val="auto"/>
        </w:rPr>
      </w:pPr>
    </w:p>
    <w:p>
      <w:pPr>
        <w:ind w:left="660" w:hanging="35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January 2, 2020 (Item 5.07) and February 3, 2020 (Items 1.01 and 9.01);</w:t>
      </w:r>
    </w:p>
    <w:p>
      <w:pPr>
        <w:spacing w:after="0" w:line="36" w:lineRule="exact"/>
        <w:rPr>
          <w:rFonts w:ascii="Arial" w:cs="Arial" w:eastAsia="Arial" w:hAnsi="Arial"/>
          <w:sz w:val="18"/>
          <w:szCs w:val="18"/>
          <w:color w:val="auto"/>
        </w:rPr>
      </w:pPr>
    </w:p>
    <w:p>
      <w:pPr>
        <w:ind w:left="660" w:hanging="35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December 11, 2019; and</w:t>
      </w:r>
    </w:p>
    <w:p>
      <w:pPr>
        <w:spacing w:after="0" w:line="36" w:lineRule="exact"/>
        <w:rPr>
          <w:rFonts w:ascii="Arial" w:cs="Arial" w:eastAsia="Arial" w:hAnsi="Arial"/>
          <w:sz w:val="18"/>
          <w:szCs w:val="18"/>
          <w:color w:val="auto"/>
        </w:rPr>
      </w:pPr>
    </w:p>
    <w:p>
      <w:pPr>
        <w:ind w:left="660" w:right="720" w:hanging="355"/>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definitive proxy statement on Schedule 14A as filed with the SEC on September 24, 2018.</w:t>
      </w:r>
    </w:p>
    <w:p>
      <w:pPr>
        <w:spacing w:after="0" w:line="184"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320"/>
        <w:spacing w:after="0" w:line="301"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(801-975-7200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were incorporated in Utah in 1983 and reincorporated in Delaware on October 25, 2018. The Company is headquartered in Salt Lake City, Utah.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other locations in Gainesville, Florida; Austin, Texas; Zaragoza, Spain; Chennai, India; and Dubai, United Arab Emirates.</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8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Additional information about the Company can be found in our periodic and current reports that we file with the SEC. See “Where You Can Find More Information” and “Incorporation of Certain Information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An investment in our securities involves risks. We urge you to consider carefully the risks identified under “Item IA. Risk Factors” in our Annual Report on Form 10-K for the year ended December 31, 2019, filed with the SEC on March 30, 2020, which report is incorporated by reference in this prospectus, as such information may be amended, supplemented or superseded from time to time by other reports that we subsequently file with the SEC as well as the additional risk factor set forth below.</w:t>
      </w:r>
    </w:p>
    <w:p>
      <w:pPr>
        <w:spacing w:after="0" w:line="187"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right="60" w:firstLine="432"/>
        <w:spacing w:after="0" w:line="286" w:lineRule="auto"/>
        <w:rPr>
          <w:sz w:val="20"/>
          <w:szCs w:val="20"/>
          <w:color w:val="auto"/>
        </w:rPr>
      </w:pPr>
      <w:r>
        <w:rPr>
          <w:rFonts w:ascii="Arial" w:cs="Arial" w:eastAsia="Arial" w:hAnsi="Arial"/>
          <w:sz w:val="16"/>
          <w:szCs w:val="16"/>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8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We will not receive any cash proceeds from the sale of shares of our common stock by the selling stockholders pursuant to this prospectus. The selling stockholders will bear any underwriting commissions and discounts attributable to their sale of shares of our common stock.</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7" w:name="page8"/>
    <w:bookmarkEnd w:id="7"/>
    <w:p>
      <w:pPr>
        <w:spacing w:after="0" w:line="182" w:lineRule="auto"/>
        <w:framePr w:w="1120" w:h="174" w:wrap="auto" w:vAnchor="page" w:hAnchor="page" w:x="10100" w:y="8471"/>
        <w:rPr>
          <w:rFonts w:ascii="Arial" w:cs="Arial" w:eastAsia="Arial" w:hAnsi="Arial"/>
          <w:sz w:val="12"/>
          <w:szCs w:val="12"/>
          <w:color w:val="auto"/>
        </w:rPr>
      </w:pPr>
      <w:r>
        <w:rPr>
          <w:rFonts w:ascii="Arial" w:cs="Arial" w:eastAsia="Arial" w:hAnsi="Arial"/>
          <w:sz w:val="12"/>
          <w:szCs w:val="12"/>
          <w:color w:val="auto"/>
        </w:rPr>
        <w:t>Common Stock</w:t>
      </w:r>
      <w:r>
        <w:rPr>
          <w:rFonts w:ascii="Arial" w:cs="Arial" w:eastAsia="Arial" w:hAnsi="Arial"/>
          <w:sz w:val="16"/>
          <w:szCs w:val="16"/>
          <w:color w:val="auto"/>
          <w:vertAlign w:val="superscript"/>
        </w:rPr>
        <w:t>(</w:t>
      </w:r>
      <w:r>
        <w:rPr>
          <w:rFonts w:ascii="Arial" w:cs="Arial" w:eastAsia="Arial" w:hAnsi="Arial"/>
          <w:sz w:val="20"/>
          <w:szCs w:val="20"/>
          <w:color w:val="auto"/>
          <w:vertAlign w:val="superscript"/>
        </w:rPr>
        <w:t>2)</w:t>
      </w:r>
    </w:p>
    <w:p>
      <w:pPr>
        <w:spacing w:after="0" w:line="209" w:lineRule="auto"/>
        <w:framePr w:w="540" w:h="160" w:wrap="auto" w:vAnchor="page" w:hAnchor="page" w:x="10300" w:y="8971"/>
        <w:rPr>
          <w:rFonts w:ascii="Arial" w:cs="Arial" w:eastAsia="Arial" w:hAnsi="Arial"/>
          <w:sz w:val="16"/>
          <w:szCs w:val="16"/>
          <w:color w:val="auto"/>
        </w:rPr>
      </w:pPr>
      <w:r>
        <w:rPr>
          <w:rFonts w:ascii="Arial" w:cs="Arial" w:eastAsia="Arial" w:hAnsi="Arial"/>
          <w:sz w:val="16"/>
          <w:szCs w:val="16"/>
          <w:color w:val="auto"/>
        </w:rPr>
        <w:t>40.5%</w:t>
      </w:r>
    </w:p>
    <w:p>
      <w:pPr>
        <w:spacing w:after="0" w:line="209" w:lineRule="auto"/>
        <w:framePr w:w="540" w:h="160" w:wrap="auto" w:vAnchor="page" w:hAnchor="page" w:x="10300" w:y="9484"/>
        <w:rPr>
          <w:rFonts w:ascii="Arial" w:cs="Arial" w:eastAsia="Arial" w:hAnsi="Arial"/>
          <w:sz w:val="16"/>
          <w:szCs w:val="16"/>
          <w:color w:val="auto"/>
        </w:rPr>
      </w:pPr>
      <w:r>
        <w:rPr>
          <w:rFonts w:ascii="Arial" w:cs="Arial" w:eastAsia="Arial" w:hAnsi="Arial"/>
          <w:sz w:val="16"/>
          <w:szCs w:val="16"/>
          <w:color w:val="auto"/>
        </w:rPr>
        <w:t>18.4%</w:t>
      </w:r>
    </w:p>
    <w:p>
      <w:pPr>
        <w:spacing w:after="0" w:line="223" w:lineRule="auto"/>
        <w:framePr w:w="880" w:h="128" w:wrap="auto" w:vAnchor="page" w:hAnchor="page" w:x="10220" w:y="8314"/>
        <w:rPr>
          <w:rFonts w:ascii="Arial" w:cs="Arial" w:eastAsia="Arial" w:hAnsi="Arial"/>
          <w:sz w:val="12"/>
          <w:szCs w:val="12"/>
          <w:color w:val="auto"/>
        </w:rPr>
      </w:pPr>
      <w:r>
        <w:rPr>
          <w:rFonts w:ascii="Arial" w:cs="Arial" w:eastAsia="Arial" w:hAnsi="Arial"/>
          <w:sz w:val="12"/>
          <w:szCs w:val="12"/>
          <w:color w:val="auto"/>
        </w:rPr>
        <w:t>Percentage of</w:t>
      </w: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rFonts w:ascii="Arial" w:cs="Arial" w:eastAsia="Arial" w:hAnsi="Arial"/>
          <w:sz w:val="12"/>
          <w:szCs w:val="12"/>
          <w:color w:val="auto"/>
        </w:rPr>
      </w:pPr>
    </w:p>
    <w:p>
      <w:pPr>
        <w:ind w:firstLine="432"/>
        <w:spacing w:after="0" w:line="259" w:lineRule="auto"/>
        <w:rPr>
          <w:sz w:val="20"/>
          <w:szCs w:val="20"/>
          <w:color w:val="auto"/>
        </w:rPr>
      </w:pPr>
      <w:r>
        <w:rPr>
          <w:rFonts w:ascii="Arial" w:cs="Arial" w:eastAsia="Arial" w:hAnsi="Arial"/>
          <w:sz w:val="18"/>
          <w:szCs w:val="18"/>
          <w:color w:val="auto"/>
        </w:rPr>
        <w:t>On December 8, 2019, the Company and certain of its subsidiary guarantors (the “Guarantors”) entered into a Note Purchase Agreement with Edward D. Bagley (the “Note Purchase Agreement”) pursuant to which Mr. Bagley has agreed to purchase $3,000,000 of secured convertible notes of the Company (the “Notes”) and warrants (the “Warrants”) to purchase 340,909 shares (the “Warrant Shares”) of common stock, par value $0.001 per share, of the Company (the “Common Stock”) in a private placement transaction (the “Offering”).</w:t>
      </w:r>
    </w:p>
    <w:p>
      <w:pPr>
        <w:spacing w:after="0" w:line="187" w:lineRule="exact"/>
        <w:rPr>
          <w:rFonts w:ascii="Arial" w:cs="Arial" w:eastAsia="Arial" w:hAnsi="Arial"/>
          <w:sz w:val="12"/>
          <w:szCs w:val="12"/>
          <w:color w:val="auto"/>
        </w:rPr>
      </w:pPr>
    </w:p>
    <w:p>
      <w:pPr>
        <w:ind w:right="40" w:firstLine="432"/>
        <w:spacing w:after="0" w:line="269" w:lineRule="auto"/>
        <w:rPr>
          <w:sz w:val="20"/>
          <w:szCs w:val="20"/>
          <w:color w:val="auto"/>
        </w:rPr>
      </w:pPr>
      <w:r>
        <w:rPr>
          <w:rFonts w:ascii="Arial" w:cs="Arial" w:eastAsia="Arial" w:hAnsi="Arial"/>
          <w:sz w:val="17"/>
          <w:szCs w:val="17"/>
          <w:color w:val="auto"/>
        </w:rPr>
        <w:t>On December 17, 2019, the Company completed the issuance and sale of the Notes to Mr. Bagley in the aggregate principal amount of $3,000,000 and issued the Warrants to Mr. Bagley. The Notes were issued with original issuer discount of 1.5%, or $45,000, for aggregate consideration of $2,955,000. The Notes will mature on December 17, 2023 (the “Maturity Date”) and will earn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Stock(the “Conversion Shares”)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the one year anniversary of the date of issuance of the Notes upon payment of the outstanding principal balance of the Notes and any unpaid and accrued interest. The Company also is required to redeem the Notes upon the occurrence of a change in control of the Company.</w:t>
      </w:r>
    </w:p>
    <w:p>
      <w:pPr>
        <w:spacing w:after="0" w:line="182" w:lineRule="exact"/>
        <w:rPr>
          <w:rFonts w:ascii="Arial" w:cs="Arial" w:eastAsia="Arial" w:hAnsi="Arial"/>
          <w:sz w:val="12"/>
          <w:szCs w:val="12"/>
          <w:color w:val="auto"/>
        </w:rPr>
      </w:pPr>
    </w:p>
    <w:p>
      <w:pPr>
        <w:ind w:right="20" w:firstLine="432"/>
        <w:spacing w:after="0" w:line="301" w:lineRule="auto"/>
        <w:rPr>
          <w:sz w:val="20"/>
          <w:szCs w:val="20"/>
          <w:color w:val="auto"/>
        </w:rPr>
      </w:pPr>
      <w:r>
        <w:rPr>
          <w:rFonts w:ascii="Arial" w:cs="Arial" w:eastAsia="Arial" w:hAnsi="Arial"/>
          <w:sz w:val="16"/>
          <w:szCs w:val="16"/>
          <w:color w:val="auto"/>
        </w:rPr>
        <w:t>The Warrants have an initial exercise price equal to $1.76, the closing price of the Common Stock on December 6, 2019 as reported on the Nasdaq Capital Market, and will be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57" w:lineRule="exact"/>
        <w:rPr>
          <w:rFonts w:ascii="Arial" w:cs="Arial" w:eastAsia="Arial" w:hAnsi="Arial"/>
          <w:sz w:val="12"/>
          <w:szCs w:val="12"/>
          <w:color w:val="auto"/>
        </w:rPr>
      </w:pPr>
    </w:p>
    <w:p>
      <w:pPr>
        <w:ind w:right="60" w:firstLine="432"/>
        <w:spacing w:after="0" w:line="277" w:lineRule="auto"/>
        <w:rPr>
          <w:sz w:val="20"/>
          <w:szCs w:val="20"/>
          <w:color w:val="auto"/>
        </w:rPr>
      </w:pPr>
      <w:r>
        <w:rPr>
          <w:rFonts w:ascii="Arial" w:cs="Arial" w:eastAsia="Arial" w:hAnsi="Arial"/>
          <w:sz w:val="18"/>
          <w:szCs w:val="18"/>
          <w:color w:val="auto"/>
        </w:rPr>
        <w:t>On June 24, 2020, Mr. Bagley gifted $500,000 in principal amount of the Notes to his son, E. Bryan Bagley, for no consideration and pursuant to and in accordance with the terms and conditions of the Note Purchase Agreement and Notes.</w:t>
      </w:r>
    </w:p>
    <w:p>
      <w:pPr>
        <w:spacing w:after="0" w:line="170" w:lineRule="exact"/>
        <w:rPr>
          <w:rFonts w:ascii="Arial" w:cs="Arial" w:eastAsia="Arial" w:hAnsi="Arial"/>
          <w:sz w:val="12"/>
          <w:szCs w:val="12"/>
          <w:color w:val="auto"/>
        </w:rPr>
      </w:pPr>
    </w:p>
    <w:p>
      <w:pPr>
        <w:ind w:firstLine="432"/>
        <w:spacing w:after="0" w:line="286" w:lineRule="auto"/>
        <w:rPr>
          <w:sz w:val="20"/>
          <w:szCs w:val="20"/>
          <w:color w:val="auto"/>
        </w:rPr>
      </w:pPr>
      <w:r>
        <w:rPr>
          <w:rFonts w:ascii="Arial" w:cs="Arial" w:eastAsia="Arial" w:hAnsi="Arial"/>
          <w:sz w:val="16"/>
          <w:szCs w:val="16"/>
          <w:color w:val="auto"/>
        </w:rPr>
        <w:t>This prospectus registers the resale by Messrs. Bagley and Bagley of the Conversion Shares and Warrant Shares that may be issued to them from time to time upon their conversion of Notes or exercise of Warrants, respectively. Edward D. Bagley and E. Bryan Bagley are individually affiliates of the Company and each one may be deemed to be an underwriter with respect to the securities offered by this prospectus as such term is defined in Section 2(a) (11) of the Securities Act. The table below describes the selling stockholders’ beneficial ownership of our common stock (i) as of June 25, 2020, and</w:t>
      </w:r>
    </w:p>
    <w:p>
      <w:pPr>
        <w:spacing w:after="0" w:line="1" w:lineRule="exact"/>
        <w:rPr>
          <w:rFonts w:ascii="Arial" w:cs="Arial" w:eastAsia="Arial" w:hAnsi="Arial"/>
          <w:sz w:val="12"/>
          <w:szCs w:val="12"/>
          <w:color w:val="auto"/>
        </w:rPr>
      </w:pPr>
    </w:p>
    <w:p>
      <w:pPr>
        <w:ind w:right="120" w:firstLine="8"/>
        <w:spacing w:after="0" w:line="323"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assuming the selling stockholders have converted all of the Notes and exercised all of the Warrants to purchase shares of our common stock and resold all such shares of common stock pursuant to this prospectus. The selling stockholders may sell some, all or none of their shares in this offering.</w:t>
      </w:r>
    </w:p>
    <w:p>
      <w:pPr>
        <w:sectPr>
          <w:pgSz w:w="11900" w:h="16838" w:orient="portrait"/>
          <w:cols w:equalWidth="0" w:num="1">
            <w:col w:w="11240"/>
          </w:cols>
          <w:pgMar w:left="320" w:top="553" w:right="339" w:bottom="1440" w:gutter="0" w:footer="0" w:header="0"/>
        </w:sect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28"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3"/>
          <w:szCs w:val="13"/>
          <w:color w:val="auto"/>
        </w:rPr>
        <w:t>Name and Address of Selling Stockholders</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28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Edward D. Bagley</w:t>
      </w:r>
    </w:p>
    <w:p>
      <w:pPr>
        <w:spacing w:after="0" w:line="222" w:lineRule="auto"/>
        <w:rPr>
          <w:sz w:val="20"/>
          <w:szCs w:val="20"/>
          <w:color w:val="auto"/>
        </w:rPr>
      </w:pPr>
      <w:r>
        <w:rPr>
          <w:rFonts w:ascii="Arial" w:cs="Arial" w:eastAsia="Arial" w:hAnsi="Arial"/>
          <w:sz w:val="14"/>
          <w:szCs w:val="14"/>
          <w:color w:val="auto"/>
        </w:rPr>
        <w:t>2350 Oak Hill Lane</w:t>
      </w:r>
    </w:p>
    <w:p>
      <w:pPr>
        <w:spacing w:after="0" w:line="234" w:lineRule="auto"/>
        <w:rPr>
          <w:sz w:val="20"/>
          <w:szCs w:val="20"/>
          <w:color w:val="auto"/>
        </w:rPr>
      </w:pPr>
      <w:r>
        <w:rPr>
          <w:rFonts w:ascii="Arial" w:cs="Arial" w:eastAsia="Arial" w:hAnsi="Arial"/>
          <w:sz w:val="14"/>
          <w:szCs w:val="14"/>
          <w:color w:val="auto"/>
        </w:rPr>
        <w:t>Salt Lake City, UT 84116</w:t>
      </w:r>
    </w:p>
    <w:p>
      <w:pPr>
        <w:spacing w:after="0"/>
        <w:rPr>
          <w:sz w:val="20"/>
          <w:szCs w:val="20"/>
          <w:color w:val="auto"/>
        </w:rPr>
      </w:pPr>
      <w:r>
        <w:rPr>
          <w:rFonts w:ascii="Arial" w:cs="Arial" w:eastAsia="Arial" w:hAnsi="Arial"/>
          <w:sz w:val="18"/>
          <w:szCs w:val="18"/>
          <w:color w:val="auto"/>
        </w:rPr>
        <w:t>E. Bryan Bagley</w:t>
      </w:r>
    </w:p>
    <w:p>
      <w:pPr>
        <w:spacing w:after="0" w:line="222" w:lineRule="auto"/>
        <w:rPr>
          <w:sz w:val="20"/>
          <w:szCs w:val="20"/>
          <w:color w:val="auto"/>
        </w:rPr>
      </w:pPr>
      <w:r>
        <w:rPr>
          <w:rFonts w:ascii="Arial" w:cs="Arial" w:eastAsia="Arial" w:hAnsi="Arial"/>
          <w:sz w:val="14"/>
          <w:szCs w:val="14"/>
          <w:color w:val="auto"/>
        </w:rPr>
        <w:t>1470 Arlington Dr.</w:t>
      </w:r>
    </w:p>
    <w:p>
      <w:pPr>
        <w:spacing w:after="0"/>
        <w:rPr>
          <w:sz w:val="20"/>
          <w:szCs w:val="20"/>
          <w:color w:val="auto"/>
        </w:rPr>
      </w:pPr>
      <w:r>
        <w:rPr>
          <w:rFonts w:ascii="Arial" w:cs="Arial" w:eastAsia="Arial" w:hAnsi="Arial"/>
          <w:sz w:val="14"/>
          <w:szCs w:val="14"/>
          <w:color w:val="auto"/>
        </w:rPr>
        <w:t>Salt Lake City, UT 84103</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201"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4"/>
          <w:szCs w:val="14"/>
          <w:b w:val="1"/>
          <w:bCs w:val="1"/>
          <w:i w:val="1"/>
          <w:iCs w:val="1"/>
          <w:color w:val="auto"/>
        </w:rPr>
        <w:t xml:space="preserve">Beneficial Ownership Prior to this Offering </w:t>
      </w:r>
      <w:r>
        <w:rPr>
          <w:rFonts w:ascii="Arial" w:cs="Arial" w:eastAsia="Arial" w:hAnsi="Arial"/>
          <w:sz w:val="19"/>
          <w:szCs w:val="19"/>
          <w:b w:val="1"/>
          <w:bCs w:val="1"/>
          <w:i w:val="1"/>
          <w:iCs w:val="1"/>
          <w:color w:val="auto"/>
          <w:vertAlign w:val="superscript"/>
        </w:rPr>
        <w:t>(1)</w:t>
      </w:r>
    </w:p>
    <w:p>
      <w:pPr>
        <w:spacing w:after="0" w:line="99"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167"/>
        </w:trPr>
        <w:tc>
          <w:tcPr>
            <w:tcW w:w="256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Number of Shares of Common</w:t>
            </w: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Percentage of</w:t>
            </w:r>
          </w:p>
        </w:tc>
      </w:tr>
      <w:tr>
        <w:trPr>
          <w:trHeight w:val="203"/>
        </w:trPr>
        <w:tc>
          <w:tcPr>
            <w:tcW w:w="2560" w:type="dxa"/>
            <w:vAlign w:val="bottom"/>
            <w:gridSpan w:val="2"/>
          </w:tcPr>
          <w:p>
            <w:pPr>
              <w:jc w:val="center"/>
              <w:ind w:right="480"/>
              <w:spacing w:after="0" w:line="203" w:lineRule="exact"/>
              <w:rPr>
                <w:sz w:val="20"/>
                <w:szCs w:val="20"/>
                <w:color w:val="auto"/>
              </w:rPr>
            </w:pPr>
            <w:r>
              <w:rPr>
                <w:rFonts w:ascii="Arial" w:cs="Arial" w:eastAsia="Arial" w:hAnsi="Arial"/>
                <w:sz w:val="14"/>
                <w:szCs w:val="14"/>
                <w:color w:val="auto"/>
                <w:w w:val="88"/>
              </w:rPr>
              <w:t xml:space="preserve">Stock </w:t>
            </w:r>
            <w:r>
              <w:rPr>
                <w:rFonts w:ascii="Arial" w:cs="Arial" w:eastAsia="Arial" w:hAnsi="Arial"/>
                <w:sz w:val="19"/>
                <w:szCs w:val="19"/>
                <w:color w:val="auto"/>
                <w:w w:val="88"/>
                <w:vertAlign w:val="superscript"/>
              </w:rPr>
              <w:t>(2)</w:t>
            </w:r>
          </w:p>
        </w:tc>
        <w:tc>
          <w:tcPr>
            <w:tcW w:w="1500" w:type="dxa"/>
            <w:vAlign w:val="bottom"/>
          </w:tcPr>
          <w:p>
            <w:pPr>
              <w:jc w:val="center"/>
              <w:spacing w:after="0" w:line="202" w:lineRule="exact"/>
              <w:rPr>
                <w:sz w:val="20"/>
                <w:szCs w:val="20"/>
                <w:color w:val="auto"/>
              </w:rPr>
            </w:pPr>
            <w:r>
              <w:rPr>
                <w:rFonts w:ascii="Arial" w:cs="Arial" w:eastAsia="Arial" w:hAnsi="Arial"/>
                <w:sz w:val="14"/>
                <w:szCs w:val="14"/>
                <w:color w:val="auto"/>
                <w:w w:val="89"/>
              </w:rPr>
              <w:t>Common Stock</w:t>
            </w:r>
            <w:r>
              <w:rPr>
                <w:rFonts w:ascii="Arial" w:cs="Arial" w:eastAsia="Arial" w:hAnsi="Arial"/>
                <w:sz w:val="18"/>
                <w:szCs w:val="18"/>
                <w:color w:val="auto"/>
                <w:w w:val="89"/>
                <w:vertAlign w:val="superscript"/>
              </w:rPr>
              <w:t>(</w:t>
            </w:r>
            <w:r>
              <w:rPr>
                <w:rFonts w:ascii="Arial" w:cs="Arial" w:eastAsia="Arial" w:hAnsi="Arial"/>
                <w:sz w:val="23"/>
                <w:szCs w:val="23"/>
                <w:color w:val="auto"/>
                <w:w w:val="89"/>
                <w:vertAlign w:val="superscript"/>
              </w:rPr>
              <w:t>2)</w:t>
            </w:r>
          </w:p>
        </w:tc>
      </w:tr>
      <w:tr>
        <w:trPr>
          <w:trHeight w:val="493"/>
        </w:trPr>
        <w:tc>
          <w:tcPr>
            <w:tcW w:w="208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8,977,278</w:t>
            </w:r>
          </w:p>
        </w:tc>
        <w:tc>
          <w:tcPr>
            <w:tcW w:w="480" w:type="dxa"/>
            <w:vAlign w:val="bottom"/>
          </w:tcPr>
          <w:p>
            <w:pPr>
              <w:spacing w:after="0"/>
              <w:rPr>
                <w:sz w:val="24"/>
                <w:szCs w:val="24"/>
                <w:color w:val="auto"/>
              </w:rPr>
            </w:pPr>
          </w:p>
        </w:tc>
        <w:tc>
          <w:tcPr>
            <w:tcW w:w="1500" w:type="dxa"/>
            <w:vAlign w:val="bottom"/>
            <w:tcBorders>
              <w:top w:val="single" w:sz="8" w:color="auto"/>
            </w:tcBorders>
          </w:tcPr>
          <w:p>
            <w:pPr>
              <w:jc w:val="right"/>
              <w:ind w:right="520"/>
              <w:spacing w:after="0"/>
              <w:rPr>
                <w:sz w:val="20"/>
                <w:szCs w:val="20"/>
                <w:color w:val="auto"/>
              </w:rPr>
            </w:pPr>
            <w:r>
              <w:rPr>
                <w:rFonts w:ascii="Arial" w:cs="Arial" w:eastAsia="Arial" w:hAnsi="Arial"/>
                <w:sz w:val="18"/>
                <w:szCs w:val="18"/>
                <w:color w:val="auto"/>
              </w:rPr>
              <w:t>48.8%</w:t>
            </w:r>
          </w:p>
        </w:tc>
      </w:tr>
      <w:tr>
        <w:trPr>
          <w:trHeight w:val="513"/>
        </w:trPr>
        <w:tc>
          <w:tcPr>
            <w:tcW w:w="2080" w:type="dxa"/>
            <w:vAlign w:val="bottom"/>
          </w:tcPr>
          <w:p>
            <w:pPr>
              <w:jc w:val="right"/>
              <w:ind w:right="659"/>
              <w:spacing w:after="0"/>
              <w:rPr>
                <w:sz w:val="20"/>
                <w:szCs w:val="20"/>
                <w:color w:val="auto"/>
              </w:rPr>
            </w:pPr>
            <w:r>
              <w:rPr>
                <w:rFonts w:ascii="Arial" w:cs="Arial" w:eastAsia="Arial" w:hAnsi="Arial"/>
                <w:sz w:val="18"/>
                <w:szCs w:val="18"/>
                <w:color w:val="auto"/>
              </w:rPr>
              <w:t>3,626,633</w:t>
            </w:r>
          </w:p>
        </w:tc>
        <w:tc>
          <w:tcPr>
            <w:tcW w:w="480" w:type="dxa"/>
            <w:vAlign w:val="bottom"/>
          </w:tcPr>
          <w:p>
            <w:pPr>
              <w:spacing w:after="0"/>
              <w:rPr>
                <w:sz w:val="24"/>
                <w:szCs w:val="24"/>
                <w:color w:val="auto"/>
              </w:rPr>
            </w:pPr>
          </w:p>
        </w:tc>
        <w:tc>
          <w:tcPr>
            <w:tcW w:w="1500" w:type="dxa"/>
            <w:vAlign w:val="bottom"/>
          </w:tcPr>
          <w:p>
            <w:pPr>
              <w:jc w:val="right"/>
              <w:ind w:right="560"/>
              <w:spacing w:after="0"/>
              <w:rPr>
                <w:sz w:val="20"/>
                <w:szCs w:val="20"/>
                <w:color w:val="auto"/>
              </w:rPr>
            </w:pPr>
            <w:r>
              <w:rPr>
                <w:rFonts w:ascii="Arial" w:cs="Arial" w:eastAsia="Arial" w:hAnsi="Arial"/>
                <w:sz w:val="18"/>
                <w:szCs w:val="18"/>
                <w:color w:val="auto"/>
              </w:rPr>
              <w:t>19.7%</w:t>
            </w: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201" w:lineRule="exact"/>
        <w:rPr>
          <w:rFonts w:ascii="Arial" w:cs="Arial" w:eastAsia="Arial" w:hAnsi="Arial"/>
          <w:sz w:val="12"/>
          <w:szCs w:val="12"/>
          <w:color w:val="auto"/>
        </w:rPr>
      </w:pPr>
    </w:p>
    <w:p>
      <w:pPr>
        <w:ind w:left="340"/>
        <w:spacing w:after="0"/>
        <w:rPr>
          <w:sz w:val="20"/>
          <w:szCs w:val="20"/>
          <w:color w:val="auto"/>
        </w:rPr>
      </w:pPr>
      <w:r>
        <w:rPr>
          <w:rFonts w:ascii="Arial" w:cs="Arial" w:eastAsia="Arial" w:hAnsi="Arial"/>
          <w:sz w:val="12"/>
          <w:szCs w:val="12"/>
          <w:b w:val="1"/>
          <w:bCs w:val="1"/>
          <w:i w:val="1"/>
          <w:iCs w:val="1"/>
          <w:color w:val="auto"/>
        </w:rPr>
        <w:t xml:space="preserve">Beneficial Ownership After this Offering </w:t>
      </w:r>
      <w:r>
        <w:rPr>
          <w:rFonts w:ascii="Arial" w:cs="Arial" w:eastAsia="Arial" w:hAnsi="Arial"/>
          <w:sz w:val="16"/>
          <w:szCs w:val="16"/>
          <w:b w:val="1"/>
          <w:bCs w:val="1"/>
          <w:i w:val="1"/>
          <w:iCs w:val="1"/>
          <w:color w:val="auto"/>
          <w:vertAlign w:val="superscript"/>
        </w:rPr>
        <w:t>(1)</w:t>
      </w:r>
    </w:p>
    <w:p>
      <w:pPr>
        <w:spacing w:after="0" w:line="12"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Number of Shares of</w:t>
      </w:r>
    </w:p>
    <w:p>
      <w:pPr>
        <w:ind w:left="340"/>
        <w:spacing w:after="0" w:line="224" w:lineRule="auto"/>
        <w:rPr>
          <w:sz w:val="20"/>
          <w:szCs w:val="20"/>
          <w:color w:val="auto"/>
        </w:rPr>
      </w:pPr>
      <w:r>
        <w:rPr>
          <w:rFonts w:ascii="Arial" w:cs="Arial" w:eastAsia="Arial" w:hAnsi="Arial"/>
          <w:sz w:val="14"/>
          <w:szCs w:val="14"/>
          <w:color w:val="auto"/>
        </w:rPr>
        <w:t>Common</w:t>
      </w:r>
    </w:p>
    <w:p>
      <w:pPr>
        <w:spacing w:after="0" w:line="1" w:lineRule="exact"/>
        <w:rPr>
          <w:rFonts w:ascii="Arial" w:cs="Arial" w:eastAsia="Arial" w:hAnsi="Arial"/>
          <w:sz w:val="12"/>
          <w:szCs w:val="12"/>
          <w:color w:val="auto"/>
        </w:rPr>
      </w:pPr>
    </w:p>
    <w:p>
      <w:pPr>
        <w:ind w:left="380"/>
        <w:spacing w:after="0"/>
        <w:rPr>
          <w:sz w:val="20"/>
          <w:szCs w:val="20"/>
          <w:color w:val="auto"/>
        </w:rPr>
      </w:pPr>
      <w:r>
        <w:rPr>
          <w:rFonts w:ascii="Arial" w:cs="Arial" w:eastAsia="Arial" w:hAnsi="Arial"/>
          <w:sz w:val="14"/>
          <w:szCs w:val="14"/>
          <w:color w:val="auto"/>
        </w:rPr>
        <w:t xml:space="preserve">Stock </w:t>
      </w:r>
      <w:r>
        <w:rPr>
          <w:rFonts w:ascii="Arial" w:cs="Arial" w:eastAsia="Arial" w:hAnsi="Arial"/>
          <w:sz w:val="19"/>
          <w:szCs w:val="19"/>
          <w:color w:val="auto"/>
          <w:vertAlign w:val="superscript"/>
        </w:rPr>
        <w:t>(2)</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-121920</wp:posOffset>
            </wp:positionH>
            <wp:positionV relativeFrom="paragraph">
              <wp:posOffset>-24130</wp:posOffset>
            </wp:positionV>
            <wp:extent cx="22974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24" w:lineRule="exact"/>
        <w:rPr>
          <w:rFonts w:ascii="Arial" w:cs="Arial" w:eastAsia="Arial" w:hAnsi="Arial"/>
          <w:sz w:val="12"/>
          <w:szCs w:val="12"/>
          <w:color w:val="auto"/>
        </w:rPr>
      </w:pPr>
    </w:p>
    <w:p>
      <w:pPr>
        <w:ind w:left="180"/>
        <w:spacing w:after="0"/>
        <w:rPr>
          <w:sz w:val="20"/>
          <w:szCs w:val="20"/>
          <w:color w:val="auto"/>
        </w:rPr>
      </w:pPr>
      <w:r>
        <w:rPr>
          <w:rFonts w:ascii="Arial" w:cs="Arial" w:eastAsia="Arial" w:hAnsi="Arial"/>
          <w:sz w:val="18"/>
          <w:szCs w:val="18"/>
          <w:color w:val="auto"/>
        </w:rPr>
        <w:t>7,451,535</w:t>
      </w:r>
    </w:p>
    <w:p>
      <w:pPr>
        <w:spacing w:after="0" w:line="306" w:lineRule="exact"/>
        <w:rPr>
          <w:rFonts w:ascii="Arial" w:cs="Arial" w:eastAsia="Arial" w:hAnsi="Arial"/>
          <w:sz w:val="12"/>
          <w:szCs w:val="12"/>
          <w:color w:val="auto"/>
        </w:rPr>
      </w:pPr>
    </w:p>
    <w:p>
      <w:pPr>
        <w:ind w:left="180"/>
        <w:spacing w:after="0"/>
        <w:rPr>
          <w:sz w:val="20"/>
          <w:szCs w:val="20"/>
          <w:color w:val="auto"/>
        </w:rPr>
      </w:pPr>
      <w:r>
        <w:rPr>
          <w:rFonts w:ascii="Arial" w:cs="Arial" w:eastAsia="Arial" w:hAnsi="Arial"/>
          <w:sz w:val="18"/>
          <w:szCs w:val="18"/>
          <w:color w:val="auto"/>
        </w:rPr>
        <w:t>3,389,666</w:t>
      </w:r>
    </w:p>
    <w:p>
      <w:pPr>
        <w:spacing w:after="0" w:line="229" w:lineRule="exact"/>
        <w:rPr>
          <w:rFonts w:ascii="Arial" w:cs="Arial" w:eastAsia="Arial" w:hAnsi="Arial"/>
          <w:sz w:val="12"/>
          <w:szCs w:val="12"/>
          <w:color w:val="auto"/>
        </w:rPr>
      </w:pPr>
    </w:p>
    <w:p>
      <w:pPr>
        <w:sectPr>
          <w:pgSz w:w="11900" w:h="16838" w:orient="portrait"/>
          <w:cols w:equalWidth="0" w:num="3">
            <w:col w:w="2480" w:space="520"/>
            <w:col w:w="4060" w:space="620"/>
            <w:col w:w="3560"/>
          </w:cols>
          <w:pgMar w:left="320" w:top="553" w:right="339" w:bottom="1440" w:gutter="0" w:footer="0" w:header="0"/>
          <w:type w:val="continuous"/>
        </w:sectPr>
      </w:pPr>
    </w:p>
    <w:p>
      <w:pPr>
        <w:spacing w:after="0" w:line="387" w:lineRule="exact"/>
        <w:rPr>
          <w:rFonts w:ascii="Arial" w:cs="Arial" w:eastAsia="Arial" w:hAnsi="Arial"/>
          <w:sz w:val="12"/>
          <w:szCs w:val="12"/>
          <w:color w:val="auto"/>
        </w:rPr>
      </w:pPr>
    </w:p>
    <w:p>
      <w:pPr>
        <w:ind w:left="460" w:right="40" w:hanging="452"/>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13d-3(d) promulgated by the SEC under the Exchange Act. In calculating the number of shares beneficially owned by the selling stockholders prior to and after this offering, we have based our calculations on 16,650,725 shares of common stock outstanding as of June 25, 2020.</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the conversion of Notes for Conversion Shares and the exercise of Warrants for Warrant Shares covered by this registration statement.</w:t>
      </w:r>
    </w:p>
    <w:p>
      <w:pPr>
        <w:spacing w:after="0" w:line="275"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8" w:name="page9"/>
    <w:bookmarkEnd w:id="8"/>
    <w:p>
      <w:pPr>
        <w:jc w:val="center"/>
        <w:ind w:left="640"/>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stockholders to one vote for each share of such stock held by them. Cumulative voting is expressly prohibited by the Certificate of Incorporation. With respect to any matter, a quorum shall be present at a meeting of stockholders if the holders of a majority of the shares entitled to vote on that matter are represented at the meeting in person or by proxy.</w:t>
      </w:r>
    </w:p>
    <w:p>
      <w:pPr>
        <w:spacing w:after="0" w:line="15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Stockholders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2"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 Board of Directors has the authority to issue the authorized but unissued shares of common stock without action by the stockholders. Any future issuance of such shares would reduce the percentage ownership held by existing stockholders and might dilute the book value of their shares.</w:t>
      </w:r>
    </w:p>
    <w:p>
      <w:pPr>
        <w:spacing w:after="0" w:line="146"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540" w:right="660" w:hanging="249"/>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540" w:right="200" w:hanging="249"/>
        <w:spacing w:after="0" w:line="25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8"/>
          <w:szCs w:val="18"/>
          <w:color w:val="auto"/>
        </w:rPr>
      </w:pPr>
    </w:p>
    <w:p>
      <w:pPr>
        <w:ind w:left="540" w:right="300" w:hanging="249"/>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52" w:lineRule="exact"/>
        <w:rPr>
          <w:sz w:val="20"/>
          <w:szCs w:val="20"/>
          <w:color w:val="auto"/>
        </w:rPr>
      </w:pPr>
    </w:p>
    <w:p>
      <w:pPr>
        <w:ind w:left="680" w:hanging="36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63" w:lineRule="exact"/>
        <w:rPr>
          <w:rFonts w:ascii="Arial" w:cs="Arial" w:eastAsia="Arial" w:hAnsi="Arial"/>
          <w:sz w:val="18"/>
          <w:szCs w:val="18"/>
          <w:color w:val="auto"/>
        </w:rPr>
      </w:pPr>
    </w:p>
    <w:p>
      <w:pPr>
        <w:ind w:left="680" w:right="720" w:hanging="36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8" w:lineRule="exact"/>
        <w:rPr>
          <w:rFonts w:ascii="Arial" w:cs="Arial" w:eastAsia="Arial" w:hAnsi="Arial"/>
          <w:sz w:val="18"/>
          <w:szCs w:val="18"/>
          <w:color w:val="auto"/>
        </w:rPr>
      </w:pPr>
    </w:p>
    <w:p>
      <w:pPr>
        <w:ind w:left="680" w:right="380" w:hanging="36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8" w:lineRule="exact"/>
        <w:rPr>
          <w:rFonts w:ascii="Arial" w:cs="Arial" w:eastAsia="Arial" w:hAnsi="Arial"/>
          <w:sz w:val="18"/>
          <w:szCs w:val="18"/>
          <w:color w:val="auto"/>
        </w:rPr>
      </w:pPr>
    </w:p>
    <w:p>
      <w:pPr>
        <w:ind w:left="680" w:right="520" w:hanging="36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8" w:lineRule="exact"/>
        <w:rPr>
          <w:rFonts w:ascii="Arial" w:cs="Arial" w:eastAsia="Arial" w:hAnsi="Arial"/>
          <w:sz w:val="18"/>
          <w:szCs w:val="18"/>
          <w:color w:val="auto"/>
        </w:rPr>
      </w:pPr>
    </w:p>
    <w:p>
      <w:pPr>
        <w:ind w:left="680" w:right="240" w:hanging="36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97"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Capital Market under the trading symbol “CLRO.”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Colonial Stock Transfer.</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82" w:lineRule="exact"/>
        <w:rPr>
          <w:sz w:val="20"/>
          <w:szCs w:val="20"/>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880" w:right="80" w:hanging="319"/>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30" w:lineRule="exact"/>
        <w:rPr>
          <w:rFonts w:ascii="Arial" w:cs="Arial" w:eastAsia="Arial" w:hAnsi="Arial"/>
          <w:sz w:val="18"/>
          <w:szCs w:val="18"/>
          <w:color w:val="auto"/>
        </w:rPr>
      </w:pPr>
    </w:p>
    <w:p>
      <w:pPr>
        <w:ind w:left="880" w:right="240" w:hanging="319"/>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5"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may agree with a selling stockholder to sell a specified number of such shares at a stipulated price per share;</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selling stockholders also may sell shares under Rule 144 under the Securities Act, if available, rather than under this prospectus.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We do not expect these commissions and discounts to exceed what is customary in the types of transactions involved.</w:t>
      </w:r>
    </w:p>
    <w:p>
      <w:pPr>
        <w:spacing w:after="0" w:line="16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 selling stockholder may from time to time pledge or grant a security interest in some or all of the shares of common stock owned by it and, if it defaults in the performance of its secured obligations, the pledgees or secured parties may offer and sell shares of common stock from time to time under this prospectus, or under a supplement or amendment to this prospectus under Rule 424(b)(3) or other applicable provision of the Securities Act amending the section of this prospectus captioned “Selling Stockholders” to include the pledgee, transferee or other successors in interest as selling stockholders under this 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ind w:firstLine="432"/>
        <w:spacing w:after="0" w:line="271" w:lineRule="auto"/>
        <w:rPr>
          <w:sz w:val="20"/>
          <w:szCs w:val="20"/>
          <w:color w:val="auto"/>
        </w:rPr>
      </w:pPr>
      <w:r>
        <w:rPr>
          <w:rFonts w:ascii="Arial" w:cs="Arial" w:eastAsia="Arial" w:hAnsi="Arial"/>
          <w:sz w:val="17"/>
          <w:szCs w:val="17"/>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78"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A selling stockholder also may transfer the shares of common stock in other circumstances, in which case the transferees, pledgees or other successors in interest will be the selling beneficial owners for purposes of this prospectus.</w:t>
      </w:r>
    </w:p>
    <w:p>
      <w:pPr>
        <w:spacing w:after="0" w:line="170"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have advised the selling stockholders that it is required to comply with Regulation M promulgated under the Securities and Exchange Act during such time as it may be engaged in a distribution of the shares. The foregoing may affect the marketability of the common stock.</w:t>
      </w:r>
    </w:p>
    <w:p>
      <w:pPr>
        <w:spacing w:after="0" w:line="1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70"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such time as all of the shares covered by this prospectus have been disposed of pursuant to and in accordance with the registration statement of which this prospectus forms a part or pursuant to Rule 144 of the Securities Act.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validity of the securities being offered hereby will be passed upon by Seyfarth Shaw LLP.</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ind w:right="120" w:firstLine="576"/>
        <w:spacing w:after="0" w:line="263"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40" w:type="dxa"/>
            <w:vAlign w:val="bottom"/>
            <w:shd w:val="clear" w:color="auto" w:fill="CCEEFF"/>
          </w:tcPr>
          <w:p>
            <w:pPr>
              <w:jc w:val="right"/>
              <w:ind w:right="612"/>
              <w:spacing w:after="0"/>
              <w:rPr>
                <w:sz w:val="20"/>
                <w:szCs w:val="20"/>
                <w:color w:val="auto"/>
              </w:rPr>
            </w:pPr>
            <w:r>
              <w:rPr>
                <w:rFonts w:ascii="Arial" w:cs="Arial" w:eastAsia="Arial" w:hAnsi="Arial"/>
                <w:sz w:val="22"/>
                <w:szCs w:val="22"/>
                <w:color w:val="auto"/>
                <w:w w:val="8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70"/>
        </w:trPr>
        <w:tc>
          <w:tcPr>
            <w:tcW w:w="9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Fees and Expenses</w:t>
            </w:r>
          </w:p>
        </w:tc>
        <w:tc>
          <w:tcPr>
            <w:tcW w:w="8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0"/>
        </w:trPr>
        <w:tc>
          <w:tcPr>
            <w:tcW w:w="9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12"/>
              <w:spacing w:after="0" w:line="250" w:lineRule="exact"/>
              <w:rPr>
                <w:sz w:val="20"/>
                <w:szCs w:val="20"/>
                <w:color w:val="auto"/>
              </w:rPr>
            </w:pPr>
            <w:r>
              <w:rPr>
                <w:rFonts w:ascii="Arial" w:cs="Arial" w:eastAsia="Arial" w:hAnsi="Arial"/>
                <w:sz w:val="22"/>
                <w:szCs w:val="22"/>
                <w:color w:val="auto"/>
                <w:w w:val="8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32,378</w:t>
            </w:r>
          </w:p>
        </w:tc>
      </w:tr>
      <w:tr>
        <w:trPr>
          <w:trHeight w:val="20"/>
        </w:trPr>
        <w:tc>
          <w:tcPr>
            <w:tcW w:w="9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8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70"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84" w:lineRule="exact"/>
        <w:rPr>
          <w:sz w:val="20"/>
          <w:szCs w:val="20"/>
          <w:color w:val="auto"/>
        </w:rPr>
      </w:pPr>
    </w:p>
    <w:p>
      <w:pPr>
        <w:ind w:left="780" w:hanging="34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117" w:lineRule="exact"/>
        <w:rPr>
          <w:rFonts w:ascii="Arial" w:cs="Arial" w:eastAsia="Arial" w:hAnsi="Arial"/>
          <w:sz w:val="18"/>
          <w:szCs w:val="18"/>
          <w:color w:val="auto"/>
        </w:rPr>
      </w:pPr>
    </w:p>
    <w:p>
      <w:pPr>
        <w:ind w:left="780" w:hanging="34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100" w:firstLine="432"/>
        <w:spacing w:after="0" w:line="286" w:lineRule="auto"/>
        <w:rPr>
          <w:sz w:val="20"/>
          <w:szCs w:val="20"/>
          <w:color w:val="auto"/>
        </w:rPr>
      </w:pPr>
      <w:r>
        <w:rPr>
          <w:rFonts w:ascii="Arial" w:cs="Arial" w:eastAsia="Arial" w:hAnsi="Arial"/>
          <w:sz w:val="17"/>
          <w:szCs w:val="17"/>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tab/>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to this Registration Statement on Form S-3 which is incorporated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tab/>
        <w:t>UNDERTAKINGS.</w:t>
      </w:r>
    </w:p>
    <w:p>
      <w:pPr>
        <w:spacing w:after="0" w:line="229" w:lineRule="exact"/>
        <w:rPr>
          <w:sz w:val="20"/>
          <w:szCs w:val="20"/>
          <w:color w:val="auto"/>
        </w:rPr>
      </w:pPr>
    </w:p>
    <w:p>
      <w:pPr>
        <w:ind w:left="740" w:hanging="7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40" w:hanging="719"/>
        <w:spacing w:after="0"/>
        <w:tabs>
          <w:tab w:leader="none" w:pos="1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180" w:hanging="746"/>
        <w:spacing w:after="0"/>
        <w:tabs>
          <w:tab w:leader="none" w:pos="21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2140" w:right="40" w:hanging="706"/>
        <w:spacing w:after="0" w:line="271" w:lineRule="auto"/>
        <w:tabs>
          <w:tab w:leader="none" w:pos="2133" w:val="left"/>
        </w:tabs>
        <w:numPr>
          <w:ilvl w:val="2"/>
          <w:numId w:val="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140" w:right="540" w:hanging="706"/>
        <w:spacing w:after="0" w:line="277" w:lineRule="auto"/>
        <w:tabs>
          <w:tab w:leader="none" w:pos="2183"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4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(i), (ii) and (iii)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left="719" w:right="140" w:hanging="719"/>
        <w:spacing w:after="0" w:line="263" w:lineRule="auto"/>
        <w:tabs>
          <w:tab w:leader="none" w:pos="7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719" w:right="120" w:hanging="719"/>
        <w:spacing w:after="0" w:line="277" w:lineRule="auto"/>
        <w:tabs>
          <w:tab w:leader="none" w:pos="7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19" w:hanging="719"/>
        <w:spacing w:after="0"/>
        <w:tabs>
          <w:tab w:leader="none" w:pos="7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419" w:right="160" w:hanging="668"/>
        <w:spacing w:after="0" w:line="277" w:lineRule="auto"/>
        <w:tabs>
          <w:tab w:leader="none" w:pos="1442" w:val="left"/>
        </w:tabs>
        <w:numPr>
          <w:ilvl w:val="2"/>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419" w:right="20" w:hanging="668"/>
        <w:spacing w:after="0" w:line="268" w:lineRule="auto"/>
        <w:tabs>
          <w:tab w:leader="none" w:pos="1397" w:val="left"/>
        </w:tabs>
        <w:numPr>
          <w:ilvl w:val="2"/>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6" w:lineRule="exact"/>
        <w:rPr>
          <w:rFonts w:ascii="Arial" w:cs="Arial" w:eastAsia="Arial" w:hAnsi="Arial"/>
          <w:sz w:val="17"/>
          <w:szCs w:val="17"/>
          <w:color w:val="auto"/>
        </w:rPr>
      </w:pPr>
    </w:p>
    <w:p>
      <w:pPr>
        <w:ind w:left="719" w:hanging="719"/>
        <w:spacing w:after="0" w:line="275" w:lineRule="auto"/>
        <w:tabs>
          <w:tab w:leader="none" w:pos="72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1419" w:hanging="706"/>
        <w:spacing w:after="0" w:line="277" w:lineRule="auto"/>
        <w:tabs>
          <w:tab w:leader="none" w:pos="14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419" w:right="80" w:hanging="706"/>
        <w:spacing w:after="0" w:line="277" w:lineRule="auto"/>
        <w:tabs>
          <w:tab w:leader="none" w:pos="14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419" w:right="880" w:hanging="706"/>
        <w:spacing w:after="0" w:line="308" w:lineRule="auto"/>
        <w:tabs>
          <w:tab w:leader="none" w:pos="1462"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1439" w:hanging="726"/>
        <w:spacing w:after="0"/>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ind w:left="48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92075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19"/>
          </w:cols>
          <w:pgMar w:left="1041" w:top="557" w:right="339" w:bottom="1440" w:gutter="0" w:footer="0" w:header="0"/>
        </w:sectPr>
      </w:pPr>
    </w:p>
    <w:bookmarkStart w:id="15" w:name="page16"/>
    <w:bookmarkEnd w:id="15"/>
    <w:p>
      <w:pPr>
        <w:ind w:left="712" w:right="40" w:hanging="712"/>
        <w:spacing w:after="0" w:line="275" w:lineRule="auto"/>
        <w:tabs>
          <w:tab w:leader="none" w:pos="7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6" w:lineRule="exact"/>
        <w:rPr>
          <w:rFonts w:ascii="Arial" w:cs="Arial" w:eastAsia="Arial" w:hAnsi="Arial"/>
          <w:sz w:val="17"/>
          <w:szCs w:val="17"/>
          <w:color w:val="auto"/>
        </w:rPr>
      </w:pPr>
    </w:p>
    <w:p>
      <w:pPr>
        <w:ind w:left="712" w:hanging="712"/>
        <w:spacing w:after="0" w:line="271" w:lineRule="auto"/>
        <w:tabs>
          <w:tab w:leader="none" w:pos="7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Pursuant to the requirements of the Securities Act, the registrant hereby certifies that it has reasonable grounds to believe that it meets all of the requirements for filing on Form S-3 and has duly caused this registration statement to be signed on its behalf by the undersigned, thereunto duly authorized, in the city of Salt Lake City, Utah on this 26th day of June,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CLEARONE, INC.</w:t>
            </w:r>
          </w:p>
        </w:tc>
      </w:tr>
      <w:tr>
        <w:trPr>
          <w:trHeight w:val="250"/>
        </w:trPr>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3740" w:type="dxa"/>
            <w:vAlign w:val="bottom"/>
          </w:tcPr>
          <w:p>
            <w:pPr>
              <w:spacing w:after="0"/>
              <w:rPr>
                <w:sz w:val="21"/>
                <w:szCs w:val="21"/>
                <w:color w:val="auto"/>
              </w:rPr>
            </w:pPr>
          </w:p>
        </w:tc>
      </w:tr>
      <w:tr>
        <w:trPr>
          <w:trHeight w:val="466"/>
        </w:trPr>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80" w:type="dxa"/>
            <w:vAlign w:val="bottom"/>
            <w:gridSpan w:val="3"/>
          </w:tcPr>
          <w:p>
            <w:pPr>
              <w:ind w:left="2980"/>
              <w:spacing w:after="0"/>
              <w:rPr>
                <w:sz w:val="20"/>
                <w:szCs w:val="20"/>
                <w:color w:val="auto"/>
              </w:rPr>
            </w:pPr>
            <w:r>
              <w:rPr>
                <w:rFonts w:ascii="Arial" w:cs="Arial" w:eastAsia="Arial" w:hAnsi="Arial"/>
                <w:sz w:val="18"/>
                <w:szCs w:val="18"/>
                <w:color w:val="auto"/>
              </w:rPr>
              <w:t>By:  /s/ Zeynep Hakimoglu</w:t>
            </w: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29"/>
        </w:trPr>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0" w:type="dxa"/>
            <w:vAlign w:val="bottom"/>
          </w:tcPr>
          <w:p>
            <w:pPr>
              <w:spacing w:after="0"/>
              <w:rPr>
                <w:sz w:val="20"/>
                <w:szCs w:val="20"/>
                <w:color w:val="auto"/>
              </w:rPr>
            </w:pPr>
            <w:r>
              <w:rPr>
                <w:rFonts w:ascii="Arial" w:cs="Arial" w:eastAsia="Arial" w:hAnsi="Arial"/>
                <w:sz w:val="16"/>
                <w:szCs w:val="16"/>
                <w:b w:val="1"/>
                <w:bCs w:val="1"/>
                <w:color w:val="auto"/>
                <w:w w:val="92"/>
              </w:rPr>
              <w:t>Date</w:t>
            </w:r>
          </w:p>
        </w:tc>
        <w:tc>
          <w:tcPr>
            <w:tcW w:w="1580" w:type="dxa"/>
            <w:vAlign w:val="bottom"/>
          </w:tcPr>
          <w:p>
            <w:pPr>
              <w:spacing w:after="0"/>
              <w:rPr>
                <w:sz w:val="24"/>
                <w:szCs w:val="24"/>
                <w:color w:val="auto"/>
              </w:rPr>
            </w:pPr>
          </w:p>
        </w:tc>
        <w:tc>
          <w:tcPr>
            <w:tcW w:w="9320" w:type="dxa"/>
            <w:vAlign w:val="bottom"/>
            <w:gridSpan w:val="4"/>
          </w:tcPr>
          <w:p>
            <w:pPr>
              <w:spacing w:after="0"/>
              <w:rPr>
                <w:sz w:val="20"/>
                <w:szCs w:val="20"/>
                <w:color w:val="auto"/>
              </w:rPr>
            </w:pPr>
            <w:r>
              <w:rPr>
                <w:rFonts w:ascii="Arial" w:cs="Arial" w:eastAsia="Arial" w:hAnsi="Arial"/>
                <w:sz w:val="16"/>
                <w:szCs w:val="16"/>
                <w:b w:val="1"/>
                <w:bCs w:val="1"/>
                <w:color w:val="auto"/>
              </w:rPr>
              <w:t>Signatures</w:t>
            </w:r>
          </w:p>
        </w:tc>
      </w:tr>
      <w:tr>
        <w:trPr>
          <w:trHeight w:val="20"/>
        </w:trPr>
        <w:tc>
          <w:tcPr>
            <w:tcW w:w="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June 26,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/s/ Zeynep Hakimoglu</w:t>
            </w:r>
          </w:p>
        </w:tc>
      </w:tr>
      <w:tr>
        <w:trPr>
          <w:trHeight w:val="216"/>
        </w:trPr>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Zeynep Hakimoglu, Chairman of the Board of Directors, President and Chief Executive Officer</w:t>
            </w:r>
          </w:p>
        </w:tc>
      </w:tr>
      <w:tr>
        <w:trPr>
          <w:trHeight w:val="230"/>
        </w:trPr>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485"/>
        </w:trPr>
        <w:tc>
          <w:tcPr>
            <w:tcW w:w="1920" w:type="dxa"/>
            <w:vAlign w:val="bottom"/>
            <w:gridSpan w:val="2"/>
          </w:tcPr>
          <w:p>
            <w:pPr>
              <w:spacing w:after="0"/>
              <w:rPr>
                <w:sz w:val="20"/>
                <w:szCs w:val="20"/>
                <w:color w:val="auto"/>
              </w:rPr>
            </w:pPr>
            <w:r>
              <w:rPr>
                <w:rFonts w:ascii="Arial" w:cs="Arial" w:eastAsia="Arial" w:hAnsi="Arial"/>
                <w:sz w:val="18"/>
                <w:szCs w:val="18"/>
                <w:color w:val="auto"/>
              </w:rPr>
              <w:t>June 26,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/s/ Narsi Narayanan</w:t>
            </w:r>
          </w:p>
        </w:tc>
      </w:tr>
      <w:tr>
        <w:trPr>
          <w:trHeight w:val="216"/>
        </w:trPr>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Narsi Narayanan, Senior Vice President of Finance</w:t>
            </w:r>
          </w:p>
        </w:tc>
      </w:tr>
      <w:tr>
        <w:trPr>
          <w:trHeight w:val="230"/>
        </w:trPr>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(Principal Financial and Principal Accounting Officer)</w:t>
            </w:r>
          </w:p>
        </w:tc>
      </w:tr>
      <w:tr>
        <w:trPr>
          <w:trHeight w:val="580"/>
        </w:trPr>
        <w:tc>
          <w:tcPr>
            <w:tcW w:w="1920" w:type="dxa"/>
            <w:vAlign w:val="bottom"/>
            <w:gridSpan w:val="2"/>
          </w:tcPr>
          <w:p>
            <w:pPr>
              <w:spacing w:after="0"/>
              <w:rPr>
                <w:sz w:val="20"/>
                <w:szCs w:val="20"/>
                <w:color w:val="auto"/>
              </w:rPr>
            </w:pPr>
            <w:r>
              <w:rPr>
                <w:rFonts w:ascii="Arial" w:cs="Arial" w:eastAsia="Arial" w:hAnsi="Arial"/>
                <w:sz w:val="18"/>
                <w:szCs w:val="18"/>
                <w:color w:val="auto"/>
              </w:rPr>
              <w:t>June 26, 2020</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Larry R. Hendricks, Director</w:t>
            </w:r>
          </w:p>
        </w:tc>
      </w:tr>
      <w:tr>
        <w:trPr>
          <w:trHeight w:val="472"/>
        </w:trPr>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June 26,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Eric L. Robinson, Director</w:t>
            </w:r>
          </w:p>
        </w:tc>
      </w:tr>
      <w:tr>
        <w:trPr>
          <w:trHeight w:val="445"/>
        </w:trPr>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June 26,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Bruce Whaley, Director</w:t>
            </w:r>
          </w:p>
        </w:tc>
      </w:tr>
    </w:tbl>
    <w:p>
      <w:pPr>
        <w:spacing w:after="0" w:line="200" w:lineRule="exact"/>
        <w:rPr>
          <w:sz w:val="20"/>
          <w:szCs w:val="20"/>
          <w:color w:val="auto"/>
        </w:rPr>
      </w:pPr>
    </w:p>
    <w:p>
      <w:pPr>
        <w:spacing w:after="0" w:line="373" w:lineRule="exact"/>
        <w:rPr>
          <w:sz w:val="20"/>
          <w:szCs w:val="20"/>
          <w:color w:val="auto"/>
        </w:rPr>
      </w:pPr>
    </w:p>
    <w:p>
      <w:pPr>
        <w:ind w:left="800" w:hanging="779"/>
        <w:spacing w:after="0"/>
        <w:tabs>
          <w:tab w:leader="none" w:pos="80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/s/ Narsi Narayanan</w:t>
      </w:r>
    </w:p>
    <w:p>
      <w:pPr>
        <w:ind w:left="20"/>
        <w:spacing w:after="0"/>
        <w:rPr>
          <w:rFonts w:ascii="Arial" w:cs="Arial" w:eastAsia="Arial" w:hAnsi="Arial"/>
          <w:sz w:val="36"/>
          <w:szCs w:val="36"/>
          <w:color w:val="auto"/>
          <w:vertAlign w:val="superscript"/>
        </w:rPr>
      </w:pPr>
      <w:r>
        <w:rPr>
          <w:rFonts w:ascii="Arial" w:cs="Arial" w:eastAsia="Arial" w:hAnsi="Arial"/>
          <w:sz w:val="18"/>
          <w:szCs w:val="18"/>
          <w:color w:val="auto"/>
        </w:rPr>
        <w:t>By:</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Narsi Narayanan</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6" w:lineRule="exact"/>
        <w:rPr>
          <w:sz w:val="20"/>
          <w:szCs w:val="20"/>
          <w:color w:val="auto"/>
        </w:rPr>
      </w:pPr>
    </w:p>
    <w:p>
      <w:pPr>
        <w:ind w:left="960" w:hanging="539"/>
        <w:spacing w:after="0" w:line="266"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4">
        <w:r>
          <w:rPr>
            <w:rFonts w:ascii="Arial" w:cs="Arial" w:eastAsia="Arial" w:hAnsi="Arial"/>
            <w:sz w:val="18"/>
            <w:szCs w:val="18"/>
            <w:u w:val="single" w:color="auto"/>
            <w:color w:val="0000FF"/>
          </w:rPr>
          <w:t>Description of Securities Registered Pursuant to Section 12 of the Securities Exchange Act of 1934 (filed as Exhibit 4.1 to ClearOne, Inc.’s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Annual Report on Form 10-K for the year ended December 31, 2019 and incorporated herein by reference).</w:t>
        </w:r>
      </w:hyperlink>
    </w:p>
    <w:p>
      <w:pPr>
        <w:ind w:left="42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Seyfarth Shaw LLP regarding the validity of the securities being issued.*</w:t>
      </w:r>
    </w:p>
    <w:p>
      <w:pPr>
        <w:spacing w:after="0" w:line="225" w:lineRule="exact"/>
        <w:rPr>
          <w:sz w:val="20"/>
          <w:szCs w:val="20"/>
          <w:color w:val="auto"/>
        </w:rPr>
      </w:pPr>
    </w:p>
    <w:p>
      <w:pPr>
        <w:ind w:left="42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9">
        <w:r>
          <w:rPr>
            <w:rFonts w:ascii="Arial" w:cs="Arial" w:eastAsia="Arial" w:hAnsi="Arial"/>
            <w:sz w:val="16"/>
            <w:szCs w:val="16"/>
            <w:u w:val="single" w:color="auto"/>
            <w:color w:val="0000EE"/>
          </w:rPr>
          <w:t>Consent of Tanner LLC</w:t>
        </w:r>
      </w:hyperlink>
    </w:p>
    <w:p>
      <w:pPr>
        <w:spacing w:after="0" w:line="25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Seyfarth Shaw LLP.*</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69" w:right="59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CONSENT OF INDEPENDENT REGISTERED</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PUBLIC ACCOUNTING FIRM</w:t>
      </w:r>
    </w:p>
    <w:p>
      <w:pPr>
        <w:spacing w:after="0" w:line="200" w:lineRule="exact"/>
        <w:rPr>
          <w:sz w:val="20"/>
          <w:szCs w:val="20"/>
          <w:color w:val="auto"/>
        </w:rPr>
      </w:pPr>
    </w:p>
    <w:p>
      <w:pPr>
        <w:spacing w:after="0" w:line="232" w:lineRule="exact"/>
        <w:rPr>
          <w:sz w:val="20"/>
          <w:szCs w:val="20"/>
          <w:color w:val="auto"/>
        </w:rPr>
      </w:pPr>
    </w:p>
    <w:p>
      <w:pPr>
        <w:ind w:right="80" w:firstLine="864"/>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S-3/A of our report dated March 30, 2020, with respect to the consolidated balance sheets of ClearOne, Inc. and subsidiaries as of December 31, 2019 and 2018, and the related consolidated statements of operations and comprehensive loss, shareholders’ equity, and cash flows for each of the years in the two-year period ended December 31, 2019, and to the reference to our firm under the heading “Experts” in this Registration Statement on Form S-3/A.</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Roman"/>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9">
    <w:nsid w:val="1F16E9E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10">
    <w:nsid w:val="1190CDE7"/>
    <w:multiLevelType w:val="hybridMultilevel"/>
    <w:lvl w:ilvl="0">
      <w:lvlJc w:val="left"/>
      <w:lvlText w:val="%1."/>
      <w:numFmt w:val="upperLetter"/>
      <w:start w:val="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4" Type="http://schemas.openxmlformats.org/officeDocument/2006/relationships/hyperlink" Target="http://www.sec.gov/Archives/edgar/data/840715/000175392620000071/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2020-06-26T11:41:52Z</dcterms:created>
  <dcterms:modified xsi:type="dcterms:W3CDTF">2020-06-26T11:41:52Z</dcterms:modified>
</cp:coreProperties>
</file>