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480" w:right="2140" w:hanging="472"/>
        <w:spacing w:after="0" w:line="282" w:lineRule="auto"/>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2017</w:t>
      </w:r>
    </w:p>
    <w:p>
      <w:pPr>
        <w:spacing w:after="0" w:line="162" w:lineRule="exact"/>
        <w:rPr>
          <w:sz w:val="24"/>
          <w:szCs w:val="24"/>
          <w:color w:val="auto"/>
        </w:rPr>
      </w:pPr>
    </w:p>
    <w:p>
      <w:pPr>
        <w:ind w:left="480" w:right="1780" w:hanging="472"/>
        <w:spacing w:after="0" w:line="282" w:lineRule="auto"/>
        <w:tabs>
          <w:tab w:leader="none" w:pos="157"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from _________ to _________</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2877820</wp:posOffset>
            </wp:positionH>
            <wp:positionV relativeFrom="paragraph">
              <wp:posOffset>152400</wp:posOffset>
            </wp:positionV>
            <wp:extent cx="1500505" cy="351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CLEARONE,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3480" w:type="dxa"/>
            <w:vAlign w:val="bottom"/>
            <w:gridSpan w:val="2"/>
          </w:tcPr>
          <w:p>
            <w:pPr>
              <w:jc w:val="center"/>
              <w:ind w:right="2050"/>
              <w:spacing w:after="0"/>
              <w:rPr>
                <w:sz w:val="20"/>
                <w:szCs w:val="20"/>
                <w:color w:val="auto"/>
              </w:rPr>
            </w:pPr>
            <w:r>
              <w:rPr>
                <w:rFonts w:ascii="Arial" w:cs="Arial" w:eastAsia="Arial" w:hAnsi="Arial"/>
                <w:sz w:val="18"/>
                <w:szCs w:val="18"/>
                <w:b w:val="1"/>
                <w:bCs w:val="1"/>
                <w:color w:val="auto"/>
                <w:w w:val="94"/>
              </w:rPr>
              <w:t>Utah</w:t>
            </w:r>
          </w:p>
        </w:tc>
        <w:tc>
          <w:tcPr>
            <w:tcW w:w="472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87-0398877</w:t>
            </w:r>
          </w:p>
        </w:tc>
        <w:tc>
          <w:tcPr>
            <w:tcW w:w="1100" w:type="dxa"/>
            <w:vAlign w:val="bottom"/>
          </w:tcPr>
          <w:p>
            <w:pPr>
              <w:spacing w:after="0"/>
              <w:rPr>
                <w:sz w:val="20"/>
                <w:szCs w:val="20"/>
                <w:color w:val="auto"/>
              </w:rPr>
            </w:pPr>
          </w:p>
        </w:tc>
      </w:tr>
      <w:tr>
        <w:trPr>
          <w:trHeight w:val="195"/>
        </w:trPr>
        <w:tc>
          <w:tcPr>
            <w:tcW w:w="560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gridSpan w:val="2"/>
          </w:tcPr>
          <w:p>
            <w:pPr>
              <w:jc w:val="center"/>
              <w:ind w:right="112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80" w:type="dxa"/>
            <w:vAlign w:val="bottom"/>
            <w:gridSpan w:val="2"/>
          </w:tcPr>
          <w:p>
            <w:pPr>
              <w:jc w:val="center"/>
              <w:ind w:right="110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4720" w:type="dxa"/>
            <w:vAlign w:val="bottom"/>
            <w:gridSpan w:val="3"/>
          </w:tcPr>
          <w:p>
            <w:pPr>
              <w:jc w:val="right"/>
              <w:ind w:right="1390"/>
              <w:spacing w:after="0"/>
              <w:rPr>
                <w:sz w:val="20"/>
                <w:szCs w:val="20"/>
                <w:color w:val="auto"/>
              </w:rPr>
            </w:pPr>
            <w:r>
              <w:rPr>
                <w:rFonts w:ascii="Arial" w:cs="Arial" w:eastAsia="Arial" w:hAnsi="Arial"/>
                <w:sz w:val="18"/>
                <w:szCs w:val="18"/>
                <w:b w:val="1"/>
                <w:bCs w:val="1"/>
                <w:color w:val="auto"/>
              </w:rPr>
              <w:t>84116</w:t>
            </w:r>
          </w:p>
        </w:tc>
        <w:tc>
          <w:tcPr>
            <w:tcW w:w="1100" w:type="dxa"/>
            <w:vAlign w:val="bottom"/>
          </w:tcPr>
          <w:p>
            <w:pPr>
              <w:spacing w:after="0"/>
              <w:rPr>
                <w:sz w:val="24"/>
                <w:szCs w:val="24"/>
                <w:color w:val="auto"/>
              </w:rPr>
            </w:pPr>
          </w:p>
        </w:tc>
      </w:tr>
      <w:tr>
        <w:trPr>
          <w:trHeight w:val="224"/>
        </w:trPr>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94"/>
              </w:rPr>
              <w:t>(Zip Code)</w:t>
            </w:r>
          </w:p>
        </w:tc>
      </w:tr>
      <w:tr>
        <w:trPr>
          <w:trHeight w:val="418"/>
        </w:trPr>
        <w:tc>
          <w:tcPr>
            <w:tcW w:w="5600" w:type="dxa"/>
            <w:vAlign w:val="bottom"/>
            <w:gridSpan w:val="3"/>
          </w:tcPr>
          <w:p>
            <w:pPr>
              <w:ind w:left="960"/>
              <w:spacing w:after="0"/>
              <w:rPr>
                <w:sz w:val="20"/>
                <w:szCs w:val="20"/>
                <w:color w:val="auto"/>
              </w:rPr>
            </w:pPr>
            <w:r>
              <w:rPr>
                <w:rFonts w:ascii="Arial" w:cs="Arial" w:eastAsia="Arial" w:hAnsi="Arial"/>
                <w:sz w:val="18"/>
                <w:szCs w:val="18"/>
                <w:color w:val="auto"/>
              </w:rPr>
              <w:t>(Registrant’s telephone number, including area code)</w:t>
            </w:r>
          </w:p>
        </w:tc>
        <w:tc>
          <w:tcPr>
            <w:tcW w:w="472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801-975-7200</w:t>
            </w:r>
          </w:p>
        </w:tc>
        <w:tc>
          <w:tcPr>
            <w:tcW w:w="1100" w:type="dxa"/>
            <w:vAlign w:val="bottom"/>
          </w:tcPr>
          <w:p>
            <w:pPr>
              <w:spacing w:after="0"/>
              <w:rPr>
                <w:sz w:val="24"/>
                <w:szCs w:val="24"/>
                <w:color w:val="auto"/>
              </w:rPr>
            </w:pPr>
          </w:p>
        </w:tc>
      </w:tr>
      <w:tr>
        <w:trPr>
          <w:trHeight w:val="432"/>
        </w:trPr>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940" w:type="dxa"/>
            <w:vAlign w:val="bottom"/>
            <w:gridSpan w:val="5"/>
          </w:tcPr>
          <w:p>
            <w:pPr>
              <w:ind w:left="16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92"/>
        </w:trPr>
        <w:tc>
          <w:tcPr>
            <w:tcW w:w="2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on each exchange on which registered</w:t>
            </w:r>
          </w:p>
        </w:tc>
      </w:tr>
      <w:tr>
        <w:trPr>
          <w:trHeight w:val="20"/>
        </w:trPr>
        <w:tc>
          <w:tcPr>
            <w:tcW w:w="2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80" w:type="dxa"/>
            <w:vAlign w:val="bottom"/>
            <w:gridSpan w:val="2"/>
          </w:tcPr>
          <w:p>
            <w:pPr>
              <w:jc w:val="center"/>
              <w:ind w:right="1120"/>
              <w:spacing w:after="0"/>
              <w:rPr>
                <w:sz w:val="20"/>
                <w:szCs w:val="20"/>
                <w:color w:val="auto"/>
              </w:rPr>
            </w:pPr>
            <w:r>
              <w:rPr>
                <w:rFonts w:ascii="Arial" w:cs="Arial" w:eastAsia="Arial" w:hAnsi="Arial"/>
                <w:sz w:val="18"/>
                <w:szCs w:val="18"/>
                <w:color w:val="auto"/>
                <w:w w:val="94"/>
              </w:rPr>
              <w:t>The NASDAQ Capital Market</w:t>
            </w:r>
          </w:p>
        </w:tc>
      </w:tr>
      <w:tr>
        <w:trPr>
          <w:trHeight w:val="432"/>
        </w:trPr>
        <w:tc>
          <w:tcPr>
            <w:tcW w:w="5600" w:type="dxa"/>
            <w:vAlign w:val="bottom"/>
            <w:gridSpan w:val="3"/>
          </w:tcPr>
          <w:p>
            <w:pPr>
              <w:jc w:val="center"/>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1120"/>
              <w:spacing w:after="0"/>
              <w:rPr>
                <w:sz w:val="20"/>
                <w:szCs w:val="20"/>
                <w:color w:val="auto"/>
              </w:rPr>
            </w:pPr>
            <w:r>
              <w:rPr>
                <w:rFonts w:ascii="Arial" w:cs="Arial" w:eastAsia="Arial" w:hAnsi="Arial"/>
                <w:sz w:val="18"/>
                <w:szCs w:val="18"/>
                <w:b w:val="1"/>
                <w:bCs w:val="1"/>
                <w:color w:val="auto"/>
                <w:w w:val="88"/>
              </w:rPr>
              <w:t>None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 ] Yes [X] 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 ] Yes [X] No</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Larger Accelerated Filer [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280" w:hanging="11"/>
        <w:spacing w:after="0" w:line="342" w:lineRule="auto"/>
        <w:rPr>
          <w:sz w:val="20"/>
          <w:szCs w:val="20"/>
          <w:color w:val="auto"/>
        </w:rPr>
      </w:pPr>
      <w:r>
        <w:rPr>
          <w:rFonts w:ascii="Arial" w:cs="Arial" w:eastAsia="Arial" w:hAnsi="Arial"/>
          <w:sz w:val="16"/>
          <w:szCs w:val="16"/>
          <w:color w:val="auto"/>
        </w:rPr>
        <w:t>Smaller Reporting Company [ ] Emerging Growth Company [ ]</w:t>
      </w:r>
    </w:p>
    <w:p>
      <w:pPr>
        <w:spacing w:after="0" w:line="124" w:lineRule="exact"/>
        <w:rPr>
          <w:sz w:val="20"/>
          <w:szCs w:val="20"/>
          <w:color w:val="auto"/>
        </w:rPr>
      </w:pPr>
    </w:p>
    <w:p>
      <w:pPr>
        <w:sectPr>
          <w:pgSz w:w="11900" w:h="16838" w:orient="portrait"/>
          <w:cols w:equalWidth="0" w:num="4">
            <w:col w:w="2380" w:space="600"/>
            <w:col w:w="1540" w:space="460"/>
            <w:col w:w="3380" w:space="480"/>
            <w:col w:w="2580"/>
          </w:cols>
          <w:pgMar w:left="240" w:top="118" w:right="239" w:bottom="1440" w:gutter="0" w:footer="0" w:header="0"/>
          <w:type w:val="continuous"/>
        </w:sect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 ] Yes [X] No</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$51.2 million at June 30, 2017</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most recently completed second fiscal quarter), based on the $9.43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April 27, 2018 was 8,301,473.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Amendment No. 1 on Form 10-K/A (this "Form 10-K/A") to the Annual Report on Form 10-K of ClearOne, Inc., a Utah corporation (referred to as "ClearOne", "we", "us", "our" or the "Company") for the fiscal year ended December 31, 2017, originally filed with the Securities and Exchange Commission ("SEC") on April 20, 2017 (the "Original 10-K") is being filed solely for the purpose of including the information required by Part III of Form 10-K. The Company no longer anticipates filing its definitive proxy statement within 120 days of its fiscal year ended December 31, 2017. Therefore, such information will not be incorporated by reference to the Company's definitive proxy statement for the 2018 Annual Meeting of Shareholders. Thus, Part III, Items 10-14, of the Company's Original 10-K are hereby amended and restated in their entirety.</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As required by Rule 12b-15, in connection with this Form 10-K/A, the Company's Chief Executive Officer and Chief Financial Officer have executed new Rule 13a-14(a) certifications. Accordingly, Part IV, Item 15 has been amended to reflect the filing of such certifications herewith.</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described above, this Form 10-K/A does not modify or update disclosure in, or exhibits to, the Original 10-K. Furthermore, this Form 10-K/A does not change any previously reported financial results, nor does it reflect events occurring after the date of the Original 10-K. Information not affected by this Form 10-K/A remains unchanged and reflects the disclosures made at the time the Original 10-K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8"/>
          </w:tcPr>
          <w:p>
            <w:pPr>
              <w:jc w:val="center"/>
              <w:ind w:right="180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20"/>
                <w:szCs w:val="20"/>
                <w:color w:val="auto"/>
              </w:rPr>
            </w:pPr>
          </w:p>
        </w:tc>
      </w:tr>
      <w:tr>
        <w:trPr>
          <w:trHeight w:val="608"/>
        </w:trPr>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0" w:type="dxa"/>
            <w:vAlign w:val="bottom"/>
            <w:gridSpan w:val="7"/>
          </w:tcPr>
          <w:p>
            <w:pPr>
              <w:jc w:val="center"/>
              <w:ind w:right="300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III</w:t>
              </w:r>
            </w:hyperlink>
          </w:p>
        </w:tc>
        <w:tc>
          <w:tcPr>
            <w:tcW w:w="1800" w:type="dxa"/>
            <w:vAlign w:val="bottom"/>
          </w:tcPr>
          <w:p>
            <w:pPr>
              <w:spacing w:after="0"/>
              <w:rPr>
                <w:sz w:val="24"/>
                <w:szCs w:val="24"/>
                <w:color w:val="auto"/>
              </w:rPr>
            </w:pPr>
          </w:p>
        </w:tc>
      </w:tr>
      <w:tr>
        <w:trPr>
          <w:trHeight w:val="196"/>
        </w:trPr>
        <w:tc>
          <w:tcPr>
            <w:tcW w:w="720" w:type="dxa"/>
            <w:vAlign w:val="bottom"/>
          </w:tcPr>
          <w:p>
            <w:pPr>
              <w:ind w:left="4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Directors, Executive Officers and Corporate Governance</w:t>
              </w:r>
            </w:hyperlink>
          </w:p>
        </w:tc>
        <w:tc>
          <w:tcPr>
            <w:tcW w:w="540" w:type="dxa"/>
            <w:vAlign w:val="bottom"/>
          </w:tcPr>
          <w:p>
            <w:pPr>
              <w:spacing w:after="0"/>
              <w:rPr>
                <w:sz w:val="17"/>
                <w:szCs w:val="17"/>
                <w:color w:val="auto"/>
              </w:rPr>
            </w:pPr>
          </w:p>
        </w:tc>
        <w:tc>
          <w:tcPr>
            <w:tcW w:w="740" w:type="dxa"/>
            <w:vAlign w:val="bottom"/>
            <w:tcBorders>
              <w:top w:val="single" w:sz="8" w:color="0000EE"/>
            </w:tcBorders>
            <w:gridSpan w:val="3"/>
          </w:tcPr>
          <w:p>
            <w:pPr>
              <w:spacing w:after="0"/>
              <w:rPr>
                <w:sz w:val="17"/>
                <w:szCs w:val="17"/>
                <w:color w:val="auto"/>
              </w:rPr>
            </w:pPr>
          </w:p>
        </w:tc>
        <w:tc>
          <w:tcPr>
            <w:tcW w:w="352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720" w:type="dxa"/>
            <w:vAlign w:val="bottom"/>
          </w:tcPr>
          <w:p>
            <w:pPr>
              <w:ind w:left="40"/>
              <w:spacing w:after="0" w:line="196" w:lineRule="exact"/>
              <w:rPr>
                <w:sz w:val="20"/>
                <w:szCs w:val="20"/>
                <w:color w:val="auto"/>
              </w:rPr>
            </w:pPr>
            <w:r>
              <w:rPr>
                <w:rFonts w:ascii="Arial" w:cs="Arial" w:eastAsia="Arial" w:hAnsi="Arial"/>
                <w:sz w:val="18"/>
                <w:szCs w:val="18"/>
                <w:color w:val="auto"/>
              </w:rPr>
              <w:t>Item 11.</w:t>
            </w:r>
          </w:p>
        </w:tc>
        <w:tc>
          <w:tcPr>
            <w:tcW w:w="890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Executive Compensation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20" w:type="dxa"/>
            <w:vAlign w:val="bottom"/>
            <w:gridSpan w:val="12"/>
          </w:tcPr>
          <w:p>
            <w:pPr>
              <w:ind w:left="4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12. </w:t>
            </w:r>
            <w:hyperlink w:anchor="page18">
              <w:r>
                <w:rPr>
                  <w:rFonts w:ascii="Arial" w:cs="Arial" w:eastAsia="Arial" w:hAnsi="Arial"/>
                  <w:sz w:val="18"/>
                  <w:szCs w:val="18"/>
                  <w:color w:val="0000EE"/>
                </w:rPr>
                <w:t>Security Ownership of Certain Beneficial Owners and Management and Related Stockholder Matters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20" w:type="dxa"/>
            <w:vAlign w:val="bottom"/>
            <w:gridSpan w:val="12"/>
          </w:tcPr>
          <w:p>
            <w:pPr>
              <w:ind w:left="4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13. </w:t>
            </w:r>
            <w:hyperlink w:anchor="page19">
              <w:r>
                <w:rPr>
                  <w:rFonts w:ascii="Arial" w:cs="Arial" w:eastAsia="Arial" w:hAnsi="Arial"/>
                  <w:sz w:val="18"/>
                  <w:szCs w:val="18"/>
                  <w:color w:val="0000EE"/>
                </w:rPr>
                <w:t>Certain Relationships and Related Transactions, and Director Independence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20" w:type="dxa"/>
            <w:vAlign w:val="bottom"/>
          </w:tcPr>
          <w:p>
            <w:pPr>
              <w:ind w:left="40"/>
              <w:spacing w:after="0" w:line="196"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Principal Accounting Fees and Services</w:t>
              </w:r>
            </w:hyperlink>
          </w:p>
        </w:tc>
        <w:tc>
          <w:tcPr>
            <w:tcW w:w="344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20" w:type="dxa"/>
            <w:vAlign w:val="bottom"/>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tcPr>
          <w:p>
            <w:pPr>
              <w:jc w:val="center"/>
              <w:spacing w:after="0" w:line="196" w:lineRule="exact"/>
              <w:rPr>
                <w:rFonts w:ascii="Arial" w:cs="Arial" w:eastAsia="Arial" w:hAnsi="Arial"/>
                <w:sz w:val="18"/>
                <w:szCs w:val="18"/>
                <w:b w:val="1"/>
                <w:bCs w:val="1"/>
                <w:color w:val="0000EE"/>
                <w:w w:val="98"/>
              </w:rPr>
            </w:pPr>
            <w:hyperlink w:anchor="page21">
              <w:r>
                <w:rPr>
                  <w:rFonts w:ascii="Arial" w:cs="Arial" w:eastAsia="Arial" w:hAnsi="Arial"/>
                  <w:sz w:val="18"/>
                  <w:szCs w:val="18"/>
                  <w:b w:val="1"/>
                  <w:bCs w:val="1"/>
                  <w:color w:val="0000EE"/>
                  <w:w w:val="98"/>
                </w:rPr>
                <w:t>PART IV</w:t>
              </w:r>
            </w:hyperlink>
          </w:p>
        </w:tc>
        <w:tc>
          <w:tcPr>
            <w:tcW w:w="3540" w:type="dxa"/>
            <w:vAlign w:val="bottom"/>
            <w:gridSpan w:val="4"/>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720" w:type="dxa"/>
            <w:vAlign w:val="bottom"/>
          </w:tcPr>
          <w:p>
            <w:pPr>
              <w:ind w:left="40"/>
              <w:spacing w:after="0" w:line="196" w:lineRule="exact"/>
              <w:rPr>
                <w:sz w:val="20"/>
                <w:szCs w:val="20"/>
                <w:color w:val="auto"/>
              </w:rPr>
            </w:pPr>
            <w:r>
              <w:rPr>
                <w:rFonts w:ascii="Arial" w:cs="Arial" w:eastAsia="Arial" w:hAnsi="Arial"/>
                <w:sz w:val="18"/>
                <w:szCs w:val="18"/>
                <w:color w:val="auto"/>
              </w:rPr>
              <w:t>Item 15.</w:t>
            </w:r>
          </w:p>
        </w:tc>
        <w:tc>
          <w:tcPr>
            <w:tcW w:w="8900" w:type="dxa"/>
            <w:vAlign w:val="bottom"/>
            <w:gridSpan w:val="1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Exhibits, Financial Statement Schedules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595"/>
        </w:trPr>
        <w:tc>
          <w:tcPr>
            <w:tcW w:w="720" w:type="dxa"/>
            <w:vAlign w:val="bottom"/>
            <w:tcBorders>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executive officers as of April 30, 2018.</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Director or Officer</w:t>
            </w:r>
          </w:p>
        </w:tc>
      </w:tr>
      <w:tr>
        <w:trPr>
          <w:trHeight w:val="234"/>
        </w:trPr>
        <w:tc>
          <w:tcPr>
            <w:tcW w:w="24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Name</w:t>
            </w:r>
          </w:p>
        </w:tc>
        <w:tc>
          <w:tcPr>
            <w:tcW w:w="11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20"/>
                <w:szCs w:val="20"/>
                <w:color w:val="auto"/>
              </w:rPr>
            </w:pPr>
          </w:p>
        </w:tc>
        <w:tc>
          <w:tcPr>
            <w:tcW w:w="560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5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Zeynep “Zee” Hakimoglu</w:t>
            </w:r>
          </w:p>
        </w:tc>
        <w:tc>
          <w:tcPr>
            <w:tcW w:w="11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21"/>
                <w:szCs w:val="21"/>
                <w:color w:val="auto"/>
              </w:rPr>
            </w:pPr>
          </w:p>
        </w:tc>
        <w:tc>
          <w:tcPr>
            <w:tcW w:w="56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Chairman, Chief Executive Officer, and President</w:t>
            </w:r>
            <w:r>
              <w:rPr>
                <w:rFonts w:ascii="Arial" w:cs="Arial" w:eastAsia="Arial" w:hAnsi="Arial"/>
                <w:sz w:val="29"/>
                <w:szCs w:val="29"/>
                <w:color w:val="auto"/>
                <w:vertAlign w:val="superscript"/>
              </w:rPr>
              <w:t>(4)</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See Note 4</w:t>
            </w:r>
          </w:p>
        </w:tc>
      </w:tr>
      <w:tr>
        <w:trPr>
          <w:trHeight w:val="257"/>
        </w:trPr>
        <w:tc>
          <w:tcPr>
            <w:tcW w:w="2480" w:type="dxa"/>
            <w:vAlign w:val="bottom"/>
          </w:tcPr>
          <w:p>
            <w:pPr>
              <w:ind w:left="20"/>
              <w:spacing w:after="0"/>
              <w:rPr>
                <w:sz w:val="20"/>
                <w:szCs w:val="20"/>
                <w:color w:val="auto"/>
              </w:rPr>
            </w:pPr>
            <w:r>
              <w:rPr>
                <w:rFonts w:ascii="Arial" w:cs="Arial" w:eastAsia="Arial" w:hAnsi="Arial"/>
                <w:sz w:val="18"/>
                <w:szCs w:val="18"/>
                <w:color w:val="auto"/>
              </w:rPr>
              <w:t>Brad R. Baldwin</w:t>
            </w: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89"/>
              </w:rPr>
              <w:t>62</w:t>
            </w:r>
          </w:p>
        </w:tc>
        <w:tc>
          <w:tcPr>
            <w:tcW w:w="240" w:type="dxa"/>
            <w:vAlign w:val="bottom"/>
          </w:tcPr>
          <w:p>
            <w:pPr>
              <w:spacing w:after="0"/>
              <w:rPr>
                <w:sz w:val="22"/>
                <w:szCs w:val="22"/>
                <w:color w:val="auto"/>
              </w:rPr>
            </w:pPr>
          </w:p>
        </w:tc>
        <w:tc>
          <w:tcPr>
            <w:tcW w:w="560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(1)(2)(3)</w:t>
            </w:r>
          </w:p>
        </w:tc>
        <w:tc>
          <w:tcPr>
            <w:tcW w:w="19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1988</w:t>
            </w:r>
          </w:p>
        </w:tc>
      </w:tr>
      <w:tr>
        <w:trPr>
          <w:trHeight w:val="25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Larry R. Hendricks</w:t>
            </w:r>
          </w:p>
        </w:tc>
        <w:tc>
          <w:tcPr>
            <w:tcW w:w="11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9"/>
              </w:rPr>
              <w:t>75</w:t>
            </w:r>
          </w:p>
        </w:tc>
        <w:tc>
          <w:tcPr>
            <w:tcW w:w="240" w:type="dxa"/>
            <w:vAlign w:val="bottom"/>
            <w:shd w:val="clear" w:color="auto" w:fill="CCEEFF"/>
          </w:tcPr>
          <w:p>
            <w:pPr>
              <w:spacing w:after="0"/>
              <w:rPr>
                <w:sz w:val="22"/>
                <w:szCs w:val="22"/>
                <w:color w:val="auto"/>
              </w:rPr>
            </w:pPr>
          </w:p>
        </w:tc>
        <w:tc>
          <w:tcPr>
            <w:tcW w:w="560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(1)(2)(3)</w:t>
            </w:r>
          </w:p>
        </w:tc>
        <w:tc>
          <w:tcPr>
            <w:tcW w:w="19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2003</w:t>
            </w:r>
          </w:p>
        </w:tc>
      </w:tr>
      <w:tr>
        <w:trPr>
          <w:trHeight w:val="257"/>
        </w:trPr>
        <w:tc>
          <w:tcPr>
            <w:tcW w:w="2480" w:type="dxa"/>
            <w:vAlign w:val="bottom"/>
          </w:tcPr>
          <w:p>
            <w:pPr>
              <w:ind w:left="20"/>
              <w:spacing w:after="0"/>
              <w:rPr>
                <w:sz w:val="20"/>
                <w:szCs w:val="20"/>
                <w:color w:val="auto"/>
              </w:rPr>
            </w:pPr>
            <w:r>
              <w:rPr>
                <w:rFonts w:ascii="Arial" w:cs="Arial" w:eastAsia="Arial" w:hAnsi="Arial"/>
                <w:sz w:val="18"/>
                <w:szCs w:val="18"/>
                <w:color w:val="auto"/>
              </w:rPr>
              <w:t>Eric L. Robinson</w:t>
            </w: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89"/>
              </w:rPr>
              <w:t>51</w:t>
            </w:r>
          </w:p>
        </w:tc>
        <w:tc>
          <w:tcPr>
            <w:tcW w:w="240" w:type="dxa"/>
            <w:vAlign w:val="bottom"/>
          </w:tcPr>
          <w:p>
            <w:pPr>
              <w:spacing w:after="0"/>
              <w:rPr>
                <w:sz w:val="22"/>
                <w:szCs w:val="22"/>
                <w:color w:val="auto"/>
              </w:rPr>
            </w:pPr>
          </w:p>
        </w:tc>
        <w:tc>
          <w:tcPr>
            <w:tcW w:w="5600" w:type="dxa"/>
            <w:vAlign w:val="bottom"/>
          </w:tcPr>
          <w:p>
            <w:pPr>
              <w:spacing w:after="0" w:line="256" w:lineRule="exact"/>
              <w:rPr>
                <w:sz w:val="20"/>
                <w:szCs w:val="20"/>
                <w:color w:val="auto"/>
              </w:rPr>
            </w:pPr>
            <w:r>
              <w:rPr>
                <w:rFonts w:ascii="Arial" w:cs="Arial" w:eastAsia="Arial" w:hAnsi="Arial"/>
                <w:sz w:val="29"/>
                <w:szCs w:val="29"/>
                <w:color w:val="auto"/>
                <w:vertAlign w:val="subscript"/>
              </w:rPr>
              <w:t>Director</w:t>
            </w:r>
            <w:r>
              <w:rPr>
                <w:rFonts w:ascii="Arial" w:cs="Arial" w:eastAsia="Arial" w:hAnsi="Arial"/>
                <w:sz w:val="13"/>
                <w:szCs w:val="13"/>
                <w:color w:val="auto"/>
              </w:rPr>
              <w:t>(1)(2)(3)</w:t>
            </w:r>
          </w:p>
        </w:tc>
        <w:tc>
          <w:tcPr>
            <w:tcW w:w="19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2003</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Narsi Narayanan</w:t>
            </w:r>
          </w:p>
        </w:tc>
        <w:tc>
          <w:tcPr>
            <w:tcW w:w="11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9"/>
              </w:rPr>
              <w:t>47</w:t>
            </w:r>
          </w:p>
        </w:tc>
        <w:tc>
          <w:tcPr>
            <w:tcW w:w="24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of Finance and Corporate Secretary</w:t>
            </w:r>
          </w:p>
        </w:tc>
        <w:tc>
          <w:tcPr>
            <w:tcW w:w="19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2009</w:t>
            </w:r>
          </w:p>
        </w:tc>
      </w:tr>
    </w:tbl>
    <w:p>
      <w:pPr>
        <w:spacing w:after="0" w:line="2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Zeynep Hakimoglu </w:t>
      </w:r>
      <w:r>
        <w:rPr>
          <w:rFonts w:ascii="Arial" w:cs="Arial" w:eastAsia="Arial" w:hAnsi="Arial"/>
          <w:sz w:val="16"/>
          <w:szCs w:val="16"/>
          <w:color w:val="auto"/>
        </w:rPr>
        <w:t>is our President, Chief Executive Officer and Chairman. She joined our company in December 2003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Line Management 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Oplink Communications, a publicly traded developer of fiber optic subsystems and components, from December 2001 to December 2002; and, President of OZ Optics USA,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ind w:firstLine="713"/>
        <w:spacing w:after="0" w:line="270" w:lineRule="auto"/>
        <w:rPr>
          <w:sz w:val="20"/>
          <w:szCs w:val="20"/>
          <w:color w:val="auto"/>
        </w:rPr>
      </w:pPr>
      <w:r>
        <w:rPr>
          <w:rFonts w:ascii="Arial" w:cs="Arial" w:eastAsia="Arial" w:hAnsi="Arial"/>
          <w:sz w:val="17"/>
          <w:szCs w:val="17"/>
          <w:b w:val="1"/>
          <w:bCs w:val="1"/>
          <w:color w:val="auto"/>
        </w:rPr>
        <w:t xml:space="preserve">Brad R. Baldwin </w:t>
      </w:r>
      <w:r>
        <w:rPr>
          <w:rFonts w:ascii="Arial" w:cs="Arial" w:eastAsia="Arial" w:hAnsi="Arial"/>
          <w:sz w:val="17"/>
          <w:szCs w:val="17"/>
          <w:color w:val="auto"/>
        </w:rPr>
        <w:t>has served as a director of our company since October 1988, and was appointed “lead independent director” in 2013. Mr.</w:t>
      </w:r>
      <w:r>
        <w:rPr>
          <w:rFonts w:ascii="Arial" w:cs="Arial" w:eastAsia="Arial" w:hAnsi="Arial"/>
          <w:sz w:val="17"/>
          <w:szCs w:val="17"/>
          <w:b w:val="1"/>
          <w:bCs w:val="1"/>
          <w:color w:val="auto"/>
        </w:rPr>
        <w:t xml:space="preserve"> </w:t>
      </w:r>
      <w:r>
        <w:rPr>
          <w:rFonts w:ascii="Arial" w:cs="Arial" w:eastAsia="Arial" w:hAnsi="Arial"/>
          <w:sz w:val="17"/>
          <w:szCs w:val="17"/>
          <w:color w:val="auto"/>
        </w:rPr>
        <w:t>Baldwin is an attorney licensed to practice in Utah. He is currently employed as President and CEO of First Utah Bank, a full service commercial and community bank headquartered in Salt Lake City, Utah. Prior to that, Mr. Baldwin served as general counsel to the Wasatch Front Regional Multiple Listing Service (“WFRMLS”), which provided data and real estate services to over 10,000 real estate brokers, agents and appraisers in Utah. From 2001 to 2009, he served as an attorney and investment real estate specialist with Commerce CRG in Salt Lake City, Utah. From 1988 to 2000, he served as legal counsel and president of Banc One, Utah, a full service commercial bank owned by Banc One Corporation.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and financial services background and unique understanding of our business due to his long service on our Board, the Board has concluded that Mr. Baldwin should continue to serve as a director.</w:t>
      </w:r>
    </w:p>
    <w:p>
      <w:pPr>
        <w:spacing w:after="0" w:line="178" w:lineRule="exact"/>
        <w:rPr>
          <w:sz w:val="20"/>
          <w:szCs w:val="20"/>
          <w:color w:val="auto"/>
        </w:rPr>
      </w:pPr>
    </w:p>
    <w:p>
      <w:pPr>
        <w:ind w:right="20" w:firstLine="713"/>
        <w:spacing w:after="0" w:line="292"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Eric L. Robinson </w:t>
      </w:r>
      <w:r>
        <w:rPr>
          <w:rFonts w:ascii="Arial" w:cs="Arial" w:eastAsia="Arial" w:hAnsi="Arial"/>
          <w:sz w:val="17"/>
          <w:szCs w:val="17"/>
          <w:color w:val="auto"/>
        </w:rPr>
        <w:t>has served as a director of our company since July 2015. Mr. Robinson spent fourteen years in private practice as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attorney, including eleven years as a partner in the Salt Lake City, Utah law firm of Blackburn &amp; Stoll, LC. Mr. Robinson’s law practice focused on securities, corporate and other business transactions. Mr. Robinson has been principally employed as General Counsel, Chief Financial Officer and director of MicroPower Global Limited, a development stage company in the semiconductor business since 2009.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77" w:lineRule="exact"/>
        <w:rPr>
          <w:sz w:val="20"/>
          <w:szCs w:val="20"/>
          <w:color w:val="auto"/>
        </w:rPr>
      </w:pPr>
    </w:p>
    <w:p>
      <w:pPr>
        <w:ind w:right="20" w:firstLine="713"/>
        <w:spacing w:after="0" w:line="254" w:lineRule="auto"/>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(now serving as Senior Vice President of Finance) has served as our Vice President of Finance since July 2009 and has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two 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firstLine="713"/>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2016, we believe that each person who, at any time during such fiscal year was a director, officer, or beneficial owner of more than 10% of our common stock complied with all Section 16(a) filing requirements during such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00" w:firstLine="713"/>
        <w:spacing w:after="0" w:line="277" w:lineRule="auto"/>
        <w:rPr>
          <w:sz w:val="20"/>
          <w:szCs w:val="20"/>
          <w:color w:val="auto"/>
        </w:rPr>
      </w:pPr>
      <w:r>
        <w:rPr>
          <w:rFonts w:ascii="Arial" w:cs="Arial" w:eastAsia="Arial" w:hAnsi="Arial"/>
          <w:sz w:val="18"/>
          <w:szCs w:val="18"/>
          <w:color w:val="auto"/>
        </w:rPr>
        <w:t>The Board of Directors adopted a code of ethics that applies to our Board of Directors, executive officers, and employees. The Company's Code of Ethics is posted on our website at www.clearone.com.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Procedures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changes have been made to the procedures by which our shareholders may recommend nominees to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Compliance Committee</w:t>
      </w:r>
    </w:p>
    <w:p>
      <w:pPr>
        <w:spacing w:after="0" w:line="229"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The Company has a separate Audit Committee and its members are Eric L. Robinson (Chairman), Brad R. Baldwin, and Larry R. Hendricks. The Board of Directors has determined that Eric L. Robinson is an “audit committee financial expert” and each member is independent in accordance with applicable rules and regulations of NASDAQ and the SEC.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Compensation Committee of the Board of Directors is responsible for establishing and implementing our compensation philosophy, as detailed below. The Compensation Committee reviews and approves all of our compensation policies, including executive officer salaries, bonuses and equity incentive compensation. The Compensation Committee has designed the Company’s executive compensation programs with the goal of paying total compensation to the executive officers that is fair, reasonable, competitive, and includes incentives that are designed to appropriately drive corporate performance.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reviews and approves the annual compensation for our executive officers. The Compensation Committee may retain the services of an independent compensation consultant or research firm with respect to compensation of all named executive officers. The Compensation Committee did not retain a consultant for any of the years from 2015 to 2017. In addition, the Compensation Committee considers recommendations from the Chief Executive Officer with respect to other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Philosophy and Objectives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“pay-for-performance” philosophy is among the fundamental tenets of our executive compensation program. We have adopted an approach to compensation comprised of a mix of short-term and long-term components that are designed to provide proper incentives and to reward our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attract and retain highly qualified individuals capable of making significant contributions to the long-term success of our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align the interest of our executives with the interests of our shareholders such that the risks and rewards of strategic decisions are shared; and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Compensation Committee is responsible for administering our compensation practices. Our Compensation Committee was appointed by our Board of Directors, and consists entirely of directors who are “outside directors” for purposes of Section 162(m) of the Code, and non-employee directors for purposes of Rule 16b-3 under the Exchange Act. Under its charter, the Compensation Committee may delegate authority to subcommittees of the Compensation Committee or to executive officers of the Company, particularly the Chief Executive Officer with respect to compensation determinations for persons who are not executive officers of the Company. The members of the Compensation Committee are Brad R. Baldwin (Chairman), Larry R. Hendricks and Eric L. Robinson.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holds meetings as necessary throughout the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context of the overall objectives of our executive compensation philosophy, the Compensation Committee determines the specific types and amounts of compensation to be paid to each of our named executive officers based on a number of factors including: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roles and responsibilities of our executives;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executives being compensated;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individual experience and skills of, and expected contributions from, our executives;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special accomplishments;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compensation levels of executive officers at peer companies;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executives’ historical compensation at the Company.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Compensation Committee strives to create an overall compensation package for each executive 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salaries with a focus on the market practices for similarly situated officers at comparable companies as adjusted to reflect the individual officer’s performance. The Compensation Committee strives to make such comparisons at least once in every two years and fix salaries based on such comparison, but did not do so in 2017. In the years when such comparison is not made, salaries are adjusted from the previous year level based on Compensation Committee’s collective knowledge of the industry, region and position as well as by applying their professional judgement.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compensation decisions, including assessing the competitiveness of the total compensation structure for each named executive officer, the Compensation Committee may consider compensation data from companies that the Compensation Committee may select as comparable in terms of industry, size and location, but did not do so in 2017. The Compensation Committee may, in its discretion, review surveys and relevant articles on executive compensation practices, and may receive reports from Equilar, Inc. on chief executive officer pay strategies and trends for publicly traded small cap companies for that purpose, but did not do so in 2017. The Compensation Committee retains complete discretion with respect to the types and amounts of compensation awards each year.</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establishes the criteria, and directs the implementation, of all compensation program elements for the executive officers. Generally, the salary for each named executive officer is set at the beginning of each fiscal year by the Compensation Committee. The Compensation Committee considers the Chief Executive Officer’s appraisal of other executive officers’ general performance and looks especially to performance against predetermined goals before making its decision. The Chief Executive Officer may recommend for the Compensation Committee’s approval the stock option grants and compensation related to achievement of non-quantitative goals under non-equity based incentive plans for other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Say-on-Pay Advisory Vote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balances the interests of stockholders, regulators, and other interested parties. In 2017, we sought a stockholder say-on-pay advisory vote regarding executive compensation, and approximately 92% of the votes cast were in favor of our executive compensation. The Compensation Committee viewed this vote as supportive of the Company’s overall approach to executive compensation. Due to such strong stockholder support, we did not make any material changes to our compensation policies in 2017. In accordance with the stockholder advisory vote at our 2013 annual meeting of stockholders, we intended to continue seeking a stockholder say-on-pay advisory vote regarding executive compensation on an annual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our named executive officers consists primarily of four components: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incentive cash bonuses;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equity-based incentives; and</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total compensation is geared to be sufficient to attract and retain excellent talent. In determining the adjustments to the compensation of our executive officers for the year ended December 31, 2017, we annually take into account the performance of each executive officer, their contributions toward the Company’s success, and the Company’s growth and stage of development.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mix of short-term compensation (base salaries and cash incentive bonuses) and long-term compensation (equity incentive compensation) to provide a total compensation structure that is designed to achieve our pay-for-performance philosophy and our compensation objectives. We discuss each of the principal elements of our executive compensation in detail below.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salaries are designed to provide a consistent base of income and to attract the appropriate level of talent. The Compensation Committee strives to set salaries that are in line with the salaries for executives serving in similar competitive positions in the market and generally around the median level of salaries for executives serving in similar comparable positions. The Compensation Committee did not undertake an assessment of any market data in 2017. Salaries were fixed in 2015 after the Compensation Committee reviewed surveys and relevant articles on executive compensation practices, reports from Equilar, Inc. on chief executive officer pay strategies and trends for publicly traded small cap companies, and executive compensation information for several Utah based publicly-traded companies having revenues similar to those of the Company. Salaries in 2016 and 2017 were fixed by making adjustments to prior year salaries based on the Compensation Committee’s collective knowledge of the industry, region and position as well as by applying their professional judgement.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salaries of our executive officers are reviewed annually. We may also increase the salary of an executive officer at other times if a change in the scope of the officer’s responsibilities or for any other reason that the Compensation Committee feels appropriate to achieve the objectives outlined here. The salaries also reflect the initial base salaries that were negotiated and annual adjustments made taking into account several factors including comparable positions in the market, contributions made by the executive, role and responsibilities of the executive and past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annual salaries for our named executive officers in 2015, 2016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82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Zeynep Hakimoglu - Chief Executive Officer and President</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353,077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294,442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279,154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Narsi Narayanan - Senior Vice President of Finance</w:t>
            </w:r>
          </w:p>
        </w:tc>
        <w:tc>
          <w:tcPr>
            <w:tcW w:w="8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196,019</w:t>
            </w:r>
          </w:p>
        </w:tc>
        <w:tc>
          <w:tcPr>
            <w:tcW w:w="4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177,665</w:t>
            </w:r>
          </w:p>
        </w:tc>
        <w:tc>
          <w:tcPr>
            <w:tcW w:w="4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170,481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9"/>
              </w:rPr>
              <w:t>Michael Braithwaite - Senior Vice President - Network Streaming Business</w:t>
            </w: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181,404</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172,665</w:t>
            </w: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167,288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Incentive Cash Bonus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Quarterly incentive cash bonuses are designed to reward near-term operating performance and the achievement of milestones critical to our success in both the near and the long-term. Consistent with our emphasis on pay-for-performance, we have adopted an executive incentive bonus program. Executive officers will have an opportunity to earn bonuses based on the attainment of Company performance goals and a subjective analysis of individual performance that contributes to the attainment of those goals. The target bonuses and our establishment of business goals for the Company reinforces three of our compensation goals - namely, to motivate our executives toward even higher achievement and business results, to tie our executives’ goals and interests to ours and our stockholders’ and to enable us to attract and retain highly qualified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Incentive Cash Bonus Plan for Ms. Hakimoglu and Mr. Narayanan</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According to this plan pre-determined quarterly goals are set for each quarter, namely, financial goals comprising of revenue, gross margin, operating income and meeting financial reporting goals, and non-quantitative performance goals. Quarterly revenue, gross margin and operating income targets are set early in the year as part of adopting the Company’s budget for the year and these goals are seldom changed during the year except when there is a material acquisition or other event that has a significant impact on the financials of the company. Typically, these goals are set at target levels that the Compensation Committee believes will be difficult to achieve so that the full incentive bonuses are only paid when performance exceeds expectations. The Committee recognizes the difficulty to achieve these goals as these goals are often not met. Financial reporting goals which include meeting reporting deadlines are set for each quarter upon consultations with the Audit and Compliance Committee.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targeted bonus is set at 50% of the officers’ salary for each quarter with 70% of such bonus allocated for quantitative financial goals and the remaining 30% allocated for non-quantitative performance goals. The weights for quantitative performance goals are equally split for the first three quarters of the year. For the fourth quarter of the year weights assigned to the quantitative financial goals are as follows: 20% for revenue; 20% for gross margin; 20% for operating income; and 40% for meeting financial reporting deadlines.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quarterly quantitative goal is assessed separately. A minimum of 100% of the quarterly quantitative goal must be achieved in order to earn the bonus associated with the goal. In other words, no partial credit is given if the targeted quantitative goal is not achieved. The Compensation Committee approves bonuses for the executives only after the filing of relevant financial reports on Forms 10-Q and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advance of each quarter, quarterly non-quantitative performance goals for Mr. Narayanan are recommended by Ms. Hakimoglu, President and Chief Executive Officer, and approved by the Compensation Committee. Ms. Hakimoglu may at times recommend replacing an originally set performance goal with a different achievement during the quarter to address changed business priorities.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the quarterly Board of Directors review of the Company’s operations, the chief executive officer provides a detailed list of priorities and objectives for the next quarter. At the end of each quarter the Compensation Committee considers whether a bonus for the chief executive officer is appropriate in light of objectives and priorities accomplished, the Company’s overall performance, the achievement of incentive bonus targets by other members of the management team, and the Compensation Committee’s subjective assessment of the overall performance of the chief executive officer.</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exercises its discretion in evaluating achievement of non-quantitative goals for the other executive officers applying both objective criteria as well as subjective criteria after consulting with Ms. Hakimoglu. The Compensation Committee often relies upon their collective knowledge of the company and applies their professional skills in evaluating the performance of the executives in achieving the non-quantitative goals.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target and actual cash incentive bonus for Mr. Narayanan and Ms. Hakimoglu in 2017 was for the four quarters beginning the fourth quarter of 2016 and ending with the third quarter of 2017. The Compensation Committee approves bonuses for the executives only after the filing of relevant financial reports in Forms 10-Q and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full details of bonus targets and bonus paid for Ms. Hakimoglu and Mr. Narayanan by each quarter during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ind w:left="54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0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Goal</w:t>
            </w:r>
          </w:p>
        </w:tc>
        <w:tc>
          <w:tcPr>
            <w:tcW w:w="2420" w:type="dxa"/>
            <w:vAlign w:val="bottom"/>
            <w:gridSpan w:val="5"/>
          </w:tcPr>
          <w:p>
            <w:pPr>
              <w:ind w:left="220"/>
              <w:spacing w:after="0"/>
              <w:rPr>
                <w:sz w:val="20"/>
                <w:szCs w:val="20"/>
                <w:color w:val="auto"/>
              </w:rPr>
            </w:pPr>
            <w:r>
              <w:rPr>
                <w:rFonts w:ascii="Arial" w:cs="Arial" w:eastAsia="Arial" w:hAnsi="Arial"/>
                <w:sz w:val="18"/>
                <w:szCs w:val="18"/>
                <w:b w:val="1"/>
                <w:bCs w:val="1"/>
                <w:color w:val="auto"/>
              </w:rPr>
              <w:t>Zeynep Hakimoglu</w:t>
            </w:r>
          </w:p>
        </w:tc>
        <w:tc>
          <w:tcPr>
            <w:tcW w:w="340" w:type="dxa"/>
            <w:vAlign w:val="bottom"/>
          </w:tcPr>
          <w:p>
            <w:pPr>
              <w:spacing w:after="0"/>
              <w:rPr>
                <w:sz w:val="20"/>
                <w:szCs w:val="20"/>
                <w:color w:val="auto"/>
              </w:rPr>
            </w:pPr>
          </w:p>
        </w:tc>
        <w:tc>
          <w:tcPr>
            <w:tcW w:w="2260" w:type="dxa"/>
            <w:vAlign w:val="bottom"/>
            <w:gridSpan w:val="6"/>
          </w:tcPr>
          <w:p>
            <w:pPr>
              <w:ind w:left="240"/>
              <w:spacing w:after="0"/>
              <w:rPr>
                <w:sz w:val="20"/>
                <w:szCs w:val="20"/>
                <w:color w:val="auto"/>
              </w:rPr>
            </w:pPr>
            <w:r>
              <w:rPr>
                <w:rFonts w:ascii="Arial" w:cs="Arial" w:eastAsia="Arial" w:hAnsi="Arial"/>
                <w:sz w:val="18"/>
                <w:szCs w:val="18"/>
                <w:b w:val="1"/>
                <w:bCs w:val="1"/>
                <w:color w:val="auto"/>
              </w:rPr>
              <w:t>Narsi Narayanan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Bonus Target</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Bonus Paid</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Bonus Target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Bonus Paid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2016-Q4</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Gross Margin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Financial Reporting</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10,675</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1</w:t>
            </w:r>
          </w:p>
        </w:tc>
        <w:tc>
          <w:tcPr>
            <w:tcW w:w="2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20,969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2017-Q1</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Gross Margin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Financial Reporting</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7,766</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Non-Quantitative</w:t>
            </w:r>
            <w:r>
              <w:rPr>
                <w:rFonts w:ascii="Arial" w:cs="Arial" w:eastAsia="Arial" w:hAnsi="Arial"/>
                <w:sz w:val="29"/>
                <w:szCs w:val="29"/>
                <w:color w:val="auto"/>
                <w:vertAlign w:val="superscript"/>
              </w:rPr>
              <w:t>2</w:t>
            </w:r>
          </w:p>
        </w:tc>
        <w:tc>
          <w:tcPr>
            <w:tcW w:w="2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Discretionary</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2017-Q2</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Revenue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Financial Reporting</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2</w:t>
            </w: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13,312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2017-Q3</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Revenue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Financial Reporting</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line="243" w:lineRule="exact"/>
              <w:rPr>
                <w:sz w:val="20"/>
                <w:szCs w:val="20"/>
                <w:color w:val="auto"/>
              </w:rPr>
            </w:pPr>
            <w:r>
              <w:rPr>
                <w:rFonts w:ascii="Arial" w:cs="Arial" w:eastAsia="Arial" w:hAnsi="Arial"/>
                <w:sz w:val="17"/>
                <w:szCs w:val="17"/>
                <w:color w:val="auto"/>
              </w:rPr>
              <w:t>Non-Quantitative</w:t>
            </w:r>
            <w:r>
              <w:rPr>
                <w:rFonts w:ascii="Arial" w:cs="Arial" w:eastAsia="Arial" w:hAnsi="Arial"/>
                <w:sz w:val="28"/>
                <w:szCs w:val="28"/>
                <w:color w:val="auto"/>
                <w:vertAlign w:val="superscript"/>
              </w:rPr>
              <w:t>2</w:t>
            </w: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13,312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Total for 2017</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Revenue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Financial Reporting</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22,324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Non-Quantitative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10,294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Discretionary</w:t>
            </w:r>
          </w:p>
        </w:tc>
        <w:tc>
          <w:tcPr>
            <w:tcW w:w="2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9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171,250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39,118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96,689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2016-Q4 non-quantitative goals for Mr. Narayanan were to complete the draft budget for 2017, evaluate a new service for the Board of Directors and migration of a software used for accounting purposes. 2016-Q4 non-quantitative goals recognized for Ms. Hakimoglu were transitioning wireless mics manufacturing, transitioning sales personnel from indirect to direct model, building offshore operations, improving revenue from value-added-resellers and supervise finance goals.</w:t>
      </w:r>
    </w:p>
    <w:p>
      <w:pPr>
        <w:spacing w:after="0" w:line="186" w:lineRule="exact"/>
        <w:rPr>
          <w:rFonts w:ascii="Arial" w:cs="Arial" w:eastAsia="Arial" w:hAnsi="Arial"/>
          <w:sz w:val="18"/>
          <w:szCs w:val="18"/>
          <w:color w:val="auto"/>
        </w:rPr>
      </w:pPr>
    </w:p>
    <w:p>
      <w:pPr>
        <w:ind w:left="340" w:right="4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Non-quantitative goals for Mr. Narayanan for 2017-Q1, 2017-Q2 and 2017-Q3 were to complete a tax planning project, and to draft a logistics and fulfillment plan. Non-quantitative goals for Ms. Hakimoglu for 2017-Q1, 2017-Q2 and 2017-Q3 were to manage marketing events, devise litigation strategy and manage litigation efforts.</w:t>
      </w:r>
    </w:p>
    <w:p>
      <w:pPr>
        <w:sectPr>
          <w:pgSz w:w="11900" w:h="16838" w:orient="portrait"/>
          <w:cols w:equalWidth="0" w:num="1">
            <w:col w:w="11420"/>
          </w:cols>
          <w:pgMar w:left="240" w:top="11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Incentive Cash Bonus Plan for Mr. Braithwaite</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Braithwaite’s compensation plan is based upon attainment of world-wide revenue of network streaming products. His revenue target is set by Ms. Hakimoglu at the beginning of each quarter. Mr. Braithwaite has to achieve at least 65% of the revenue target to be eligible for bonus. If revenue attainment is above 65% but less than 90% of the revenue target, Mr. Braithwaite gets bonus at a reduced rate of 65% of the original bonus rate. His bonus plan provides for double the bonus rate for every 1% achieved above the target revenue with no cap on the maximum bonus that he could possibly earn.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target and actual cash incentive bonus for Mr. Braithwaite in 2017 was for the four quarters beginning the fourth quarter of 2016 and ending with the third quarter of 2017. Mr. Braithwaite’s targeted bonus for these four quarters was $12,500 each. Mr. Braithwaite was not paid any bonus against these targets in any of the five quarters.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Ms. Hakimoglu’s recommendation, the Compensation Committee may at its discretion award cash bonuses not exceeding $5,000 per quarter in recognition of Mr. Braithwaite’s non-revenue achievements including promoting network streaming products among channel partners, end users and internal sales teams, travelling extensively both within the U.S. and outside to provide in-depth product presentations, and supporting key projects. Mr. Braithwaite was paid discretionary cash bonus of $5,000 during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grant equity incentive awards in the form of stock options to align the interests of our executive officers with the interests of our stockholders. Our decisions regarding the amount and type of equity incentive compensation and relative weighting of these awards among total executive compensation is based on several factors including contributions made by the executive, the role and responsibilities of the executive, past performance of the executive, cumulative equity awards made to an officer, current stock prices, recent history of profitability of the equity awards, and current philosophy of the Board with respect to the impact of equity awards on common stock dilution.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Initial awards to new officers are largely based on the negotiations the Chief Executive Officer had at the time of recruiting. Typically, the Chief Executive Officer negotiates and makes an offer of employment subject to approval of the Compensation Committee.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typically made grants of equity incentive awards to our executive officers once a year. All such grants are reviewed and approved by the Compensation Committee.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date of grant and the exercise price of the awards are established on the date of final approval by the Compensation Committee in accordance with the Financial Accounting Standards Board’s Accounting Standards Codification (“ASC”) 718, “Compensation - Stock Compensation.” Exercise price is typically the closing market price of a share of our common stock on the date of the grant or in cases where grant is made to take effect on a subsequent future date, such future date. We do not have any program, plan or practice of setting the exercise price at a price less than fair market value of our common stock on the grant date. We do not have any program, plan or obligation that requires us to grant equity compensation on specified dates to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our year ended December 31, 2017, we made Stock Option Awards to our executive officers,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Stock option awards provide our executive officers with the right to purchase shares of our common stock at a fixed exercise price typically for a period of up to ten years, subject to continued employment with our Company. In general, we provide our executives with service-based stock options that have gradual vesting schedules. These stock options are earned on the basis of continued service with the Company and vest over three years with one-third of the options vesting on the first anniversary of the date of grant and the remaining options vesting equally over 24 months following the first vesting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certain option grants to executive officers and directors, in the event of a change in control, all of such optionee’s unvested stock options will vest and become exercisable immediately prior to the event or the closing of the transaction causing the change in control. Under the option grants, a “Change in Control” means a change in ownership or control of the Company effected through either of the following transactions: (i) 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 (ii) 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 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granted stock options as incentive stock options in accordance with Section 422 of the Code, subject to the volume limitations contained in the Code, as well as non-qualified stock options. Generally, for stock options that do not qualify as incentive stock options, we are entitled to a tax deduction in the year in which the stock options are exercised equal to the difference between the exercise price and the fair market value, at the time of exercise, of the stock for which the stock option was exercised. The holders of the non-qualified stock options are generally taxed on this same amount in the year of exercise. For stock options that qualify as incentive stock options, we do not receive a tax deduction, and the holder of the stock option may receive more favorable tax treatment than he or she would for a non-qualified stock option unless the holder makes a disqualifying disposition, generally by failing to hold the stock for the period required by the Code. Historically, we have primarily granted incentive stock options to provide these potential tax benefits to our executives and because of the limited expected benefits to our company of the potential tax deductions as a result of our historical net losses.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December 12, 2014, we adopted, as approved by our stockholders, the amended and restated 2007 Equity Incentive Plan, or the ClearOne Inc. Equity Incentive Plan, that affords more flexibility to our Compensation Committee by allowing grants of a wide variety of equity awards to our key employees, directors and consultants, including non-qualified stock options, shares of restricted stock and other awards that are valued by reference to the fair market value of our common stock. This plan is designed to assist us in attracting, retaining, motivating and rewarding key employees, directors and consultants and providing long-term value for our stockholders by closely aligning the interests of these individuals with those of our stockholders.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Compensation Committee awarded stock options to Ms. Hakimoglu covering 40,000 shares; to Mr. Narayanan covering 20,000 shares; and to Mr. Braithwaite covering 5,000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retains the discretion to offer other compensation to executive officers taking into account special circumstances including securing successful litigation settlements and participating in patent programs. In 2017, no such compensation was paid.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executive officers are eligible for benefits offered to employees generally, including life, health, disability and dental insurance and participation in our 401(k) plan. We intend to continue to maintain our current benefits for our executive officers. The Compensation Committee in its discretion may revise, amend or add to the executive officers’ benefits and perquisites if it deems it advisable. We do not believe it is necessary for the attraction or retention of executive talent to provide executive officers with a substantial amount of compensation in the form of perquisites. In 2017, no such perquisites were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2017,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Separation Agreement with Mr. Braithwaite</w:t>
      </w:r>
      <w:r>
        <w:rPr>
          <w:rFonts w:ascii="Arial" w:cs="Arial" w:eastAsia="Arial" w:hAnsi="Arial"/>
          <w:sz w:val="17"/>
          <w:szCs w:val="17"/>
          <w:color w:val="auto"/>
        </w:rPr>
        <w:t>. On January 4, 2018, the Company terminated Michael Braithwaite as the Company’s Senior Vice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Streaming Business and an employee of the Company. In connection with Mr. Braithwaite’s separation from the Company, on January 9, 2018 Mr. Braithwaite entered into a Confidential Separation Agreement and General Release with the Company (the “Separation Agreement”). Under the terms of the Separation Agreement, Mr. Braithwaite was paid all unpaid base salary and accrued but unused vacation time through the Separation Date. The Company also paid Mr. Braithwaite cash severance of $52,355.85 as additional consideration for a customary general release of claims.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Accelerated Stock Option Vesting Upon a Change in Control. </w:t>
      </w:r>
      <w:r>
        <w:rPr>
          <w:rFonts w:ascii="Arial" w:cs="Arial" w:eastAsia="Arial" w:hAnsi="Arial"/>
          <w:sz w:val="18"/>
          <w:szCs w:val="18"/>
          <w:color w:val="auto"/>
        </w:rPr>
        <w:t>For certain option grants to executive officers and directors, in the event of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all of such optionee’s unvested stock options will vest and become exercisable immediately prior to the event or the closing of the transaction causing the change in control.</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Under the option grants, a “Change in Control” means a change in ownership or control of the Company effected through either of the following transactions:</w:t>
      </w:r>
    </w:p>
    <w:p>
      <w:pPr>
        <w:spacing w:after="0" w:line="248" w:lineRule="exact"/>
        <w:rPr>
          <w:sz w:val="20"/>
          <w:szCs w:val="20"/>
          <w:color w:val="auto"/>
        </w:rPr>
      </w:pPr>
    </w:p>
    <w:p>
      <w:pPr>
        <w:jc w:val="both"/>
        <w:ind w:firstLine="8"/>
        <w:spacing w:after="0" w:line="259"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jc w:val="both"/>
        <w:ind w:firstLine="8"/>
        <w:spacing w:after="0" w:line="279"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our current stock price of about $6.50, none of our named executive officers would benefit from any potential accelerated vesting of unvested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Considerations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uses judgment in determining the fair value of the options awards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 Black-Scholes option pricing model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intend for our executive compensation program to comply with Section 162(m) of the Code, as well as Code Section 409A. The Compensation Committee intends for all compensation paid to the named executive officers to be tax deductible to us pursuant to Section 162(m) of the Code. Under Section 162(m) of the Code, compensation paid to the named executive officers in excess of $1,000,000 cannot be deducted by us for federal income tax purposes, unless such amounts satisfy the performance-based exception to the deduction disallowance.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409A of the Code addresses certain non-qualified deferred compensation benefits payable to our executives and provides that if such benefits do not comply with Section 409A, they will be taxable in the first year they are not subject to a substantial risk of forfeiture. In such case, our executives would be subject to regular federal income tax, interest and an additional federal income tax of 20% of the benefit includible in income. We have generally designed our executive compensation plans and agreements in a manner that complies with Section 409A.</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granted stock options as incentive stock options in accordance with Section 422 of the Code subject to the volume limitations contained in the Code. Generally, the exercise of an incentive stock option does not trigger any recognition of income or gain to the holder. If the stock is held until at least one year after the date of exercise (or two years from the date the option is granted, whichever is later), all of the gain on the sale of the stock, when recognized for income tax purposes will be capital gain, rather than ordinary income to the recipient. Consequently, we do not receive a tax deduction. For stock options that do not qualify as incentive stock options, we are entitled to a tax deduction in the year in which the stock options are exercised equal to the spread between the exercise price and the fair market value of the stock for which the stock option was exercised. The holders of the non-qualified stock options are generally taxed on this same amount in the year of exercise.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2017,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180" w:type="dxa"/>
            <w:vAlign w:val="bottom"/>
            <w:gridSpan w:val="8"/>
          </w:tcPr>
          <w:p>
            <w:pPr>
              <w:ind w:left="40"/>
              <w:spacing w:after="0"/>
              <w:rPr>
                <w:sz w:val="20"/>
                <w:szCs w:val="20"/>
                <w:color w:val="auto"/>
              </w:rPr>
            </w:pPr>
            <w:r>
              <w:rPr>
                <w:rFonts w:ascii="Arial" w:cs="Arial" w:eastAsia="Arial" w:hAnsi="Arial"/>
                <w:sz w:val="18"/>
                <w:szCs w:val="18"/>
                <w:b w:val="1"/>
                <w:bCs w:val="1"/>
                <w:color w:val="auto"/>
              </w:rPr>
              <w:t>SUMMARY COMPENSATION TABLE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Non-Equity</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Incentive Plan</w:t>
            </w:r>
          </w:p>
        </w:tc>
        <w:tc>
          <w:tcPr>
            <w:tcW w:w="1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All Other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Salary</w:t>
            </w:r>
          </w:p>
        </w:tc>
        <w:tc>
          <w:tcPr>
            <w:tcW w:w="140" w:type="dxa"/>
            <w:vAlign w:val="bottom"/>
          </w:tcPr>
          <w:p>
            <w:pPr>
              <w:spacing w:after="0"/>
              <w:rPr>
                <w:sz w:val="23"/>
                <w:szCs w:val="23"/>
                <w:color w:val="auto"/>
              </w:rPr>
            </w:pPr>
          </w:p>
        </w:tc>
        <w:tc>
          <w:tcPr>
            <w:tcW w:w="1180" w:type="dxa"/>
            <w:vAlign w:val="bottom"/>
            <w:gridSpan w:val="2"/>
          </w:tcPr>
          <w:p>
            <w:pPr>
              <w:jc w:val="center"/>
              <w:ind w:right="340"/>
              <w:spacing w:after="0" w:line="269" w:lineRule="exact"/>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30"/>
                <w:szCs w:val="30"/>
                <w:b w:val="1"/>
                <w:bCs w:val="1"/>
                <w:color w:val="auto"/>
                <w:w w:val="84"/>
                <w:vertAlign w:val="superscript"/>
              </w:rPr>
              <w:t>(1)</w:t>
            </w:r>
          </w:p>
        </w:tc>
        <w:tc>
          <w:tcPr>
            <w:tcW w:w="1520" w:type="dxa"/>
            <w:vAlign w:val="bottom"/>
            <w:gridSpan w:val="4"/>
          </w:tcPr>
          <w:p>
            <w:pPr>
              <w:ind w:left="20"/>
              <w:spacing w:after="0" w:line="269" w:lineRule="exact"/>
              <w:rPr>
                <w:sz w:val="20"/>
                <w:szCs w:val="20"/>
                <w:color w:val="auto"/>
              </w:rPr>
            </w:pPr>
            <w:r>
              <w:rPr>
                <w:rFonts w:ascii="Arial" w:cs="Arial" w:eastAsia="Arial" w:hAnsi="Arial"/>
                <w:sz w:val="18"/>
                <w:szCs w:val="18"/>
                <w:b w:val="1"/>
                <w:bCs w:val="1"/>
                <w:color w:val="auto"/>
                <w:w w:val="98"/>
              </w:rPr>
              <w:t>Compensation</w:t>
            </w:r>
            <w:r>
              <w:rPr>
                <w:rFonts w:ascii="Arial" w:cs="Arial" w:eastAsia="Arial" w:hAnsi="Arial"/>
                <w:sz w:val="30"/>
                <w:szCs w:val="30"/>
                <w:b w:val="1"/>
                <w:bCs w:val="1"/>
                <w:color w:val="auto"/>
                <w:w w:val="98"/>
                <w:vertAlign w:val="superscript"/>
              </w:rPr>
              <w:t>(2)</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Zeynep Hakimoglu - </w:t>
            </w:r>
            <w:r>
              <w:rPr>
                <w:rFonts w:ascii="Arial" w:cs="Arial" w:eastAsia="Arial" w:hAnsi="Arial"/>
                <w:sz w:val="18"/>
                <w:szCs w:val="18"/>
                <w:color w:val="auto"/>
                <w:w w:val="94"/>
              </w:rPr>
              <w:t>Chief Executive Officer and President</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353,077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132,700</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39,118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524,895</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294,442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258,390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102,192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744,424</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279,154</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59,895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427,249</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 xml:space="preserve">Narsi Narayanan - </w:t>
            </w:r>
            <w:r>
              <w:rPr>
                <w:rFonts w:ascii="Arial" w:cs="Arial" w:eastAsia="Arial" w:hAnsi="Arial"/>
                <w:sz w:val="18"/>
                <w:szCs w:val="18"/>
                <w:color w:val="auto"/>
                <w:w w:val="97"/>
              </w:rPr>
              <w:t>Senior Vice President of Finance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196,019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66,350</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16,544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278,913</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177,665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59,472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376,643</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170,481</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31,210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230,791</w:t>
            </w: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 xml:space="preserve">Michael Braithwaite - </w:t>
            </w:r>
            <w:r>
              <w:rPr>
                <w:rFonts w:ascii="Arial" w:cs="Arial" w:eastAsia="Arial" w:hAnsi="Arial"/>
                <w:sz w:val="18"/>
                <w:szCs w:val="18"/>
                <w:color w:val="auto"/>
                <w:w w:val="92"/>
              </w:rPr>
              <w:t>Senior Vice President - Network</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Streaming Business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181,404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16,588</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202,992</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172,665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239,189</w:t>
            </w: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167,288</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53,073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247,470</w:t>
            </w:r>
          </w:p>
        </w:tc>
      </w:tr>
    </w:tbl>
    <w:p>
      <w:pPr>
        <w:spacing w:after="0" w:line="187" w:lineRule="exact"/>
        <w:rPr>
          <w:sz w:val="20"/>
          <w:szCs w:val="20"/>
          <w:color w:val="auto"/>
        </w:rPr>
      </w:pPr>
    </w:p>
    <w:p>
      <w:pPr>
        <w:ind w:left="340" w:right="200" w:hanging="332"/>
        <w:spacing w:after="0" w:line="30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assumptions made in the valuation of our option awards and the material terms of option awards are disclosed in Note 9 - Share Based Payments in our Notes to Consolidated Financial Statements included in Part IV of the Form 10-K for the year ended December 31, 2017.</w:t>
      </w:r>
    </w:p>
    <w:p>
      <w:pPr>
        <w:spacing w:after="0" w:line="154" w:lineRule="exact"/>
        <w:rPr>
          <w:rFonts w:ascii="Arial" w:cs="Arial" w:eastAsia="Arial" w:hAnsi="Arial"/>
          <w:sz w:val="16"/>
          <w:szCs w:val="16"/>
          <w:color w:val="auto"/>
        </w:rPr>
      </w:pPr>
    </w:p>
    <w:p>
      <w:pPr>
        <w:ind w:left="340" w:right="40" w:hanging="332"/>
        <w:spacing w:after="0" w:line="288"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Non-Equity Incentive Plan Compensation for Ms. Hakimoglu and Mr. Narayanan is based upon the achievement of pre-determined quarterly goals, namely, financial goals comprising of revenue, gross margin, operating income and meeting reporting deadlines, and non-quantitative performance goals. Mr. Braithwaite’s compensation plan is based upon attainment of revenue of a certain product group.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which is then determined by the Compensation Committee. Compensation under the non-equity incentive plan for Ms. Hakimoglu and Mr. Narayanan is calculated by assigning 70% weight to financial goals and 30% to non-quantitative goals. Ms. Hakimoglu’s compensation for the year ended December 31, 2017 included $22,324 for achieving financial goals, $10,294 for achieving non-quantitative goals, and $6,500 paid as discretionary bonus. Mr. Narayanan’s compensation for the year ended December 31, 2017 included $12,887 for achieving financial goals, and $3,657 for achieving non-quantitative goals.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Number of</w:t>
            </w:r>
          </w:p>
        </w:tc>
        <w:tc>
          <w:tcPr>
            <w:tcW w:w="16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98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85"/>
              </w:rPr>
              <w:t>Securities</w:t>
            </w:r>
          </w:p>
        </w:tc>
        <w:tc>
          <w:tcPr>
            <w:tcW w:w="162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Securities</w:t>
            </w:r>
          </w:p>
        </w:tc>
        <w:tc>
          <w:tcPr>
            <w:tcW w:w="1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98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91"/>
              </w:rPr>
              <w:t>Underlying</w:t>
            </w:r>
          </w:p>
        </w:tc>
        <w:tc>
          <w:tcPr>
            <w:tcW w:w="1620" w:type="dxa"/>
            <w:vAlign w:val="bottom"/>
            <w:vMerge w:val="continue"/>
          </w:tcPr>
          <w:p>
            <w:pPr>
              <w:spacing w:after="0"/>
              <w:rPr>
                <w:sz w:val="7"/>
                <w:szCs w:val="7"/>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Option</w:t>
            </w:r>
          </w:p>
        </w:tc>
        <w:tc>
          <w:tcPr>
            <w:tcW w:w="1460" w:type="dxa"/>
            <w:vAlign w:val="bottom"/>
          </w:tcPr>
          <w:p>
            <w:pPr>
              <w:spacing w:after="0"/>
              <w:rPr>
                <w:sz w:val="7"/>
                <w:szCs w:val="7"/>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Underlying</w:t>
            </w:r>
          </w:p>
        </w:tc>
        <w:tc>
          <w:tcPr>
            <w:tcW w:w="1320" w:type="dxa"/>
            <w:vAlign w:val="bottom"/>
            <w:vMerge w:val="continue"/>
          </w:tcPr>
          <w:p>
            <w:pPr>
              <w:spacing w:after="0"/>
              <w:rPr>
                <w:sz w:val="11"/>
                <w:szCs w:val="11"/>
                <w:color w:val="auto"/>
              </w:rPr>
            </w:pPr>
          </w:p>
        </w:tc>
        <w:tc>
          <w:tcPr>
            <w:tcW w:w="14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Option Grant</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Name</w:t>
            </w:r>
          </w:p>
        </w:tc>
        <w:tc>
          <w:tcPr>
            <w:tcW w:w="198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87"/>
              </w:rPr>
              <w:t>Unexercised</w:t>
            </w:r>
          </w:p>
        </w:tc>
        <w:tc>
          <w:tcPr>
            <w:tcW w:w="1620" w:type="dxa"/>
            <w:vAlign w:val="bottom"/>
            <w:vMerge w:val="continue"/>
          </w:tcPr>
          <w:p>
            <w:pPr>
              <w:spacing w:after="0"/>
              <w:rPr>
                <w:sz w:val="7"/>
                <w:szCs w:val="7"/>
                <w:color w:val="auto"/>
              </w:rPr>
            </w:pP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Exercise</w:t>
            </w:r>
          </w:p>
        </w:tc>
        <w:tc>
          <w:tcPr>
            <w:tcW w:w="1460" w:type="dxa"/>
            <w:vAlign w:val="bottom"/>
            <w:vMerge w:val="continue"/>
          </w:tcPr>
          <w:p>
            <w:pPr>
              <w:spacing w:after="0"/>
              <w:rPr>
                <w:sz w:val="7"/>
                <w:szCs w:val="7"/>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6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7"/>
              </w:rPr>
              <w:t>Unexercised</w:t>
            </w:r>
          </w:p>
        </w:tc>
        <w:tc>
          <w:tcPr>
            <w:tcW w:w="1320" w:type="dxa"/>
            <w:vAlign w:val="bottom"/>
            <w:vMerge w:val="continue"/>
          </w:tcPr>
          <w:p>
            <w:pPr>
              <w:spacing w:after="0"/>
              <w:rPr>
                <w:sz w:val="11"/>
                <w:szCs w:val="11"/>
                <w:color w:val="auto"/>
              </w:rPr>
            </w:pPr>
          </w:p>
        </w:tc>
        <w:tc>
          <w:tcPr>
            <w:tcW w:w="14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Date</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98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91"/>
              </w:rPr>
              <w:t>Options</w:t>
            </w:r>
          </w:p>
        </w:tc>
        <w:tc>
          <w:tcPr>
            <w:tcW w:w="1620" w:type="dxa"/>
            <w:vAlign w:val="bottom"/>
            <w:vMerge w:val="continue"/>
          </w:tcPr>
          <w:p>
            <w:pPr>
              <w:spacing w:after="0"/>
              <w:rPr>
                <w:sz w:val="7"/>
                <w:szCs w:val="7"/>
                <w:color w:val="auto"/>
              </w:rPr>
            </w:pPr>
          </w:p>
        </w:tc>
        <w:tc>
          <w:tcPr>
            <w:tcW w:w="13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Price ($)</w:t>
            </w:r>
          </w:p>
        </w:tc>
        <w:tc>
          <w:tcPr>
            <w:tcW w:w="1460" w:type="dxa"/>
            <w:vAlign w:val="bottom"/>
            <w:vMerge w:val="continue"/>
          </w:tcPr>
          <w:p>
            <w:pPr>
              <w:spacing w:after="0"/>
              <w:rPr>
                <w:sz w:val="7"/>
                <w:szCs w:val="7"/>
                <w:color w:val="auto"/>
              </w:rPr>
            </w:pP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Options</w:t>
            </w:r>
          </w:p>
        </w:tc>
        <w:tc>
          <w:tcPr>
            <w:tcW w:w="13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98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89"/>
              </w:rPr>
              <w:t>Exercisable</w:t>
            </w:r>
          </w:p>
        </w:tc>
        <w:tc>
          <w:tcPr>
            <w:tcW w:w="162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16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4"/>
              </w:rPr>
              <w:t>Unexercisable</w:t>
            </w:r>
            <w:r>
              <w:rPr>
                <w:rFonts w:ascii="Arial" w:cs="Arial" w:eastAsia="Arial" w:hAnsi="Arial"/>
                <w:sz w:val="30"/>
                <w:szCs w:val="30"/>
                <w:b w:val="1"/>
                <w:bCs w:val="1"/>
                <w:color w:val="auto"/>
                <w:w w:val="84"/>
                <w:vertAlign w:val="superscript"/>
              </w:rPr>
              <w:t>(1)</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Zeynep Hakimoglu</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28,380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11-14-2008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3.004</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05-26-2010</w:t>
            </w:r>
          </w:p>
        </w:tc>
        <w:tc>
          <w:tcPr>
            <w:tcW w:w="1220" w:type="dxa"/>
            <w:vAlign w:val="bottom"/>
          </w:tcPr>
          <w:p>
            <w:pPr>
              <w:jc w:val="right"/>
              <w:spacing w:after="0"/>
              <w:rPr>
                <w:sz w:val="20"/>
                <w:szCs w:val="20"/>
                <w:color w:val="auto"/>
              </w:rPr>
            </w:pPr>
            <w:r>
              <w:rPr>
                <w:rFonts w:ascii="Arial" w:cs="Arial" w:eastAsia="Arial" w:hAnsi="Arial"/>
                <w:sz w:val="18"/>
                <w:szCs w:val="18"/>
                <w:color w:val="auto"/>
              </w:rPr>
              <w:t>05-26-2020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5.480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08-05-2011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08-05-2021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3.920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05-11-2012</w:t>
            </w:r>
          </w:p>
        </w:tc>
        <w:tc>
          <w:tcPr>
            <w:tcW w:w="1220" w:type="dxa"/>
            <w:vAlign w:val="bottom"/>
          </w:tcPr>
          <w:p>
            <w:pPr>
              <w:jc w:val="right"/>
              <w:spacing w:after="0"/>
              <w:rPr>
                <w:sz w:val="20"/>
                <w:szCs w:val="20"/>
                <w:color w:val="auto"/>
              </w:rPr>
            </w:pPr>
            <w:r>
              <w:rPr>
                <w:rFonts w:ascii="Arial" w:cs="Arial" w:eastAsia="Arial" w:hAnsi="Arial"/>
                <w:sz w:val="18"/>
                <w:szCs w:val="18"/>
                <w:color w:val="auto"/>
              </w:rPr>
              <w:t>05-11-2022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8.220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08-22-2013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08-22-2023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6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8.340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09-12-2014</w:t>
            </w:r>
          </w:p>
        </w:tc>
        <w:tc>
          <w:tcPr>
            <w:tcW w:w="1220" w:type="dxa"/>
            <w:vAlign w:val="bottom"/>
          </w:tcPr>
          <w:p>
            <w:pPr>
              <w:jc w:val="right"/>
              <w:spacing w:after="0"/>
              <w:rPr>
                <w:sz w:val="20"/>
                <w:szCs w:val="20"/>
                <w:color w:val="auto"/>
              </w:rPr>
            </w:pPr>
            <w:r>
              <w:rPr>
                <w:rFonts w:ascii="Arial" w:cs="Arial" w:eastAsia="Arial" w:hAnsi="Arial"/>
                <w:sz w:val="18"/>
                <w:szCs w:val="18"/>
                <w:color w:val="auto"/>
              </w:rPr>
              <w:t>09-12-2024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29,166</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20,834</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11.960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03-11-2016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03-11-2026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6,667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11.000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12-14-2016</w:t>
            </w:r>
          </w:p>
        </w:tc>
        <w:tc>
          <w:tcPr>
            <w:tcW w:w="1220" w:type="dxa"/>
            <w:vAlign w:val="bottom"/>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40,000</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9.900</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06-01-2017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06-01-2027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Narsi Narayanan</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2.780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08-27-2009</w:t>
            </w:r>
          </w:p>
        </w:tc>
        <w:tc>
          <w:tcPr>
            <w:tcW w:w="1220" w:type="dxa"/>
            <w:vAlign w:val="bottom"/>
          </w:tcPr>
          <w:p>
            <w:pPr>
              <w:jc w:val="right"/>
              <w:spacing w:after="0"/>
              <w:rPr>
                <w:sz w:val="20"/>
                <w:szCs w:val="20"/>
                <w:color w:val="auto"/>
              </w:rPr>
            </w:pPr>
            <w:r>
              <w:rPr>
                <w:rFonts w:ascii="Arial" w:cs="Arial" w:eastAsia="Arial" w:hAnsi="Arial"/>
                <w:sz w:val="18"/>
                <w:szCs w:val="18"/>
                <w:color w:val="auto"/>
              </w:rPr>
              <w:t>08-27-2019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3.004</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05-26-2010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05-26-2020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5.480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08-05-2011</w:t>
            </w:r>
          </w:p>
        </w:tc>
        <w:tc>
          <w:tcPr>
            <w:tcW w:w="1220" w:type="dxa"/>
            <w:vAlign w:val="bottom"/>
          </w:tcPr>
          <w:p>
            <w:pPr>
              <w:jc w:val="right"/>
              <w:spacing w:after="0"/>
              <w:rPr>
                <w:sz w:val="20"/>
                <w:szCs w:val="20"/>
                <w:color w:val="auto"/>
              </w:rPr>
            </w:pPr>
            <w:r>
              <w:rPr>
                <w:rFonts w:ascii="Arial" w:cs="Arial" w:eastAsia="Arial" w:hAnsi="Arial"/>
                <w:sz w:val="18"/>
                <w:szCs w:val="18"/>
                <w:color w:val="auto"/>
              </w:rPr>
              <w:t>08-05-2021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3.920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05-11-2012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05-11-2022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8.220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08-22-2013</w:t>
            </w:r>
          </w:p>
        </w:tc>
        <w:tc>
          <w:tcPr>
            <w:tcW w:w="1220" w:type="dxa"/>
            <w:vAlign w:val="bottom"/>
          </w:tcPr>
          <w:p>
            <w:pPr>
              <w:jc w:val="right"/>
              <w:spacing w:after="0"/>
              <w:rPr>
                <w:sz w:val="20"/>
                <w:szCs w:val="20"/>
                <w:color w:val="auto"/>
              </w:rPr>
            </w:pPr>
            <w:r>
              <w:rPr>
                <w:rFonts w:ascii="Arial" w:cs="Arial" w:eastAsia="Arial" w:hAnsi="Arial"/>
                <w:sz w:val="18"/>
                <w:szCs w:val="18"/>
                <w:color w:val="auto"/>
              </w:rPr>
              <w:t>08-22-2023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5,000</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8.340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09-12-2014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14,583</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10,417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11.960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03-11-2016</w:t>
            </w:r>
          </w:p>
        </w:tc>
        <w:tc>
          <w:tcPr>
            <w:tcW w:w="1220" w:type="dxa"/>
            <w:vAlign w:val="bottom"/>
          </w:tcPr>
          <w:p>
            <w:pPr>
              <w:jc w:val="right"/>
              <w:spacing w:after="0"/>
              <w:rPr>
                <w:sz w:val="20"/>
                <w:szCs w:val="20"/>
                <w:color w:val="auto"/>
              </w:rPr>
            </w:pPr>
            <w:r>
              <w:rPr>
                <w:rFonts w:ascii="Arial" w:cs="Arial" w:eastAsia="Arial" w:hAnsi="Arial"/>
                <w:sz w:val="18"/>
                <w:szCs w:val="18"/>
                <w:color w:val="auto"/>
              </w:rPr>
              <w:t>03-11-2026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1,667</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11.000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12-14-2016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20,000</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9.900</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06-01-2017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Michael Braithwaite</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8,611</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1,389</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12.980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05-01-2015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05-01-2025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4,167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10.510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08-30-2016</w:t>
            </w:r>
          </w:p>
        </w:tc>
        <w:tc>
          <w:tcPr>
            <w:tcW w:w="1220" w:type="dxa"/>
            <w:vAlign w:val="bottom"/>
          </w:tcPr>
          <w:p>
            <w:pPr>
              <w:jc w:val="right"/>
              <w:spacing w:after="0"/>
              <w:rPr>
                <w:sz w:val="20"/>
                <w:szCs w:val="20"/>
                <w:color w:val="auto"/>
              </w:rPr>
            </w:pPr>
            <w:r>
              <w:rPr>
                <w:rFonts w:ascii="Arial" w:cs="Arial" w:eastAsia="Arial" w:hAnsi="Arial"/>
                <w:sz w:val="18"/>
                <w:szCs w:val="18"/>
                <w:color w:val="auto"/>
              </w:rPr>
              <w:t>08-30-2026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334</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11.000</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12-14-2016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5,000</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9.900</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06-01-2017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06-01-2027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One-third of unvested options vest one year from the date of grant and balance vest equally over a period of 24 months following the first anniversary date of grant.</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GRANTS OF PLAN-BASED AWARDS</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4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Exercise or</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Stock Awards:</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Option Awards:</w:t>
            </w:r>
          </w:p>
        </w:tc>
        <w:tc>
          <w:tcPr>
            <w:tcW w:w="1440" w:type="dxa"/>
            <w:vAlign w:val="bottom"/>
            <w:vMerge w:val="continue"/>
          </w:tcPr>
          <w:p>
            <w:pPr>
              <w:spacing w:after="0"/>
              <w:rPr>
                <w:sz w:val="9"/>
                <w:szCs w:val="9"/>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Base Price of</w:t>
            </w: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40" w:type="dxa"/>
            <w:vAlign w:val="bottom"/>
            <w:vMerge w:val="continue"/>
          </w:tcPr>
          <w:p>
            <w:pPr>
              <w:spacing w:after="0"/>
              <w:rPr>
                <w:sz w:val="9"/>
                <w:szCs w:val="9"/>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of Stock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vMerge w:val="restart"/>
          </w:tcPr>
          <w:p>
            <w:pPr>
              <w:ind w:left="1300"/>
              <w:spacing w:after="0"/>
              <w:rPr>
                <w:sz w:val="20"/>
                <w:szCs w:val="20"/>
                <w:color w:val="auto"/>
              </w:rPr>
            </w:pPr>
            <w:r>
              <w:rPr>
                <w:rFonts w:ascii="Arial" w:cs="Arial" w:eastAsia="Arial" w:hAnsi="Arial"/>
                <w:sz w:val="18"/>
                <w:szCs w:val="18"/>
                <w:b w:val="1"/>
                <w:bCs w:val="1"/>
                <w:color w:val="auto"/>
              </w:rPr>
              <w:t>Name</w:t>
            </w:r>
          </w:p>
        </w:tc>
        <w:tc>
          <w:tcPr>
            <w:tcW w:w="19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Grant Date</w:t>
            </w:r>
          </w:p>
        </w:tc>
        <w:tc>
          <w:tcPr>
            <w:tcW w:w="1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440" w:type="dxa"/>
            <w:vAlign w:val="bottom"/>
            <w:vMerge w:val="continue"/>
          </w:tcPr>
          <w:p>
            <w:pPr>
              <w:spacing w:after="0"/>
              <w:rPr>
                <w:sz w:val="9"/>
                <w:szCs w:val="9"/>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and Option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Stock or Units</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440" w:type="dxa"/>
            <w:vAlign w:val="bottom"/>
            <w:vMerge w:val="continue"/>
          </w:tcPr>
          <w:p>
            <w:pPr>
              <w:spacing w:after="0"/>
              <w:rPr>
                <w:sz w:val="9"/>
                <w:szCs w:val="9"/>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4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($/Sh)</w:t>
            </w: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(1)</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1440" w:type="dxa"/>
            <w:vAlign w:val="bottom"/>
            <w:vMerge w:val="continue"/>
          </w:tcPr>
          <w:p>
            <w:pPr>
              <w:spacing w:after="0"/>
              <w:rPr>
                <w:sz w:val="10"/>
                <w:szCs w:val="1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tcBorders>
            <w:vMerge w:val="continue"/>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Zee Hakimoglu</w:t>
            </w: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06-01-2017</w:t>
            </w:r>
          </w:p>
        </w:tc>
        <w:tc>
          <w:tcPr>
            <w:tcW w:w="15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40,000</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Narsi Narayanan</w:t>
            </w: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06-01-2017</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9.90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J. Braithwaite</w:t>
            </w:r>
          </w:p>
        </w:tc>
        <w:tc>
          <w:tcPr>
            <w:tcW w:w="1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06-01-2017</w:t>
            </w:r>
          </w:p>
        </w:tc>
        <w:tc>
          <w:tcPr>
            <w:tcW w:w="150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5,000</w:t>
            </w: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9.90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8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Options granted in 2017 have the following vesting schedule: one-third on the first anniversary of the options grant; remaining option vest equally over a period of 24 months immediately following the first vesting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on the exercise of stock options by named executive officers during the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equity awards that vested for the named executive officers during the year ended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3"/>
              </w:rPr>
              <w:t>Value realized 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8"/>
              </w:rPr>
              <w:t>shares acquired</w:t>
            </w:r>
          </w:p>
        </w:tc>
        <w:tc>
          <w:tcPr>
            <w:tcW w:w="1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on exercise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100"/>
              <w:spacing w:after="0" w:line="269" w:lineRule="exact"/>
              <w:rPr>
                <w:sz w:val="20"/>
                <w:szCs w:val="20"/>
                <w:color w:val="auto"/>
              </w:rPr>
            </w:pPr>
            <w:r>
              <w:rPr>
                <w:rFonts w:ascii="Arial" w:cs="Arial" w:eastAsia="Arial" w:hAnsi="Arial"/>
                <w:sz w:val="18"/>
                <w:szCs w:val="18"/>
                <w:b w:val="1"/>
                <w:bCs w:val="1"/>
                <w:color w:val="auto"/>
              </w:rPr>
              <w:t>exercise</w:t>
            </w:r>
            <w:r>
              <w:rPr>
                <w:rFonts w:ascii="Arial" w:cs="Arial" w:eastAsia="Arial" w:hAnsi="Arial"/>
                <w:sz w:val="30"/>
                <w:szCs w:val="30"/>
                <w:b w:val="1"/>
                <w:bCs w:val="1"/>
                <w:color w:val="auto"/>
                <w:vertAlign w:val="superscript"/>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Zeynep Hakimoglu</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171,620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617,412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Value realized on exercise is the excess of market price of underlying shares on the date of exercise over exercise price for the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2017,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Separation Agreement with Mr. Braithwaite</w:t>
      </w:r>
      <w:r>
        <w:rPr>
          <w:rFonts w:ascii="Arial" w:cs="Arial" w:eastAsia="Arial" w:hAnsi="Arial"/>
          <w:sz w:val="16"/>
          <w:szCs w:val="16"/>
          <w:color w:val="auto"/>
        </w:rPr>
        <w:t>. On January 4, 2018, the Company terminated Michael Braithwaite as the Company’s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 Network Streaming Business and an employee of the Company. In connection with Mr. Braithwaite’s separation from the Company, on January 9, 2018 Mr. Braithwaite entered into a Confidential Separation Agreement and General Release with the Company (the “Separation Agreement”). Under the terms of the Separation Agreement, Mr. Braithwaite was paid all unpaid base salary and accrued but unused vacation time through the Separation Date. The Company also paid Mr. Braithwaite cash severance of $52,355.85 as additional consideration for a customary general release of claims.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the closing of the transaction causing the change in control.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a change in ownership or control of the Company effected through either of the following transactions:</w:t>
      </w:r>
    </w:p>
    <w:p>
      <w:pPr>
        <w:spacing w:after="0" w:line="170" w:lineRule="exact"/>
        <w:rPr>
          <w:sz w:val="20"/>
          <w:szCs w:val="20"/>
          <w:color w:val="auto"/>
        </w:rPr>
      </w:pPr>
    </w:p>
    <w:p>
      <w:pPr>
        <w:jc w:val="both"/>
        <w:ind w:left="660" w:hanging="4"/>
        <w:spacing w:after="0" w:line="259" w:lineRule="auto"/>
        <w:tabs>
          <w:tab w:leader="none" w:pos="8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86" w:lineRule="exact"/>
        <w:rPr>
          <w:rFonts w:ascii="Arial" w:cs="Arial" w:eastAsia="Arial" w:hAnsi="Arial"/>
          <w:sz w:val="18"/>
          <w:szCs w:val="18"/>
          <w:color w:val="auto"/>
        </w:rPr>
      </w:pPr>
    </w:p>
    <w:p>
      <w:pPr>
        <w:jc w:val="both"/>
        <w:ind w:left="660" w:hanging="4"/>
        <w:spacing w:after="0" w:line="257" w:lineRule="auto"/>
        <w:tabs>
          <w:tab w:leader="none" w:pos="9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current stock price of about $10.00, all our named executive officers would benefit from any potential accelerated vesting of unvested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setting compensation, the Compensation Committee considers the risks to the Company’s shareholders and to achievement of its goals that may be inherent in its compensation programs. The Compensation Committee conducted a risk assessment of the Company’s compensation programs, including its executive compensation programs. The Compensation Committee reviewed and discussed its assessment with management and outside legal counsel and concluded that the Company’s compensation programs are within industry standards and are designed with the appropriate balance of risk and reward to align employees’ interests with those of the Company and do not incent employees to take unnecessary or excessive risks. Although a portion of our executives’ and employees’ compensation is performance-based and “at risk,” we believe our compensation plans are appropriately structured and are not reasonably likely to result in a material adverse effect on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Option Committee Report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has reviewed the Compensation Discussion and Analysis and discussed that Analysis with management. Based on its review and discussions with management, the Compensation Committee recommended to the Board of Directors that the Compensation Discussion and Analysis be included in the Company’s Annual Report on Form 10-K for the year ended December 31, 2017 as amended and filed in a Form 10-K/A and the Company’s proxy statement relating to the Annual Meeting of stockholders to be held in 2018. This report is provided by the following independent directors, who comprise all of the members of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R. Baldwin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R. Hendricks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L. Robinson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consists of Brad R. Baldwin (Chairman), Larry R. Hendricks and Eric L. Robinson.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member of the Compensation Committee was at any time in 2017 or at any other time an officer or employee of the Company, and no member had any relationship with the Company requiring disclosure as a related-person transaction in the section “Certain Relationships and Related Transactions.” No executive officer of the Company has served on the board of directors or compensation committee of any other entity that has or has had one or more executive officers who served as a member of our Board of Directors or Compensation Committee at any time in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2017. Ms. Hakimoglu did not receive additional compensation for her service as a director.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9"/>
              </w:rPr>
              <w:t>Fees Earned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or Paid in</w:t>
            </w:r>
          </w:p>
        </w:tc>
        <w:tc>
          <w:tcPr>
            <w:tcW w:w="18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Option</w:t>
            </w:r>
          </w:p>
        </w:tc>
        <w:tc>
          <w:tcPr>
            <w:tcW w:w="240" w:type="dxa"/>
            <w:vAlign w:val="bottom"/>
          </w:tcPr>
          <w:p>
            <w:pPr>
              <w:spacing w:after="0"/>
              <w:rPr>
                <w:sz w:val="18"/>
                <w:szCs w:val="18"/>
                <w:color w:val="auto"/>
              </w:rPr>
            </w:pPr>
          </w:p>
        </w:tc>
        <w:tc>
          <w:tcPr>
            <w:tcW w:w="14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7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center"/>
              <w:ind w:right="380"/>
              <w:spacing w:after="0" w:line="269" w:lineRule="exact"/>
              <w:rPr>
                <w:sz w:val="20"/>
                <w:szCs w:val="20"/>
                <w:color w:val="auto"/>
              </w:rPr>
            </w:pPr>
            <w:r>
              <w:rPr>
                <w:rFonts w:ascii="Arial" w:cs="Arial" w:eastAsia="Arial" w:hAnsi="Arial"/>
                <w:sz w:val="18"/>
                <w:szCs w:val="18"/>
                <w:b w:val="1"/>
                <w:bCs w:val="1"/>
                <w:color w:val="auto"/>
                <w:w w:val="81"/>
              </w:rPr>
              <w:t>Cash</w:t>
            </w:r>
            <w:r>
              <w:rPr>
                <w:rFonts w:ascii="Arial" w:cs="Arial" w:eastAsia="Arial" w:hAnsi="Arial"/>
                <w:sz w:val="30"/>
                <w:szCs w:val="30"/>
                <w:b w:val="1"/>
                <w:bCs w:val="1"/>
                <w:color w:val="auto"/>
                <w:w w:val="81"/>
                <w:vertAlign w:val="superscript"/>
              </w:rPr>
              <w:t>(1)</w:t>
            </w:r>
          </w:p>
        </w:tc>
        <w:tc>
          <w:tcPr>
            <w:tcW w:w="180" w:type="dxa"/>
            <w:vAlign w:val="bottom"/>
          </w:tcPr>
          <w:p>
            <w:pPr>
              <w:spacing w:after="0"/>
              <w:rPr>
                <w:sz w:val="23"/>
                <w:szCs w:val="23"/>
                <w:color w:val="auto"/>
              </w:rPr>
            </w:pPr>
          </w:p>
        </w:tc>
        <w:tc>
          <w:tcPr>
            <w:tcW w:w="1340" w:type="dxa"/>
            <w:vAlign w:val="bottom"/>
            <w:gridSpan w:val="2"/>
          </w:tcPr>
          <w:p>
            <w:pPr>
              <w:jc w:val="right"/>
              <w:ind w:right="500"/>
              <w:spacing w:after="0" w:line="269" w:lineRule="exact"/>
              <w:rPr>
                <w:sz w:val="20"/>
                <w:szCs w:val="20"/>
                <w:color w:val="auto"/>
              </w:rPr>
            </w:pPr>
            <w:r>
              <w:rPr>
                <w:rFonts w:ascii="Arial" w:cs="Arial" w:eastAsia="Arial" w:hAnsi="Arial"/>
                <w:sz w:val="18"/>
                <w:szCs w:val="18"/>
                <w:b w:val="1"/>
                <w:bCs w:val="1"/>
                <w:color w:val="auto"/>
                <w:w w:val="91"/>
              </w:rPr>
              <w:t>Awards</w:t>
            </w:r>
            <w:r>
              <w:rPr>
                <w:rFonts w:ascii="Arial" w:cs="Arial" w:eastAsia="Arial" w:hAnsi="Arial"/>
                <w:sz w:val="30"/>
                <w:szCs w:val="30"/>
                <w:b w:val="1"/>
                <w:bCs w:val="1"/>
                <w:color w:val="auto"/>
                <w:w w:val="91"/>
                <w:vertAlign w:val="superscript"/>
              </w:rPr>
              <w:t>(2)</w:t>
            </w:r>
          </w:p>
        </w:tc>
        <w:tc>
          <w:tcPr>
            <w:tcW w:w="17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Compensation</w:t>
            </w: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at Year 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Brad R. Baldwin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33,175</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70,375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Larry R. Hendricks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33,600</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33,175</w:t>
            </w:r>
          </w:p>
        </w:tc>
        <w:tc>
          <w:tcPr>
            <w:tcW w:w="240" w:type="dxa"/>
            <w:vAlign w:val="bottom"/>
          </w:tcPr>
          <w:p>
            <w:pPr>
              <w:spacing w:after="0"/>
              <w:rPr>
                <w:sz w:val="18"/>
                <w:szCs w:val="18"/>
                <w:color w:val="auto"/>
              </w:rPr>
            </w:pPr>
          </w:p>
        </w:tc>
        <w:tc>
          <w:tcPr>
            <w:tcW w:w="14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66,775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37,200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33,175</w:t>
            </w: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70,375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base annual director’s fee for the reporting year was $30,000. In addition, independent directors were paid $100 per month for each board committee served on, and an additional $300 per month if the director was the chair of the Audit and Compliance Committee or Compensation Committee. The fee is not dependent on the number of meetings attended by any directors.</w:t>
      </w:r>
    </w:p>
    <w:p>
      <w:pPr>
        <w:spacing w:after="0" w:line="181" w:lineRule="exact"/>
        <w:rPr>
          <w:rFonts w:ascii="Arial" w:cs="Arial" w:eastAsia="Arial" w:hAnsi="Arial"/>
          <w:sz w:val="18"/>
          <w:szCs w:val="18"/>
          <w:color w:val="auto"/>
        </w:rPr>
      </w:pPr>
    </w:p>
    <w:p>
      <w:pPr>
        <w:ind w:left="340" w:right="40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are disclosed in Note 9 - Share Based Payments in our Notes to Consolidated Financial Statements contained in our Form 10-K for the year ended December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Independent directors receive an annual grant of stock options of 10,000 shares of common stock, of which one-third vests on the first anniversary of the date of grant, and the remaining vest in equal monthly increments over the subsequent 24-month period. All directors are reimbursed by us for their out-of-pocket travel and related expenses incurred in attending all Board of Directors and committee meetings.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PAY RATIO DISCLOSURE</w:t>
      </w:r>
    </w:p>
    <w:p>
      <w:pPr>
        <w:spacing w:after="0" w:line="229" w:lineRule="exact"/>
        <w:rPr>
          <w:sz w:val="20"/>
          <w:szCs w:val="20"/>
          <w:color w:val="auto"/>
        </w:rPr>
      </w:pPr>
    </w:p>
    <w:p>
      <w:pPr>
        <w:ind w:left="140" w:right="140" w:firstLine="648"/>
        <w:spacing w:after="0" w:line="218" w:lineRule="exact"/>
        <w:rPr>
          <w:sz w:val="20"/>
          <w:szCs w:val="20"/>
          <w:color w:val="auto"/>
        </w:rPr>
      </w:pPr>
      <w:r>
        <w:rPr>
          <w:rFonts w:ascii="Arial" w:cs="Arial" w:eastAsia="Arial" w:hAnsi="Arial"/>
          <w:sz w:val="17"/>
          <w:szCs w:val="17"/>
          <w:color w:val="auto"/>
        </w:rPr>
        <w:t>Section 953(b) of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of 2010 (the “Dodd-Frank Act”) and Item 402(u) of Regulation S-K promulgated by the SEC thereunder requires the Company to disclose the median of the annual total compensation of all employees, excluding the chief executive officer, and the ratio of the median of the annual total compensation of all employees to the annual total compensation of the chief executive officer. We identified the median employee using our employee population on December 31, 2017 and based on each employee’s total compensation, using the same elements of compensation reportable in the Summary Compensation Table for Named Executive Officers as the “consistently applied compensation measure” under Item 402(u) of Regulation S-K. We did not perform adjustments to the compensation paid to part-time employees to calculate what they would have been paid on a full-time basis. We did not make any assumptions, adjustments, or estimates other than annualizing the compensation for any permanent (full-time or part-time) employees that were not employed by us for all of 2017. We then calculated the 2017 total compensation for the median employee using the same methodology used to identify such employee. Employee pay rates in foreign currencies were converted to U.S. Dollars using exchange rates available on December 31, 2017.</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total compensation of our median employees in 2017, other than Ms. Hakimoglu, as calculated using Summary Compesnation Table requirements, was $79,593. As noted above, Ms. Hakimoglu’s total annual compensation in 2017 was $524,895 as reported in the Summary Compensation Table and the ratio of the chief executive officer's total compensation for 2017 to the total compensation for the median employee was 7:1.</w:t>
      </w:r>
    </w:p>
    <w:p>
      <w:pPr>
        <w:spacing w:after="0" w:line="14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8"/>
          <w:szCs w:val="18"/>
          <w:color w:val="auto"/>
        </w:rPr>
        <w:t>The following table sets forth certain information regarding ownership of our common stock as of April 27, 2018,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Shares Beneficially Owned</w:t>
            </w:r>
          </w:p>
        </w:tc>
        <w:tc>
          <w:tcPr>
            <w:tcW w:w="20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Shares that could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Currently</w:t>
            </w:r>
          </w:p>
        </w:tc>
        <w:tc>
          <w:tcPr>
            <w:tcW w:w="28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Currently</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Owned</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be acquired within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420" w:type="dxa"/>
            <w:vAlign w:val="bottom"/>
            <w:gridSpan w:val="3"/>
            <w:vMerge w:val="restart"/>
          </w:tcPr>
          <w:p>
            <w:pPr>
              <w:ind w:left="600"/>
              <w:spacing w:after="0"/>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30"/>
                <w:szCs w:val="30"/>
                <w:b w:val="1"/>
                <w:bCs w:val="1"/>
                <w:color w:val="auto"/>
                <w:vertAlign w:val="superscript"/>
              </w:rPr>
              <w:t>(1)</w:t>
            </w:r>
          </w:p>
        </w:tc>
        <w:tc>
          <w:tcPr>
            <w:tcW w:w="120" w:type="dxa"/>
            <w:vAlign w:val="bottom"/>
            <w:vMerge w:val="restart"/>
          </w:tcPr>
          <w:p>
            <w:pPr>
              <w:spacing w:after="0"/>
              <w:rPr>
                <w:sz w:val="24"/>
                <w:szCs w:val="24"/>
                <w:color w:val="auto"/>
              </w:rPr>
            </w:pPr>
          </w:p>
        </w:tc>
        <w:tc>
          <w:tcPr>
            <w:tcW w:w="1460" w:type="dxa"/>
            <w:vAlign w:val="bottom"/>
            <w:gridSpan w:val="2"/>
          </w:tcPr>
          <w:p>
            <w:pPr>
              <w:jc w:val="center"/>
              <w:ind w:right="220"/>
              <w:spacing w:after="0" w:line="297" w:lineRule="exact"/>
              <w:rPr>
                <w:sz w:val="20"/>
                <w:szCs w:val="20"/>
                <w:color w:val="auto"/>
              </w:rPr>
            </w:pPr>
            <w:r>
              <w:rPr>
                <w:rFonts w:ascii="Arial" w:cs="Arial" w:eastAsia="Arial" w:hAnsi="Arial"/>
                <w:sz w:val="18"/>
                <w:szCs w:val="18"/>
                <w:b w:val="1"/>
                <w:bCs w:val="1"/>
                <w:color w:val="auto"/>
                <w:w w:val="84"/>
              </w:rPr>
              <w:t xml:space="preserve">Owned </w:t>
            </w:r>
            <w:r>
              <w:rPr>
                <w:rFonts w:ascii="Arial" w:cs="Arial" w:eastAsia="Arial" w:hAnsi="Arial"/>
                <w:sz w:val="30"/>
                <w:szCs w:val="30"/>
                <w:b w:val="1"/>
                <w:bCs w:val="1"/>
                <w:color w:val="auto"/>
                <w:w w:val="84"/>
                <w:vertAlign w:val="superscript"/>
              </w:rPr>
              <w:t>(2)</w:t>
            </w:r>
          </w:p>
        </w:tc>
        <w:tc>
          <w:tcPr>
            <w:tcW w:w="1520" w:type="dxa"/>
            <w:vAlign w:val="bottom"/>
            <w:gridSpan w:val="2"/>
          </w:tcPr>
          <w:p>
            <w:pPr>
              <w:jc w:val="center"/>
              <w:ind w:right="280"/>
              <w:spacing w:after="0" w:line="297" w:lineRule="exact"/>
              <w:rPr>
                <w:sz w:val="20"/>
                <w:szCs w:val="20"/>
                <w:color w:val="auto"/>
              </w:rPr>
            </w:pPr>
            <w:r>
              <w:rPr>
                <w:rFonts w:ascii="Arial" w:cs="Arial" w:eastAsia="Arial" w:hAnsi="Arial"/>
                <w:sz w:val="18"/>
                <w:szCs w:val="18"/>
                <w:b w:val="1"/>
                <w:bCs w:val="1"/>
                <w:color w:val="auto"/>
                <w:w w:val="83"/>
              </w:rPr>
              <w:t xml:space="preserve">Percent </w:t>
            </w:r>
            <w:r>
              <w:rPr>
                <w:rFonts w:ascii="Arial" w:cs="Arial" w:eastAsia="Arial" w:hAnsi="Arial"/>
                <w:sz w:val="30"/>
                <w:szCs w:val="30"/>
                <w:b w:val="1"/>
                <w:bCs w:val="1"/>
                <w:color w:val="auto"/>
                <w:w w:val="83"/>
                <w:vertAlign w:val="superscript"/>
              </w:rPr>
              <w:t>(2)</w:t>
            </w:r>
          </w:p>
        </w:tc>
        <w:tc>
          <w:tcPr>
            <w:tcW w:w="2020" w:type="dxa"/>
            <w:vAlign w:val="bottom"/>
            <w:gridSpan w:val="2"/>
          </w:tcPr>
          <w:p>
            <w:pPr>
              <w:jc w:val="center"/>
              <w:ind w:right="220"/>
              <w:spacing w:after="0" w:line="297" w:lineRule="exact"/>
              <w:rPr>
                <w:sz w:val="20"/>
                <w:szCs w:val="20"/>
                <w:color w:val="auto"/>
              </w:rPr>
            </w:pPr>
            <w:r>
              <w:rPr>
                <w:rFonts w:ascii="Arial" w:cs="Arial" w:eastAsia="Arial" w:hAnsi="Arial"/>
                <w:sz w:val="18"/>
                <w:szCs w:val="18"/>
                <w:b w:val="1"/>
                <w:bCs w:val="1"/>
                <w:color w:val="auto"/>
                <w:w w:val="83"/>
              </w:rPr>
              <w:t xml:space="preserve">60 days </w:t>
            </w:r>
            <w:r>
              <w:rPr>
                <w:rFonts w:ascii="Arial" w:cs="Arial" w:eastAsia="Arial" w:hAnsi="Arial"/>
                <w:sz w:val="30"/>
                <w:szCs w:val="30"/>
                <w:b w:val="1"/>
                <w:bCs w:val="1"/>
                <w:color w:val="auto"/>
                <w:w w:val="83"/>
                <w:vertAlign w:val="superscript"/>
              </w:rPr>
              <w:t>(2)</w:t>
            </w:r>
          </w:p>
        </w:tc>
        <w:tc>
          <w:tcPr>
            <w:tcW w:w="1460" w:type="dxa"/>
            <w:vAlign w:val="bottom"/>
            <w:gridSpan w:val="2"/>
          </w:tcPr>
          <w:p>
            <w:pPr>
              <w:ind w:left="320"/>
              <w:spacing w:after="0" w:line="297"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30"/>
                <w:szCs w:val="30"/>
                <w:b w:val="1"/>
                <w:bCs w:val="1"/>
                <w:color w:val="auto"/>
                <w:vertAlign w:val="superscript"/>
              </w:rPr>
              <w:t>(2)</w:t>
            </w:r>
          </w:p>
        </w:tc>
        <w:tc>
          <w:tcPr>
            <w:tcW w:w="1400" w:type="dxa"/>
            <w:vAlign w:val="bottom"/>
            <w:gridSpan w:val="2"/>
          </w:tcPr>
          <w:p>
            <w:pPr>
              <w:jc w:val="center"/>
              <w:ind w:right="160"/>
              <w:spacing w:after="0" w:line="297" w:lineRule="exact"/>
              <w:rPr>
                <w:sz w:val="20"/>
                <w:szCs w:val="20"/>
                <w:color w:val="auto"/>
              </w:rPr>
            </w:pPr>
            <w:r>
              <w:rPr>
                <w:rFonts w:ascii="Arial" w:cs="Arial" w:eastAsia="Arial" w:hAnsi="Arial"/>
                <w:sz w:val="18"/>
                <w:szCs w:val="18"/>
                <w:b w:val="1"/>
                <w:bCs w:val="1"/>
                <w:color w:val="auto"/>
                <w:w w:val="83"/>
              </w:rPr>
              <w:t xml:space="preserve">Percent </w:t>
            </w:r>
            <w:r>
              <w:rPr>
                <w:rFonts w:ascii="Arial" w:cs="Arial" w:eastAsia="Arial" w:hAnsi="Arial"/>
                <w:sz w:val="30"/>
                <w:szCs w:val="30"/>
                <w:b w:val="1"/>
                <w:bCs w:val="1"/>
                <w:color w:val="auto"/>
                <w:w w:val="83"/>
                <w:vertAlign w:val="superscript"/>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Borders>
              <w:bottom w:val="single" w:sz="8" w:color="auto"/>
            </w:tcBorders>
            <w:gridSpan w:val="3"/>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(D)</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Directors and Executive Officers:</w:t>
            </w:r>
          </w:p>
        </w:tc>
        <w:tc>
          <w:tcPr>
            <w:tcW w:w="980" w:type="dxa"/>
            <w:vAlign w:val="bottom"/>
            <w:tcBorders>
              <w:bottom w:val="single" w:sz="8" w:color="CCEEFF"/>
            </w:tcBorders>
            <w:gridSpan w:val="2"/>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Zeynep Hakimoglu</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246,607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194,212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440,819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Brad R. Baldwin </w:t>
            </w:r>
            <w:r>
              <w:rPr>
                <w:rFonts w:ascii="Arial" w:cs="Arial" w:eastAsia="Arial" w:hAnsi="Arial"/>
                <w:sz w:val="29"/>
                <w:szCs w:val="29"/>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113,853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158,297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Larry R. Hendricks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16,313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69,444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85,757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Eric L. Robinson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17,379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Narsi Narayanan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4,963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121,665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126,628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(Directors and Officers)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381,801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447,079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828,880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Borders>
              <w:top w:val="single" w:sz="8" w:color="CCEEFF"/>
            </w:tcBorders>
            <w:gridSpan w:val="4"/>
          </w:tcPr>
          <w:p>
            <w:pPr>
              <w:spacing w:after="0" w:line="170" w:lineRule="exact"/>
              <w:rPr>
                <w:sz w:val="20"/>
                <w:szCs w:val="20"/>
                <w:color w:val="auto"/>
              </w:rPr>
            </w:pPr>
            <w:r>
              <w:rPr>
                <w:rFonts w:ascii="Arial" w:cs="Arial" w:eastAsia="Arial" w:hAnsi="Arial"/>
                <w:sz w:val="18"/>
                <w:szCs w:val="18"/>
                <w:b w:val="1"/>
                <w:bCs w:val="1"/>
                <w:color w:val="auto"/>
              </w:rPr>
              <w:t>5% Shareholders:</w:t>
            </w: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4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Edward D. Bagley </w:t>
            </w:r>
            <w:r>
              <w:rPr>
                <w:rFonts w:ascii="Arial" w:cs="Arial" w:eastAsia="Arial" w:hAnsi="Arial"/>
                <w:sz w:val="29"/>
                <w:szCs w:val="29"/>
                <w:color w:val="auto"/>
                <w:vertAlign w:val="superscript"/>
              </w:rPr>
              <w:t>(4)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2,623,997</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31.61%</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2,641,311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 xml:space="preserve">E. Bryan Bagley </w:t>
            </w:r>
            <w:r>
              <w:rPr>
                <w:rFonts w:ascii="Arial" w:cs="Arial" w:eastAsia="Arial" w:hAnsi="Arial"/>
                <w:sz w:val="30"/>
                <w:szCs w:val="30"/>
                <w:color w:val="auto"/>
                <w:vertAlign w:val="superscript"/>
              </w:rPr>
              <w:t>(5)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642,859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7.74%</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642,859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140" w:hanging="332"/>
        <w:spacing w:after="0" w:line="286"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65" w:lineRule="exact"/>
        <w:rPr>
          <w:rFonts w:ascii="Arial" w:cs="Arial" w:eastAsia="Arial" w:hAnsi="Arial"/>
          <w:sz w:val="17"/>
          <w:szCs w:val="17"/>
          <w:color w:val="auto"/>
        </w:rPr>
      </w:pPr>
    </w:p>
    <w:p>
      <w:pPr>
        <w:ind w:left="340" w:right="8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8,301,473 shares of common stock outstanding on April 27, 2017. The numbers shown in Column (D) and percentages shown in Column (E) include the shares of common stock actually owned as of April 27, 2017 and the shares of common stock that the identified person or group had the right to acquire within 60 days of such date. In calculating the percentage of ownership, all shares of common stock that each identified person or group had the right to acquire within 60 days of April 27, 2017 upon the exercise of options shown in Column (C) are deemed to be outstanding for the purpose of computing the percentage of the shares of common stock owned by the persons or groups listed above.</w:t>
      </w:r>
    </w:p>
    <w:p>
      <w:pPr>
        <w:spacing w:after="0" w:line="193"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75,329 shares held in the Baldwin Family Trust; (ii) 26,947 owned jointly with his spouse; and (iii) 11,577 shares owned directly, of which 11,000 are held in an IRA under the name of Mr. Baldwin.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340" w:right="20" w:hanging="332"/>
        <w:spacing w:after="0" w:line="270"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Bagley may be deemed to own an additional 800,000 shares of common stock that are deemed to be owned by his wife, Carolyn Bagley, as a result of her acting as one of four co-trustees of a trust. Mr. Bagley may be deemed to own an additional 126,166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2,641,311 shares (including the shares that may be acquired pursuant to the exercise of stock options) and shared voting and dispositive power over the 126,166 shares held by Mr. Edward D. Bagley’s spouse. This information is based upon Schedules 13D/A and Forms 4, as filed by Mr. Edward D. Bagley with the SEC in 2017. E. Bryan Bagley, who resigned as Director effective November 6, 2012 is the son of Edward D. Bagley, and each of them has previously disclaimed beneficial ownership of common stock beneficially owned by the other. The amounts indicated for Mr. Edward D. Bagley do not include any shares held by E. Bryan Bagley. All shares indicated as beneficially owned by Edward D. Bagley are subject to application of the Utah Control Shares Acquisition Act.</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information is based upon the Form 4 filed with the SEC as of November 13, 2017.</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Please refer to the section titled "Securities Authorized for Issuance under Equity Compensation Plans" contained in Item 5 in the Original Form 10-K for details regarding our compensation plans under which our equity securities are authorized for issuance.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Related Party Transactions Policy on January 18, 2017. This policy is available in our website at http://investors.clearone.com/governance.cfm.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Consulting Agreement with Edward D. Bagley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3, 2015, ClearOne, Inc. (“ClearOne”) entered into a Consulting Agreement with Edward D. Bagley, former Chairman of the Board and greater than 10% shareholder (“Consulting Agreement”) which shall become effective as of July 29, 2015 for a term of three years. Pursuant to the terms of the Consulting Agreement Mr. Bagley will be paid a fee of $5,000 per month and is eligible to participate in our equity incentive programs and will be granted stock options commensurate with grants of stock options made to our directors. During 2016, he was paid $60,000 as consulting fees and was awarded 10,000 options at an exercise price of $11.26. He also received ClearOne stock awarded under a dividend equivalents plan offered to all ClearOne stock optionees including directors and officers. Under this plan, dividend equivalents were calculated at $0.10, $0.035, $0.035, $0.035 and $0.05, for each stock option outstanding in the quarters of 2014-Q4, 2015-Q1, 2015-Q2,2015-Q3, and 2015-Q4, respectively and equivalent value of ClearOne stock awarded. The value of ClearOne stock received by Mr. Bagley in 2016 was $779. During 2017, he was paid $60,000 as consulting fees and was awarded 10,000 option at an exercise price of $9.90.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Robinson are independent directors, in accordance with the definition of “independence” under the listing standards of NASDAQ, because they have no relationship with us that would interfere with their exercise of independent judgment.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2017 and 2016, we retained our principal accountants, Tanner LLC to provide services in the following categories and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50"/>
        </w:trPr>
        <w:tc>
          <w:tcPr>
            <w:tcW w:w="35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31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327,432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299,000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Audit-related Fees</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2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43,000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All other fees</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3"/>
        </w:trPr>
        <w:tc>
          <w:tcPr>
            <w:tcW w:w="3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CCEEFF"/>
          </w:tcPr>
          <w:p>
            <w:pPr>
              <w:jc w:val="right"/>
              <w:ind w:right="790"/>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86"/>
              </w:rPr>
              <w:t>372,532</w:t>
            </w:r>
          </w:p>
        </w:tc>
        <w:tc>
          <w:tcPr>
            <w:tcW w:w="1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342,000</w:t>
            </w:r>
          </w:p>
        </w:tc>
      </w:tr>
      <w:tr>
        <w:trPr>
          <w:trHeight w:val="20"/>
        </w:trPr>
        <w:tc>
          <w:tcPr>
            <w:tcW w:w="354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tcBorders>
              <w:right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00" w:right="60" w:hanging="392"/>
        <w:spacing w:after="0" w:line="277" w:lineRule="auto"/>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2017,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 The following exhibits are filed as part of this Amendment No. 1 to Annual Report on Form 10-K/A.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420" w:type="dxa"/>
            <w:vAlign w:val="bottom"/>
          </w:tcPr>
          <w:p>
            <w:pPr>
              <w:spacing w:after="0"/>
              <w:rPr>
                <w:sz w:val="20"/>
                <w:szCs w:val="20"/>
                <w:color w:val="auto"/>
              </w:rPr>
            </w:pPr>
          </w:p>
        </w:tc>
        <w:tc>
          <w:tcPr>
            <w:tcW w:w="9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1580" w:type="dxa"/>
            <w:vAlign w:val="bottom"/>
          </w:tcPr>
          <w:p>
            <w:pPr>
              <w:spacing w:after="0" w:line="170" w:lineRule="exact"/>
              <w:rPr>
                <w:sz w:val="20"/>
                <w:szCs w:val="20"/>
                <w:color w:val="auto"/>
              </w:rPr>
            </w:pPr>
            <w:r>
              <w:rPr>
                <w:rFonts w:ascii="Arial" w:cs="Arial" w:eastAsia="Arial" w:hAnsi="Arial"/>
                <w:sz w:val="18"/>
                <w:szCs w:val="18"/>
                <w:color w:val="auto"/>
              </w:rPr>
              <w:t>31.1</w:t>
            </w:r>
          </w:p>
        </w:tc>
        <w:tc>
          <w:tcPr>
            <w:tcW w:w="420" w:type="dxa"/>
            <w:vAlign w:val="bottom"/>
          </w:tcPr>
          <w:p>
            <w:pPr>
              <w:spacing w:after="0"/>
              <w:rPr>
                <w:sz w:val="14"/>
                <w:szCs w:val="14"/>
                <w:color w:val="auto"/>
              </w:rPr>
            </w:pPr>
          </w:p>
        </w:tc>
        <w:tc>
          <w:tcPr>
            <w:tcW w:w="880" w:type="dxa"/>
            <w:vAlign w:val="bottom"/>
          </w:tcPr>
          <w:p>
            <w:pPr>
              <w:spacing w:after="0" w:line="170"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Section 302</w:t>
              </w:r>
            </w:hyperlink>
          </w:p>
        </w:tc>
        <w:tc>
          <w:tcPr>
            <w:tcW w:w="8540" w:type="dxa"/>
            <w:vAlign w:val="bottom"/>
            <w:gridSpan w:val="3"/>
          </w:tcPr>
          <w:p>
            <w:pPr>
              <w:ind w:left="20"/>
              <w:spacing w:after="0" w:line="170" w:lineRule="exact"/>
              <w:rPr>
                <w:rFonts w:ascii="Arial" w:cs="Arial" w:eastAsia="Arial" w:hAnsi="Arial"/>
                <w:sz w:val="18"/>
                <w:szCs w:val="18"/>
                <w:color w:val="0000EE"/>
              </w:rPr>
            </w:pPr>
            <w:hyperlink w:anchor="page23">
              <w:r>
                <w:rPr>
                  <w:rFonts w:ascii="Arial" w:cs="Arial" w:eastAsia="Arial" w:hAnsi="Arial"/>
                  <w:sz w:val="18"/>
                  <w:szCs w:val="18"/>
                  <w:color w:val="0000EE"/>
                </w:rPr>
                <w:t>Certification of Chief Executive Officer</w:t>
              </w:r>
            </w:hyperlink>
          </w:p>
        </w:tc>
      </w:tr>
      <w:tr>
        <w:trPr>
          <w:trHeight w:val="196"/>
        </w:trPr>
        <w:tc>
          <w:tcPr>
            <w:tcW w:w="15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2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Section 302</w:t>
              </w:r>
            </w:hyperlink>
          </w:p>
        </w:tc>
        <w:tc>
          <w:tcPr>
            <w:tcW w:w="284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Certification of Chief Financial Officer</w:t>
              </w:r>
            </w:hyperlink>
          </w:p>
        </w:tc>
        <w:tc>
          <w:tcPr>
            <w:tcW w:w="40" w:type="dxa"/>
            <w:vAlign w:val="bottom"/>
            <w:tcBorders>
              <w:top w:val="single" w:sz="8" w:color="0000EE"/>
            </w:tcBorders>
          </w:tcPr>
          <w:p>
            <w:pPr>
              <w:spacing w:after="0"/>
              <w:rPr>
                <w:sz w:val="17"/>
                <w:szCs w:val="17"/>
                <w:color w:val="auto"/>
              </w:rPr>
            </w:pPr>
          </w:p>
        </w:tc>
        <w:tc>
          <w:tcPr>
            <w:tcW w:w="5660" w:type="dxa"/>
            <w:vAlign w:val="bottom"/>
          </w:tcPr>
          <w:p>
            <w:pPr>
              <w:spacing w:after="0"/>
              <w:rPr>
                <w:sz w:val="17"/>
                <w:szCs w:val="17"/>
                <w:color w:val="auto"/>
              </w:rPr>
            </w:pPr>
          </w:p>
        </w:tc>
      </w:tr>
      <w:tr>
        <w:trPr>
          <w:trHeight w:val="669"/>
        </w:trPr>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540" w:type="dxa"/>
            <w:vAlign w:val="bottom"/>
            <w:gridSpan w:val="3"/>
          </w:tcPr>
          <w:p>
            <w:pPr>
              <w:jc w:val="right"/>
              <w:ind w:right="5620"/>
              <w:spacing w:after="0"/>
              <w:rPr>
                <w:sz w:val="20"/>
                <w:szCs w:val="20"/>
                <w:color w:val="auto"/>
              </w:rPr>
            </w:pPr>
            <w:r>
              <w:rPr>
                <w:rFonts w:ascii="Arial" w:cs="Arial" w:eastAsia="Arial" w:hAnsi="Arial"/>
                <w:sz w:val="18"/>
                <w:szCs w:val="18"/>
                <w:color w:val="auto"/>
              </w:rPr>
              <w:t>17</w:t>
            </w:r>
          </w:p>
        </w:tc>
      </w:tr>
      <w:tr>
        <w:trPr>
          <w:trHeight w:val="115"/>
        </w:trPr>
        <w:tc>
          <w:tcPr>
            <w:tcW w:w="15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No. 1 to Annual Report on Form 10-K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62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2018</w:t>
      </w:r>
    </w:p>
    <w:p>
      <w:pPr>
        <w:sectPr>
          <w:pgSz w:w="11900" w:h="16838" w:orient="portrait"/>
          <w:cols w:equalWidth="0" w:num="1">
            <w:col w:w="11240"/>
          </w:cols>
          <w:pgMar w:left="240" w:top="118" w:right="4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860" w:hanging="21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of ClearOne, Inc. on Form 10-K/A;</w:t>
      </w:r>
    </w:p>
    <w:p>
      <w:pPr>
        <w:spacing w:after="0" w:line="225" w:lineRule="exact"/>
        <w:rPr>
          <w:rFonts w:ascii="Arial" w:cs="Arial" w:eastAsia="Arial" w:hAnsi="Arial"/>
          <w:sz w:val="18"/>
          <w:szCs w:val="18"/>
          <w:color w:val="auto"/>
        </w:rPr>
      </w:pPr>
    </w:p>
    <w:p>
      <w:pPr>
        <w:ind w:right="200" w:firstLine="642"/>
        <w:spacing w:after="0" w:line="264" w:lineRule="auto"/>
        <w:tabs>
          <w:tab w:leader="none" w:pos="8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180" w:firstLine="642"/>
        <w:spacing w:after="0" w:line="308" w:lineRule="auto"/>
        <w:tabs>
          <w:tab w:leader="none" w:pos="8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40" w:firstLine="642"/>
        <w:spacing w:after="0" w:line="264" w:lineRule="auto"/>
        <w:tabs>
          <w:tab w:leader="none" w:pos="8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80" w:right="300" w:firstLine="966"/>
        <w:spacing w:after="0" w:line="256" w:lineRule="auto"/>
        <w:tabs>
          <w:tab w:leader="none" w:pos="1382"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80" w:right="300" w:firstLine="966"/>
        <w:spacing w:after="0" w:line="250" w:lineRule="auto"/>
        <w:tabs>
          <w:tab w:leader="none" w:pos="1392"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80" w:right="200" w:firstLine="966"/>
        <w:spacing w:after="0" w:line="281" w:lineRule="auto"/>
        <w:tabs>
          <w:tab w:leader="none" w:pos="1382" w:val="left"/>
        </w:tabs>
        <w:numPr>
          <w:ilvl w:val="2"/>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80" w:right="160" w:firstLine="966"/>
        <w:spacing w:after="0" w:line="255" w:lineRule="auto"/>
        <w:tabs>
          <w:tab w:leader="none" w:pos="1392" w:val="left"/>
        </w:tabs>
        <w:numPr>
          <w:ilvl w:val="2"/>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0" w:lineRule="exact"/>
        <w:rPr>
          <w:rFonts w:ascii="Arial" w:cs="Arial" w:eastAsia="Arial" w:hAnsi="Arial"/>
          <w:sz w:val="18"/>
          <w:szCs w:val="18"/>
          <w:color w:val="auto"/>
        </w:rPr>
      </w:pPr>
    </w:p>
    <w:p>
      <w:pPr>
        <w:ind w:right="280" w:firstLine="642"/>
        <w:spacing w:after="0" w:line="291" w:lineRule="auto"/>
        <w:tabs>
          <w:tab w:leader="none" w:pos="8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600" w:firstLine="966"/>
        <w:spacing w:after="0" w:line="265" w:lineRule="auto"/>
        <w:tabs>
          <w:tab w:leader="none" w:pos="1202"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280" w:firstLine="966"/>
        <w:spacing w:after="0" w:line="261" w:lineRule="auto"/>
        <w:tabs>
          <w:tab w:leader="none" w:pos="12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April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Zeynep Hakimoglu</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3">
            <w:col w:w="4400" w:space="720"/>
            <w:col w:w="260" w:space="380"/>
            <w:col w:w="5520"/>
          </w:cols>
          <w:pgMar w:left="380" w:top="121"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of ClearOne, Inc. on Form 10-K/A;</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656"/>
        <w:spacing w:after="0" w:line="256" w:lineRule="auto"/>
        <w:tabs>
          <w:tab w:leader="none" w:pos="8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180" w:firstLine="980"/>
        <w:spacing w:after="0" w:line="250" w:lineRule="auto"/>
        <w:tabs>
          <w:tab w:leader="none" w:pos="120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right="20" w:firstLine="980"/>
        <w:spacing w:after="0" w:line="250" w:lineRule="auto"/>
        <w:tabs>
          <w:tab w:leader="none" w:pos="12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right="500" w:firstLine="980"/>
        <w:spacing w:after="0" w:line="281" w:lineRule="auto"/>
        <w:tabs>
          <w:tab w:leader="none" w:pos="1202"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420" w:firstLine="980"/>
        <w:spacing w:after="0" w:line="255" w:lineRule="auto"/>
        <w:tabs>
          <w:tab w:leader="none" w:pos="12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0" w:lineRule="exact"/>
        <w:rPr>
          <w:rFonts w:ascii="Arial" w:cs="Arial" w:eastAsia="Arial" w:hAnsi="Arial"/>
          <w:sz w:val="18"/>
          <w:szCs w:val="18"/>
          <w:color w:val="auto"/>
        </w:rPr>
      </w:pPr>
    </w:p>
    <w:p>
      <w:pPr>
        <w:ind w:right="220" w:firstLine="656"/>
        <w:spacing w:after="0" w:line="274" w:lineRule="auto"/>
        <w:tabs>
          <w:tab w:leader="none" w:pos="87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720" w:firstLine="980"/>
        <w:spacing w:after="0" w:line="265" w:lineRule="auto"/>
        <w:tabs>
          <w:tab w:leader="none" w:pos="1202"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400" w:firstLine="980"/>
        <w:spacing w:after="0" w:line="261" w:lineRule="auto"/>
        <w:tabs>
          <w:tab w:leader="none" w:pos="121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April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of Finance</w:t>
      </w:r>
    </w:p>
    <w:sectPr>
      <w:pgSz w:w="11900" w:h="16838" w:orient="portrait"/>
      <w:cols w:equalWidth="0" w:num="3">
        <w:col w:w="4540" w:space="720"/>
        <w:col w:w="260" w:space="380"/>
        <w:col w:w="55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4"/>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2019-12-28T22:57:18Z</dcterms:created>
  <dcterms:modified xsi:type="dcterms:W3CDTF">2019-12-28T22:57:18Z</dcterms:modified>
</cp:coreProperties>
</file>