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15, 2024 (November 14, 2024)</w:t>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7"/>
        </w:trPr>
        <w:tc>
          <w:tcPr>
            <w:tcW w:w="4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45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36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40"/>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7"/>
        </w:trPr>
        <w:tc>
          <w:tcPr>
            <w:tcW w:w="494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45"/>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1"/>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4"/>
                <w:szCs w:val="24"/>
                <w:color w:val="auto"/>
              </w:rPr>
            </w:pP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66"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640" w:type="dxa"/>
            <w:vAlign w:val="bottom"/>
          </w:tcPr>
          <w:p>
            <w:pPr>
              <w:spacing w:after="0"/>
              <w:rPr>
                <w:sz w:val="18"/>
                <w:szCs w:val="18"/>
                <w:color w:val="auto"/>
              </w:rPr>
            </w:pPr>
          </w:p>
        </w:tc>
        <w:tc>
          <w:tcPr>
            <w:tcW w:w="21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316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color w:val="auto"/>
              </w:rPr>
              <w:t>Common Stock, $0.001</w:t>
            </w:r>
          </w:p>
        </w:tc>
        <w:tc>
          <w:tcPr>
            <w:tcW w:w="21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CLRO</w:t>
            </w:r>
          </w:p>
        </w:tc>
        <w:tc>
          <w:tcPr>
            <w:tcW w:w="7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200" w:lineRule="exact"/>
        <w:rPr>
          <w:sz w:val="24"/>
          <w:szCs w:val="24"/>
          <w:color w:val="auto"/>
        </w:rPr>
      </w:pPr>
    </w:p>
    <w:p>
      <w:pPr>
        <w:spacing w:after="0" w:line="268" w:lineRule="exact"/>
        <w:rPr>
          <w:sz w:val="24"/>
          <w:szCs w:val="24"/>
          <w:color w:val="auto"/>
        </w:rPr>
      </w:pPr>
    </w:p>
    <w:p>
      <w:pPr>
        <w:ind w:right="20"/>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279" w:lineRule="exact"/>
        <w:rPr>
          <w:sz w:val="24"/>
          <w:szCs w:val="24"/>
          <w:color w:val="auto"/>
        </w:rPr>
      </w:pPr>
    </w:p>
    <w:p>
      <w:pPr>
        <w:spacing w:after="0" w:line="26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November 15, 2024 ClearOne, Inc. (the “Company”) issued a press release announcing its financial results for the three and nine months ended September 30, 2024. The full text of the press release is attached as Exhibit 99.1.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auto"/>
            </w:tcBorders>
            <w:gridSpan w:val="2"/>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22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of ClearOne, Inc. dated November 15, 2024.</w:t>
            </w:r>
          </w:p>
        </w:tc>
        <w:tc>
          <w:tcPr>
            <w:tcW w:w="4900" w:type="dxa"/>
            <w:vAlign w:val="bottom"/>
          </w:tcPr>
          <w:p>
            <w:pPr>
              <w:spacing w:after="0"/>
              <w:rPr>
                <w:sz w:val="14"/>
                <w:szCs w:val="14"/>
                <w:color w:val="auto"/>
              </w:rPr>
            </w:pPr>
          </w:p>
        </w:tc>
      </w:tr>
      <w:tr>
        <w:trPr>
          <w:trHeight w:val="23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216"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6"/>
          <w:szCs w:val="16"/>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2024</w:t>
            </w:r>
          </w:p>
        </w:tc>
        <w:tc>
          <w:tcPr>
            <w:tcW w:w="8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Simon Brewer</w:t>
            </w:r>
          </w:p>
        </w:tc>
      </w:tr>
      <w:tr>
        <w:trPr>
          <w:trHeight w:val="211"/>
        </w:trPr>
        <w:tc>
          <w:tcPr>
            <w:tcW w:w="3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Simon Brewer</w:t>
            </w:r>
          </w:p>
        </w:tc>
      </w:tr>
    </w:tbl>
    <w:p>
      <w:pPr>
        <w:ind w:left="5000"/>
        <w:spacing w:after="0"/>
        <w:rPr>
          <w:sz w:val="20"/>
          <w:szCs w:val="20"/>
          <w:color w:val="auto"/>
        </w:rPr>
      </w:pPr>
      <w:r>
        <w:rPr>
          <w:rFonts w:ascii="Times New Roman" w:cs="Times New Roman" w:eastAsia="Times New Roman" w:hAnsi="Times New Roman"/>
          <w:sz w:val="18"/>
          <w:szCs w:val="18"/>
          <w:color w:val="auto"/>
        </w:rPr>
        <w:t>Chief Financial Officer (Principal Accounting and Principal Financial Officer)</w:t>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Inc. Reports Third Quarter 2024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-Sequential Revenue increase points to recovery from prior year impacts-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-Sequential and Year-over-Year OpEx Reductions Reflect Continued Benefits of Cost Optimization Initiatives-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SALT LAKE CITY, UTAH – November 15, 2024 </w:t>
      </w:r>
      <w:r>
        <w:rPr>
          <w:rFonts w:ascii="Times New Roman" w:cs="Times New Roman" w:eastAsia="Times New Roman" w:hAnsi="Times New Roman"/>
          <w:sz w:val="18"/>
          <w:szCs w:val="18"/>
          <w:color w:val="auto"/>
        </w:rPr>
        <w:t>– ClearOne (NASDAQ: CLRO), a global provider of audio and visual communication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financial results for the three-month period ended September 30, 2024.</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decreased 42% year over year, primarily due to a significant decrease in revenues from the audio conferencing category, which includes our DSP mixer products. “We believe this revenue decline was primarily due to the cumulative impact of past production shortages,” said Derek Graham, CEO of ClearOne. “Historically, we have seen a lag of several months between the time that our professional conferencing products are specified for a project and the date when those products are purchased for installation. Since our product availability was constrained through a significant part of Q4 2023, as a result of delays in the transition of outsourced manufacturing from China to Singapore throughout 2023, we believe our revenue was impacted negatively by these market dynamics through much of Q3 2024. Our sales in Q3 2024 were also impacted by our transition to a new distributor in the Middle East. We anticipate, although there can be no assurance that our new Middle East Distributor will continue our previous history of sales growth in the region, but there was an impact to our Net Revenue in Q3 due to the transition. We have also faced sales headwinds from our products’ lack of Microsoft Teams certification, despite their longtime functional compatibility with this platform. Our work through early 2024 has focused on mitigating these impacts through maintaining consistent dialogues, product demonstrations, and feedback cycles with end users and channel partners, along with improving our visibility at key industry events. In addition, we have increased our investments in marketing to increase the visibility of our products to end users looking for ways to improve the quality of audio and video for their meetings. Revenue increased 8.7% sequentially from Q2 2024 to Q3 2024 as the company is beginning to see recovery from prior year impacts."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generated a sequential revenue increase of 8.7% from Q2 2024 to 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reduced operating expenses by 10.1% sequentially and 9.33%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50" w:lineRule="auto"/>
        <w:rPr>
          <w:sz w:val="20"/>
          <w:szCs w:val="20"/>
          <w:color w:val="auto"/>
        </w:rPr>
      </w:pPr>
      <w:r>
        <w:rPr>
          <w:rFonts w:ascii="Times New Roman" w:cs="Times New Roman" w:eastAsia="Times New Roman" w:hAnsi="Times New Roman"/>
          <w:sz w:val="18"/>
          <w:szCs w:val="18"/>
          <w:color w:val="auto"/>
        </w:rPr>
        <w:t>The ClearOne BMA 360 beamforming microphone array was announced as the winner of the Utah Innovation Awards in the Consumer Product Category by Utah Business. Utah Business noted the BMA 360's unique combination of hardware microphone layout, microphone sensor capability and optimization algorithm.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20"/>
        <w:spacing w:after="0" w:line="255" w:lineRule="auto"/>
        <w:rPr>
          <w:sz w:val="20"/>
          <w:szCs w:val="20"/>
          <w:color w:val="auto"/>
        </w:rPr>
      </w:pPr>
      <w:r>
        <w:rPr>
          <w:rFonts w:ascii="Times New Roman" w:cs="Times New Roman" w:eastAsia="Times New Roman" w:hAnsi="Times New Roman"/>
          <w:sz w:val="18"/>
          <w:szCs w:val="18"/>
          <w:color w:val="auto"/>
        </w:rPr>
        <w:t>The DIALOG® UVHF wireless Microphone system was named a winner of the 2024 Communications Solutions products of the year award. We recorded a 31% increase in unique visitors at our 2024 Infocomm India trade show booth, while the overall annual increase of all attendees at that trade show was only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-379730</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-242570</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Graham continued, “Throughout 2024, our team has been diligently working to win back customers who have defected to competing brands. We believe the sequential increase in revenue we saw in Q3 indicates that this work is beginning to bear fruit."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certain non-GAAP financial measures and reconciles those to GAAP measures in the attached tables.</w:t>
      </w:r>
    </w:p>
    <w:p>
      <w:pPr>
        <w:spacing w:after="0" w:line="239" w:lineRule="exact"/>
        <w:rPr>
          <w:sz w:val="20"/>
          <w:szCs w:val="20"/>
          <w:color w:val="auto"/>
        </w:rPr>
      </w:pPr>
    </w:p>
    <w:p>
      <w:pPr>
        <w:jc w:val="both"/>
        <w:ind w:left="460" w:hanging="437"/>
        <w:spacing w:after="0" w:line="258"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2024 revenue was $2.5 million, compared to $4.9 million in Q3 2023 and $2.3 million in Q2 2024. We believe the revenue decrease year over year was mainly due to sustained inventory sourcing and order fulfillment challenges for the Company's core audio conferencing and beam forming microphone arrays as a result of delays in the transition of outsourced manufacturing from China to Singapore throughout 2023. The 8.7% sequential increase was driven by increased demand across all product categories. We believe the flow of sales orders during Q3 2024 increased due to the start of recovery from the cumulative impact of past product shortages.</w:t>
      </w:r>
    </w:p>
    <w:p>
      <w:pPr>
        <w:spacing w:after="0" w:line="169" w:lineRule="exact"/>
        <w:rPr>
          <w:rFonts w:ascii="Times New Roman" w:cs="Times New Roman" w:eastAsia="Times New Roman" w:hAnsi="Times New Roman"/>
          <w:sz w:val="18"/>
          <w:szCs w:val="18"/>
          <w:color w:val="auto"/>
        </w:rPr>
      </w:pPr>
    </w:p>
    <w:p>
      <w:pPr>
        <w:jc w:val="both"/>
        <w:ind w:left="460" w:hanging="437"/>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profit/loss in Q3 2024 was $0.6 million, compared to $1.6 million in Q3 2023 and $(0.02) million in Q2 2024. GAAP gross profit margin was 24% in Q3 2024, compared to (1)% in Q2 2024 and 33% in Q3 2023. The large decrease in gross profit margin year over year occurred due to increased inventory scrap costs, and an increase in purchase price variance from increasing vendor costs.</w:t>
      </w:r>
    </w:p>
    <w:p>
      <w:pPr>
        <w:spacing w:after="0" w:line="162" w:lineRule="exact"/>
        <w:rPr>
          <w:rFonts w:ascii="Times New Roman" w:cs="Times New Roman" w:eastAsia="Times New Roman" w:hAnsi="Times New Roman"/>
          <w:sz w:val="18"/>
          <w:szCs w:val="18"/>
          <w:color w:val="auto"/>
        </w:rPr>
      </w:pPr>
    </w:p>
    <w:p>
      <w:pPr>
        <w:jc w:val="both"/>
        <w:ind w:left="460" w:hanging="437"/>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 Q3 2024 improved to $2.8 million, compared to $3.1 million in Q3 2023 and $2.9 million in Q2 2024. Non-GAAP operating expenses in Q3 2024 improved to $2.7 million compared to $2.8 million in Q2 2024 and $2.9 million in Q3 2023. The sequential and year-over-year decrease in non-GAAP operating expenses was mainly due to the continued benefits of the cost-cutting measures initiated in 2022.</w:t>
      </w:r>
    </w:p>
    <w:p>
      <w:pPr>
        <w:spacing w:after="0" w:line="162" w:lineRule="exact"/>
        <w:rPr>
          <w:rFonts w:ascii="Times New Roman" w:cs="Times New Roman" w:eastAsia="Times New Roman" w:hAnsi="Times New Roman"/>
          <w:sz w:val="18"/>
          <w:szCs w:val="18"/>
          <w:color w:val="auto"/>
        </w:rPr>
      </w:pPr>
    </w:p>
    <w:p>
      <w:pPr>
        <w:jc w:val="both"/>
        <w:ind w:left="460" w:hanging="437"/>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in Q3 2024 was $(2.1) million, or $(0.09) per share, compared to a net loss of $(1.4) million, or $(0.06) per share, in Q3 2023 and a net loss of $(2.8) million, or $(0.12) per share, in Q2 2024. The year-over-year increase in net loss was primarily due to the aforementioned decrease in revenue and gross profit, partially offset by a decrease in operating expenses.</w:t>
      </w:r>
    </w:p>
    <w:p>
      <w:pPr>
        <w:spacing w:after="0" w:line="162" w:lineRule="exact"/>
        <w:rPr>
          <w:rFonts w:ascii="Times New Roman" w:cs="Times New Roman" w:eastAsia="Times New Roman" w:hAnsi="Times New Roman"/>
          <w:sz w:val="18"/>
          <w:szCs w:val="18"/>
          <w:color w:val="auto"/>
        </w:rPr>
      </w:pPr>
    </w:p>
    <w:p>
      <w:pPr>
        <w:jc w:val="both"/>
        <w:ind w:left="460" w:hanging="437"/>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loss in Q3 2024 was $(2.0) million, or $(0.08) per share, compared to a Non-GAAP net loss of $(1.2) million, or $(0.05) per share, in Q3 2023 and a Non-GAAP net loss of $(2.7) million, or $(0.11) per share, in Q2 2024. The year-over-year increase in Non-GAAP net loss was driven by the aforementioned decrease in revenue and gross profit partially offset by a decrease in operating expenses.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in 000, except per</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60" w:type="dxa"/>
            <w:vAlign w:val="bottom"/>
          </w:tcPr>
          <w:p>
            <w:pPr>
              <w:spacing w:after="0"/>
              <w:rPr>
                <w:sz w:val="20"/>
                <w:szCs w:val="20"/>
                <w:color w:val="auto"/>
              </w:rPr>
            </w:pPr>
          </w:p>
        </w:tc>
        <w:tc>
          <w:tcPr>
            <w:tcW w:w="444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44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1"/>
        </w:trPr>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Change in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210"/>
              <w:spacing w:after="0" w:line="201" w:lineRule="exact"/>
              <w:rPr>
                <w:sz w:val="20"/>
                <w:szCs w:val="20"/>
                <w:color w:val="auto"/>
              </w:rPr>
            </w:pPr>
            <w:r>
              <w:rPr>
                <w:rFonts w:ascii="Times New Roman" w:cs="Times New Roman" w:eastAsia="Times New Roman" w:hAnsi="Times New Roman"/>
                <w:sz w:val="18"/>
                <w:szCs w:val="18"/>
                <w:b w:val="1"/>
                <w:bCs w:val="1"/>
                <w:color w:val="auto"/>
              </w:rPr>
              <w:t>Change in %</w:t>
            </w:r>
          </w:p>
        </w:tc>
        <w:tc>
          <w:tcPr>
            <w:tcW w:w="100" w:type="dxa"/>
            <w:vAlign w:val="bottom"/>
          </w:tcPr>
          <w:p>
            <w:pPr>
              <w:spacing w:after="0"/>
              <w:rPr>
                <w:sz w:val="17"/>
                <w:szCs w:val="17"/>
                <w:color w:val="auto"/>
              </w:rPr>
            </w:pPr>
          </w:p>
        </w:tc>
      </w:tr>
      <w:tr>
        <w:trPr>
          <w:trHeight w:val="238"/>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Favorable/(Adverse)</w:t>
            </w:r>
          </w:p>
        </w:tc>
        <w:tc>
          <w:tcPr>
            <w:tcW w:w="2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Favorable/(Adverse)</w:t>
            </w:r>
          </w:p>
        </w:tc>
      </w:tr>
      <w:tr>
        <w:trPr>
          <w:trHeight w:val="209"/>
        </w:trPr>
        <w:tc>
          <w:tcPr>
            <w:tcW w:w="52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7"/>
              </w:rPr>
              <w:t>GAAP</w:t>
            </w:r>
          </w:p>
        </w:tc>
        <w:tc>
          <w:tcPr>
            <w:tcW w:w="150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0"/>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4,889</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8,430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14,550</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2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1,616</w:t>
            </w: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1,743</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4,779</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2,800</w:t>
            </w:r>
          </w:p>
        </w:tc>
        <w:tc>
          <w:tcPr>
            <w:tcW w:w="36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3,105</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8,933</w:t>
            </w:r>
          </w:p>
        </w:tc>
        <w:tc>
          <w:tcPr>
            <w:tcW w:w="3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9,812</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2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r>
      <w:tr>
        <w:trPr>
          <w:trHeight w:val="189"/>
        </w:trPr>
        <w:tc>
          <w:tcPr>
            <w:tcW w:w="20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Non-GAAP</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20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operating</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2,738</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2,933</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8,670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9,349</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2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198"/>
        </w:trPr>
        <w:tc>
          <w:tcPr>
            <w:tcW w:w="20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Non-GAAP Adjusted</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198"/>
        </w:trPr>
        <w:tc>
          <w:tcPr>
            <w:tcW w:w="20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Non-GAAP diluted loss per</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cash, cash equivalents and investments were $3.0 million, as compared with $22.2 million as of December 31, 2023.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in this release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Quarterly Report on Form 10-Q (the “10-Q”) filed by the Company for the same period with the Securities and Exchange Commission (the “SEC”) and all the Company’s other public filings with the SEC (the “Public Filings”).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2023 (the “10-K”), the footnotes thereto and the limitations set forth therein. Investors may not rely on the press release without reference to the 10-Q, the 10-K, and the Public Filings.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80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38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17,835</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cross license receivable</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 of allowance of $325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10,625</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0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ind w:left="22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2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09"/>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$0.001, 50,000,000 shares authorized, 23,969,148 shares issued and outstanding</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46,047</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60" w:type="dxa"/>
            <w:vAlign w:val="bottom"/>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0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820" w:type="dxa"/>
            <w:vAlign w:val="bottom"/>
            <w:gridSpan w:val="6"/>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1,892</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3,273</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6,687</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9,771</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1,067</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3,570</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2,819</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3,373</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(7,190)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(5,033)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(2,046)</w:t>
            </w: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(1,332)</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(6,751)</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23,960,313</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23,957,311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23,960,313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23,957,311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(1,351)</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(6,780)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(3,202)</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12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9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5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operating loss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60" w:type="dxa"/>
            <w:vAlign w:val="bottom"/>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w:t>
            </w:r>
          </w:p>
        </w:tc>
      </w:tr>
      <w:tr>
        <w:trPr>
          <w:trHeight w:val="249"/>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operating loss</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2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60" w:type="dxa"/>
            <w:vAlign w:val="bottom"/>
            <w:tcBorders>
              <w:bottom w:val="single" w:sz="8" w:color="CCEEFF"/>
            </w:tcBorders>
          </w:tcPr>
          <w:p>
            <w:pPr>
              <w:spacing w:after="0"/>
              <w:rPr>
                <w:sz w:val="21"/>
                <w:szCs w:val="21"/>
                <w:color w:val="auto"/>
              </w:rPr>
            </w:pPr>
          </w:p>
        </w:tc>
      </w:tr>
      <w:tr>
        <w:trPr>
          <w:trHeight w:val="197"/>
        </w:trPr>
        <w:tc>
          <w:tcPr>
            <w:tcW w:w="5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(1,351)</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(6,780)</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(3,202)</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adjustment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6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60" w:type="dxa"/>
            <w:vAlign w:val="bottom"/>
            <w:tcBorders>
              <w:bottom w:val="single" w:sz="8" w:color="CCEEFF"/>
            </w:tcBorders>
          </w:tcPr>
          <w:p>
            <w:pPr>
              <w:spacing w:after="0"/>
              <w:rPr>
                <w:sz w:val="22"/>
                <w:szCs w:val="22"/>
                <w:color w:val="auto"/>
              </w:rPr>
            </w:pPr>
          </w:p>
        </w:tc>
      </w:tr>
      <w:tr>
        <w:trPr>
          <w:trHeight w:val="197"/>
        </w:trPr>
        <w:tc>
          <w:tcPr>
            <w:tcW w:w="5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(6,780)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computing GAAP diluted loss per share</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23,960,313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23,957,311</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diluted loss per share</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computing Non-GAAP diluted loss per share</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23,960,313</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23,969,148</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23,957,311</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diluted loss per share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30"/>
        </w:trPr>
        <w:tc>
          <w:tcPr>
            <w:tcW w:w="5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(6,780)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adjustment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6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Brewer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385-426-0565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2024-11-15T08:06:55Z</dcterms:created>
  <dcterms:modified xsi:type="dcterms:W3CDTF">2024-11-15T08:06:55Z</dcterms:modified>
</cp:coreProperties>
</file>