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ClearOne,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18506U104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18506U104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360" w:type="dxa"/>
            <w:vAlign w:val="bottom"/>
          </w:tcPr>
          <w:p>
            <w:pPr>
              <w:spacing w:after="0"/>
              <w:rPr>
                <w:sz w:val="20"/>
                <w:szCs w:val="20"/>
                <w:color w:val="auto"/>
              </w:rPr>
            </w:pPr>
            <w:r>
              <w:rPr>
                <w:rFonts w:ascii="Arial" w:cs="Arial" w:eastAsia="Arial" w:hAnsi="Arial"/>
                <w:sz w:val="22"/>
                <w:szCs w:val="22"/>
                <w:color w:val="auto"/>
              </w:rPr>
              <w:t>5. SOLE VOTING POWER</w:t>
            </w:r>
          </w:p>
        </w:tc>
        <w:tc>
          <w:tcPr>
            <w:tcW w:w="2680" w:type="dxa"/>
            <w:vAlign w:val="bottom"/>
          </w:tcPr>
          <w:p>
            <w:pPr>
              <w:ind w:left="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360" w:type="dxa"/>
            <w:vAlign w:val="bottom"/>
          </w:tcPr>
          <w:p>
            <w:pPr>
              <w:spacing w:after="0"/>
              <w:rPr>
                <w:sz w:val="4"/>
                <w:szCs w:val="4"/>
                <w:color w:val="auto"/>
              </w:rPr>
            </w:pPr>
          </w:p>
        </w:tc>
        <w:tc>
          <w:tcPr>
            <w:tcW w:w="2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36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680" w:type="dxa"/>
            <w:vAlign w:val="bottom"/>
            <w:vMerge w:val="restart"/>
          </w:tcPr>
          <w:p>
            <w:pPr>
              <w:ind w:left="840"/>
              <w:spacing w:after="0"/>
              <w:rPr>
                <w:sz w:val="20"/>
                <w:szCs w:val="20"/>
                <w:color w:val="auto"/>
              </w:rPr>
            </w:pPr>
            <w:r>
              <w:rPr>
                <w:rFonts w:ascii="Arial" w:cs="Arial" w:eastAsia="Arial" w:hAnsi="Arial"/>
                <w:sz w:val="22"/>
                <w:szCs w:val="22"/>
                <w:color w:val="auto"/>
              </w:rPr>
              <w:t>600,014</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360" w:type="dxa"/>
            <w:vAlign w:val="bottom"/>
            <w:vMerge w:val="continue"/>
          </w:tcPr>
          <w:p>
            <w:pPr>
              <w:spacing w:after="0"/>
              <w:rPr>
                <w:sz w:val="14"/>
                <w:szCs w:val="14"/>
                <w:color w:val="auto"/>
              </w:rPr>
            </w:pPr>
          </w:p>
        </w:tc>
        <w:tc>
          <w:tcPr>
            <w:tcW w:w="2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360" w:type="dxa"/>
            <w:vAlign w:val="bottom"/>
          </w:tcPr>
          <w:p>
            <w:pPr>
              <w:spacing w:after="0"/>
              <w:rPr>
                <w:sz w:val="6"/>
                <w:szCs w:val="6"/>
                <w:color w:val="auto"/>
              </w:rPr>
            </w:pPr>
          </w:p>
        </w:tc>
        <w:tc>
          <w:tcPr>
            <w:tcW w:w="2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6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680" w:type="dxa"/>
            <w:vAlign w:val="bottom"/>
            <w:vMerge w:val="restart"/>
          </w:tcPr>
          <w:p>
            <w:pPr>
              <w:ind w:left="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360" w:type="dxa"/>
            <w:vAlign w:val="bottom"/>
            <w:vMerge w:val="continue"/>
          </w:tcPr>
          <w:p>
            <w:pPr>
              <w:spacing w:after="0"/>
              <w:rPr>
                <w:sz w:val="12"/>
                <w:szCs w:val="12"/>
                <w:color w:val="auto"/>
              </w:rPr>
            </w:pPr>
          </w:p>
        </w:tc>
        <w:tc>
          <w:tcPr>
            <w:tcW w:w="2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3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36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680" w:type="dxa"/>
            <w:vAlign w:val="bottom"/>
            <w:vMerge w:val="restart"/>
          </w:tcPr>
          <w:p>
            <w:pPr>
              <w:ind w:left="840"/>
              <w:spacing w:after="0"/>
              <w:rPr>
                <w:sz w:val="20"/>
                <w:szCs w:val="20"/>
                <w:color w:val="auto"/>
              </w:rPr>
            </w:pPr>
            <w:r>
              <w:rPr>
                <w:rFonts w:ascii="Arial" w:cs="Arial" w:eastAsia="Arial" w:hAnsi="Arial"/>
                <w:sz w:val="22"/>
                <w:szCs w:val="22"/>
                <w:color w:val="auto"/>
              </w:rPr>
              <w:t>600,014</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360" w:type="dxa"/>
            <w:vAlign w:val="bottom"/>
            <w:vMerge w:val="continue"/>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7000" w:type="dxa"/>
            <w:vAlign w:val="bottom"/>
            <w:gridSpan w:val="2"/>
          </w:tcPr>
          <w:p>
            <w:pPr>
              <w:ind w:left="80"/>
              <w:spacing w:after="0"/>
              <w:rPr>
                <w:sz w:val="20"/>
                <w:szCs w:val="20"/>
                <w:color w:val="auto"/>
              </w:rPr>
            </w:pPr>
            <w:r>
              <w:rPr>
                <w:rFonts w:ascii="Arial" w:cs="Arial" w:eastAsia="Arial" w:hAnsi="Arial"/>
                <w:sz w:val="22"/>
                <w:szCs w:val="22"/>
                <w:color w:val="auto"/>
              </w:rPr>
              <w:t>600,014</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700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6.56%</w:t>
            </w:r>
          </w:p>
        </w:tc>
        <w:tc>
          <w:tcPr>
            <w:tcW w:w="6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700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360" w:type="dxa"/>
            <w:vAlign w:val="bottom"/>
            <w:tcBorders>
              <w:bottom w:val="single" w:sz="8" w:color="808080"/>
            </w:tcBorders>
          </w:tcPr>
          <w:p>
            <w:pPr>
              <w:spacing w:after="0"/>
              <w:rPr>
                <w:sz w:val="8"/>
                <w:szCs w:val="8"/>
                <w:color w:val="auto"/>
              </w:rPr>
            </w:pPr>
          </w:p>
        </w:tc>
        <w:tc>
          <w:tcPr>
            <w:tcW w:w="2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2" w:name="page3"/>
    <w:bookmarkEnd w:id="2"/>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18506U104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360" w:type="dxa"/>
            <w:vAlign w:val="bottom"/>
          </w:tcPr>
          <w:p>
            <w:pPr>
              <w:spacing w:after="0"/>
              <w:rPr>
                <w:sz w:val="20"/>
                <w:szCs w:val="20"/>
                <w:color w:val="auto"/>
              </w:rPr>
            </w:pPr>
            <w:r>
              <w:rPr>
                <w:rFonts w:ascii="Arial" w:cs="Arial" w:eastAsia="Arial" w:hAnsi="Arial"/>
                <w:sz w:val="22"/>
                <w:szCs w:val="22"/>
                <w:color w:val="auto"/>
              </w:rPr>
              <w:t>5. SOLE VOTING POWER</w:t>
            </w:r>
          </w:p>
        </w:tc>
        <w:tc>
          <w:tcPr>
            <w:tcW w:w="2680" w:type="dxa"/>
            <w:vAlign w:val="bottom"/>
          </w:tcPr>
          <w:p>
            <w:pPr>
              <w:ind w:left="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360" w:type="dxa"/>
            <w:vAlign w:val="bottom"/>
          </w:tcPr>
          <w:p>
            <w:pPr>
              <w:spacing w:after="0"/>
              <w:rPr>
                <w:sz w:val="4"/>
                <w:szCs w:val="4"/>
                <w:color w:val="auto"/>
              </w:rPr>
            </w:pPr>
          </w:p>
        </w:tc>
        <w:tc>
          <w:tcPr>
            <w:tcW w:w="2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36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680" w:type="dxa"/>
            <w:vAlign w:val="bottom"/>
            <w:vMerge w:val="restart"/>
          </w:tcPr>
          <w:p>
            <w:pPr>
              <w:ind w:left="840"/>
              <w:spacing w:after="0"/>
              <w:rPr>
                <w:sz w:val="20"/>
                <w:szCs w:val="20"/>
                <w:color w:val="auto"/>
              </w:rPr>
            </w:pPr>
            <w:r>
              <w:rPr>
                <w:rFonts w:ascii="Arial" w:cs="Arial" w:eastAsia="Arial" w:hAnsi="Arial"/>
                <w:sz w:val="22"/>
                <w:szCs w:val="22"/>
                <w:color w:val="auto"/>
              </w:rPr>
              <w:t>600,014</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360" w:type="dxa"/>
            <w:vAlign w:val="bottom"/>
            <w:vMerge w:val="continue"/>
          </w:tcPr>
          <w:p>
            <w:pPr>
              <w:spacing w:after="0"/>
              <w:rPr>
                <w:sz w:val="14"/>
                <w:szCs w:val="14"/>
                <w:color w:val="auto"/>
              </w:rPr>
            </w:pPr>
          </w:p>
        </w:tc>
        <w:tc>
          <w:tcPr>
            <w:tcW w:w="2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360" w:type="dxa"/>
            <w:vAlign w:val="bottom"/>
          </w:tcPr>
          <w:p>
            <w:pPr>
              <w:spacing w:after="0"/>
              <w:rPr>
                <w:sz w:val="6"/>
                <w:szCs w:val="6"/>
                <w:color w:val="auto"/>
              </w:rPr>
            </w:pPr>
          </w:p>
        </w:tc>
        <w:tc>
          <w:tcPr>
            <w:tcW w:w="2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6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680" w:type="dxa"/>
            <w:vAlign w:val="bottom"/>
            <w:vMerge w:val="restart"/>
          </w:tcPr>
          <w:p>
            <w:pPr>
              <w:ind w:left="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360" w:type="dxa"/>
            <w:vAlign w:val="bottom"/>
            <w:vMerge w:val="continue"/>
          </w:tcPr>
          <w:p>
            <w:pPr>
              <w:spacing w:after="0"/>
              <w:rPr>
                <w:sz w:val="12"/>
                <w:szCs w:val="12"/>
                <w:color w:val="auto"/>
              </w:rPr>
            </w:pPr>
          </w:p>
        </w:tc>
        <w:tc>
          <w:tcPr>
            <w:tcW w:w="2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3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36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680" w:type="dxa"/>
            <w:vAlign w:val="bottom"/>
            <w:vMerge w:val="restart"/>
          </w:tcPr>
          <w:p>
            <w:pPr>
              <w:ind w:left="840"/>
              <w:spacing w:after="0"/>
              <w:rPr>
                <w:sz w:val="20"/>
                <w:szCs w:val="20"/>
                <w:color w:val="auto"/>
              </w:rPr>
            </w:pPr>
            <w:r>
              <w:rPr>
                <w:rFonts w:ascii="Arial" w:cs="Arial" w:eastAsia="Arial" w:hAnsi="Arial"/>
                <w:sz w:val="22"/>
                <w:szCs w:val="22"/>
                <w:color w:val="auto"/>
              </w:rPr>
              <w:t>600,014</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360" w:type="dxa"/>
            <w:vAlign w:val="bottom"/>
            <w:vMerge w:val="continue"/>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7000" w:type="dxa"/>
            <w:vAlign w:val="bottom"/>
            <w:gridSpan w:val="2"/>
          </w:tcPr>
          <w:p>
            <w:pPr>
              <w:ind w:left="80"/>
              <w:spacing w:after="0"/>
              <w:rPr>
                <w:sz w:val="20"/>
                <w:szCs w:val="20"/>
                <w:color w:val="auto"/>
              </w:rPr>
            </w:pPr>
            <w:r>
              <w:rPr>
                <w:rFonts w:ascii="Arial" w:cs="Arial" w:eastAsia="Arial" w:hAnsi="Arial"/>
                <w:sz w:val="22"/>
                <w:szCs w:val="22"/>
                <w:color w:val="auto"/>
              </w:rPr>
              <w:t>600,014</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700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6.56%</w:t>
            </w:r>
          </w:p>
        </w:tc>
        <w:tc>
          <w:tcPr>
            <w:tcW w:w="6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700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360" w:type="dxa"/>
            <w:vAlign w:val="bottom"/>
            <w:tcBorders>
              <w:bottom w:val="single" w:sz="8" w:color="808080"/>
            </w:tcBorders>
          </w:tcPr>
          <w:p>
            <w:pPr>
              <w:spacing w:after="0"/>
              <w:rPr>
                <w:sz w:val="8"/>
                <w:szCs w:val="8"/>
                <w:color w:val="auto"/>
              </w:rPr>
            </w:pPr>
          </w:p>
        </w:tc>
        <w:tc>
          <w:tcPr>
            <w:tcW w:w="2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18506U104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360" w:type="dxa"/>
            <w:vAlign w:val="bottom"/>
          </w:tcPr>
          <w:p>
            <w:pPr>
              <w:spacing w:after="0"/>
              <w:rPr>
                <w:sz w:val="20"/>
                <w:szCs w:val="20"/>
                <w:color w:val="auto"/>
              </w:rPr>
            </w:pPr>
            <w:r>
              <w:rPr>
                <w:rFonts w:ascii="Arial" w:cs="Arial" w:eastAsia="Arial" w:hAnsi="Arial"/>
                <w:sz w:val="22"/>
                <w:szCs w:val="22"/>
                <w:color w:val="auto"/>
              </w:rPr>
              <w:t>5. SOLE VOTING POWER</w:t>
            </w:r>
          </w:p>
        </w:tc>
        <w:tc>
          <w:tcPr>
            <w:tcW w:w="2680" w:type="dxa"/>
            <w:vAlign w:val="bottom"/>
          </w:tcPr>
          <w:p>
            <w:pPr>
              <w:ind w:left="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360" w:type="dxa"/>
            <w:vAlign w:val="bottom"/>
          </w:tcPr>
          <w:p>
            <w:pPr>
              <w:spacing w:after="0"/>
              <w:rPr>
                <w:sz w:val="4"/>
                <w:szCs w:val="4"/>
                <w:color w:val="auto"/>
              </w:rPr>
            </w:pPr>
          </w:p>
        </w:tc>
        <w:tc>
          <w:tcPr>
            <w:tcW w:w="2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36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680" w:type="dxa"/>
            <w:vAlign w:val="bottom"/>
            <w:vMerge w:val="restart"/>
          </w:tcPr>
          <w:p>
            <w:pPr>
              <w:ind w:left="840"/>
              <w:spacing w:after="0"/>
              <w:rPr>
                <w:sz w:val="20"/>
                <w:szCs w:val="20"/>
                <w:color w:val="auto"/>
              </w:rPr>
            </w:pPr>
            <w:r>
              <w:rPr>
                <w:rFonts w:ascii="Arial" w:cs="Arial" w:eastAsia="Arial" w:hAnsi="Arial"/>
                <w:sz w:val="22"/>
                <w:szCs w:val="22"/>
                <w:color w:val="auto"/>
              </w:rPr>
              <w:t>600,014</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360" w:type="dxa"/>
            <w:vAlign w:val="bottom"/>
            <w:vMerge w:val="continue"/>
          </w:tcPr>
          <w:p>
            <w:pPr>
              <w:spacing w:after="0"/>
              <w:rPr>
                <w:sz w:val="14"/>
                <w:szCs w:val="14"/>
                <w:color w:val="auto"/>
              </w:rPr>
            </w:pPr>
          </w:p>
        </w:tc>
        <w:tc>
          <w:tcPr>
            <w:tcW w:w="2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360" w:type="dxa"/>
            <w:vAlign w:val="bottom"/>
          </w:tcPr>
          <w:p>
            <w:pPr>
              <w:spacing w:after="0"/>
              <w:rPr>
                <w:sz w:val="6"/>
                <w:szCs w:val="6"/>
                <w:color w:val="auto"/>
              </w:rPr>
            </w:pPr>
          </w:p>
        </w:tc>
        <w:tc>
          <w:tcPr>
            <w:tcW w:w="2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6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680" w:type="dxa"/>
            <w:vAlign w:val="bottom"/>
            <w:vMerge w:val="restart"/>
          </w:tcPr>
          <w:p>
            <w:pPr>
              <w:ind w:left="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360" w:type="dxa"/>
            <w:vAlign w:val="bottom"/>
            <w:vMerge w:val="continue"/>
          </w:tcPr>
          <w:p>
            <w:pPr>
              <w:spacing w:after="0"/>
              <w:rPr>
                <w:sz w:val="12"/>
                <w:szCs w:val="12"/>
                <w:color w:val="auto"/>
              </w:rPr>
            </w:pPr>
          </w:p>
        </w:tc>
        <w:tc>
          <w:tcPr>
            <w:tcW w:w="2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3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36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680" w:type="dxa"/>
            <w:vAlign w:val="bottom"/>
            <w:vMerge w:val="restart"/>
          </w:tcPr>
          <w:p>
            <w:pPr>
              <w:ind w:left="840"/>
              <w:spacing w:after="0"/>
              <w:rPr>
                <w:sz w:val="20"/>
                <w:szCs w:val="20"/>
                <w:color w:val="auto"/>
              </w:rPr>
            </w:pPr>
            <w:r>
              <w:rPr>
                <w:rFonts w:ascii="Arial" w:cs="Arial" w:eastAsia="Arial" w:hAnsi="Arial"/>
                <w:sz w:val="22"/>
                <w:szCs w:val="22"/>
                <w:color w:val="auto"/>
              </w:rPr>
              <w:t>600,014</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360" w:type="dxa"/>
            <w:vAlign w:val="bottom"/>
            <w:vMerge w:val="continue"/>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7000" w:type="dxa"/>
            <w:vAlign w:val="bottom"/>
            <w:gridSpan w:val="2"/>
          </w:tcPr>
          <w:p>
            <w:pPr>
              <w:ind w:left="80"/>
              <w:spacing w:after="0"/>
              <w:rPr>
                <w:sz w:val="20"/>
                <w:szCs w:val="20"/>
                <w:color w:val="auto"/>
              </w:rPr>
            </w:pPr>
            <w:r>
              <w:rPr>
                <w:rFonts w:ascii="Arial" w:cs="Arial" w:eastAsia="Arial" w:hAnsi="Arial"/>
                <w:sz w:val="22"/>
                <w:szCs w:val="22"/>
                <w:color w:val="auto"/>
              </w:rPr>
              <w:t>600,014</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700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6.56%</w:t>
            </w:r>
          </w:p>
        </w:tc>
        <w:tc>
          <w:tcPr>
            <w:tcW w:w="6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700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360" w:type="dxa"/>
            <w:vAlign w:val="bottom"/>
            <w:tcBorders>
              <w:bottom w:val="single" w:sz="8" w:color="808080"/>
            </w:tcBorders>
          </w:tcPr>
          <w:p>
            <w:pPr>
              <w:spacing w:after="0"/>
              <w:rPr>
                <w:sz w:val="8"/>
                <w:szCs w:val="8"/>
                <w:color w:val="auto"/>
              </w:rPr>
            </w:pPr>
          </w:p>
        </w:tc>
        <w:tc>
          <w:tcPr>
            <w:tcW w:w="2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4" w:name="page5"/>
    <w:bookmarkEnd w:id="4"/>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18506U104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360" w:type="dxa"/>
            <w:vAlign w:val="bottom"/>
          </w:tcPr>
          <w:p>
            <w:pPr>
              <w:spacing w:after="0"/>
              <w:rPr>
                <w:sz w:val="20"/>
                <w:szCs w:val="20"/>
                <w:color w:val="auto"/>
              </w:rPr>
            </w:pPr>
            <w:r>
              <w:rPr>
                <w:rFonts w:ascii="Arial" w:cs="Arial" w:eastAsia="Arial" w:hAnsi="Arial"/>
                <w:sz w:val="22"/>
                <w:szCs w:val="22"/>
                <w:color w:val="auto"/>
              </w:rPr>
              <w:t>5. SOLE VOTING POWER</w:t>
            </w:r>
          </w:p>
        </w:tc>
        <w:tc>
          <w:tcPr>
            <w:tcW w:w="2680" w:type="dxa"/>
            <w:vAlign w:val="bottom"/>
          </w:tcPr>
          <w:p>
            <w:pPr>
              <w:ind w:left="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360" w:type="dxa"/>
            <w:vAlign w:val="bottom"/>
          </w:tcPr>
          <w:p>
            <w:pPr>
              <w:spacing w:after="0"/>
              <w:rPr>
                <w:sz w:val="4"/>
                <w:szCs w:val="4"/>
                <w:color w:val="auto"/>
              </w:rPr>
            </w:pPr>
          </w:p>
        </w:tc>
        <w:tc>
          <w:tcPr>
            <w:tcW w:w="2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36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680" w:type="dxa"/>
            <w:vAlign w:val="bottom"/>
            <w:vMerge w:val="restart"/>
          </w:tcPr>
          <w:p>
            <w:pPr>
              <w:ind w:left="840"/>
              <w:spacing w:after="0"/>
              <w:rPr>
                <w:sz w:val="20"/>
                <w:szCs w:val="20"/>
                <w:color w:val="auto"/>
              </w:rPr>
            </w:pPr>
            <w:r>
              <w:rPr>
                <w:rFonts w:ascii="Arial" w:cs="Arial" w:eastAsia="Arial" w:hAnsi="Arial"/>
                <w:sz w:val="22"/>
                <w:szCs w:val="22"/>
                <w:color w:val="auto"/>
              </w:rPr>
              <w:t>600,014</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360" w:type="dxa"/>
            <w:vAlign w:val="bottom"/>
            <w:vMerge w:val="continue"/>
          </w:tcPr>
          <w:p>
            <w:pPr>
              <w:spacing w:after="0"/>
              <w:rPr>
                <w:sz w:val="14"/>
                <w:szCs w:val="14"/>
                <w:color w:val="auto"/>
              </w:rPr>
            </w:pPr>
          </w:p>
        </w:tc>
        <w:tc>
          <w:tcPr>
            <w:tcW w:w="2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360" w:type="dxa"/>
            <w:vAlign w:val="bottom"/>
          </w:tcPr>
          <w:p>
            <w:pPr>
              <w:spacing w:after="0"/>
              <w:rPr>
                <w:sz w:val="6"/>
                <w:szCs w:val="6"/>
                <w:color w:val="auto"/>
              </w:rPr>
            </w:pPr>
          </w:p>
        </w:tc>
        <w:tc>
          <w:tcPr>
            <w:tcW w:w="2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6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680" w:type="dxa"/>
            <w:vAlign w:val="bottom"/>
            <w:vMerge w:val="restart"/>
          </w:tcPr>
          <w:p>
            <w:pPr>
              <w:ind w:left="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360" w:type="dxa"/>
            <w:vAlign w:val="bottom"/>
            <w:vMerge w:val="continue"/>
          </w:tcPr>
          <w:p>
            <w:pPr>
              <w:spacing w:after="0"/>
              <w:rPr>
                <w:sz w:val="12"/>
                <w:szCs w:val="12"/>
                <w:color w:val="auto"/>
              </w:rPr>
            </w:pPr>
          </w:p>
        </w:tc>
        <w:tc>
          <w:tcPr>
            <w:tcW w:w="2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3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36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680" w:type="dxa"/>
            <w:vAlign w:val="bottom"/>
            <w:vMerge w:val="restart"/>
          </w:tcPr>
          <w:p>
            <w:pPr>
              <w:ind w:left="840"/>
              <w:spacing w:after="0"/>
              <w:rPr>
                <w:sz w:val="20"/>
                <w:szCs w:val="20"/>
                <w:color w:val="auto"/>
              </w:rPr>
            </w:pPr>
            <w:r>
              <w:rPr>
                <w:rFonts w:ascii="Arial" w:cs="Arial" w:eastAsia="Arial" w:hAnsi="Arial"/>
                <w:sz w:val="22"/>
                <w:szCs w:val="22"/>
                <w:color w:val="auto"/>
              </w:rPr>
              <w:t>600,014</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360" w:type="dxa"/>
            <w:vAlign w:val="bottom"/>
            <w:vMerge w:val="continue"/>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7000" w:type="dxa"/>
            <w:vAlign w:val="bottom"/>
            <w:gridSpan w:val="2"/>
          </w:tcPr>
          <w:p>
            <w:pPr>
              <w:ind w:left="80"/>
              <w:spacing w:after="0"/>
              <w:rPr>
                <w:sz w:val="20"/>
                <w:szCs w:val="20"/>
                <w:color w:val="auto"/>
              </w:rPr>
            </w:pPr>
            <w:r>
              <w:rPr>
                <w:rFonts w:ascii="Arial" w:cs="Arial" w:eastAsia="Arial" w:hAnsi="Arial"/>
                <w:sz w:val="22"/>
                <w:szCs w:val="22"/>
                <w:color w:val="auto"/>
              </w:rPr>
              <w:t>600,014</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700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6.56%</w:t>
            </w:r>
          </w:p>
        </w:tc>
        <w:tc>
          <w:tcPr>
            <w:tcW w:w="6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700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IA</w:t>
            </w:r>
          </w:p>
        </w:tc>
        <w:tc>
          <w:tcPr>
            <w:tcW w:w="6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360" w:type="dxa"/>
            <w:vAlign w:val="bottom"/>
            <w:tcBorders>
              <w:bottom w:val="single" w:sz="8" w:color="808080"/>
            </w:tcBorders>
          </w:tcPr>
          <w:p>
            <w:pPr>
              <w:spacing w:after="0"/>
              <w:rPr>
                <w:sz w:val="8"/>
                <w:szCs w:val="8"/>
                <w:color w:val="auto"/>
              </w:rPr>
            </w:pPr>
          </w:p>
        </w:tc>
        <w:tc>
          <w:tcPr>
            <w:tcW w:w="2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right="808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ClearOne, Inc.</w:t>
      </w:r>
    </w:p>
    <w:p>
      <w:pPr>
        <w:spacing w:after="0" w:line="11" w:lineRule="exact"/>
        <w:rPr>
          <w:rFonts w:ascii="Arial" w:cs="Arial" w:eastAsia="Arial" w:hAnsi="Arial"/>
          <w:sz w:val="19"/>
          <w:szCs w:val="19"/>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5225 Wiley Post Way</w:t>
      </w:r>
    </w:p>
    <w:p>
      <w:pPr>
        <w:ind w:left="178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Suite 500</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Salt Lake City, UT 84116</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right="540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Wellington Group Holdings LLP Wellington Investment Advisors Holdings LLP Wellington Management Company LLP</w:t>
      </w:r>
    </w:p>
    <w:p>
      <w:pPr>
        <w:spacing w:after="0" w:line="93"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ind w:left="1780" w:right="77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80" w:right="438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 Massachusetts Wellington Group Holdings LLP - Delaware Wellington Investment Advisors Holdings LLP - Delaware Wellington Management Company LLP - Delaware</w:t>
      </w:r>
    </w:p>
    <w:p>
      <w:pPr>
        <w:spacing w:after="0" w:line="93" w:lineRule="exact"/>
        <w:rPr>
          <w:rFonts w:ascii="Arial" w:cs="Arial" w:eastAsia="Arial" w:hAnsi="Arial"/>
          <w:sz w:val="22"/>
          <w:szCs w:val="22"/>
          <w:b w:val="1"/>
          <w:bCs w:val="1"/>
          <w:color w:val="auto"/>
        </w:rPr>
      </w:pP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18506U104</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 *</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25"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Wellington Management Group LLP - HC</w:t>
      </w:r>
    </w:p>
    <w:p>
      <w:pPr>
        <w:ind w:left="1380"/>
        <w:spacing w:after="0" w:line="238" w:lineRule="auto"/>
        <w:rPr>
          <w:sz w:val="20"/>
          <w:szCs w:val="20"/>
          <w:color w:val="auto"/>
        </w:rPr>
      </w:pPr>
      <w:r>
        <w:rPr>
          <w:rFonts w:ascii="Arial" w:cs="Arial" w:eastAsia="Arial" w:hAnsi="Arial"/>
          <w:sz w:val="22"/>
          <w:szCs w:val="22"/>
          <w:color w:val="auto"/>
        </w:rPr>
        <w:t>Wellington Group Holdings LLP - HC</w:t>
      </w:r>
    </w:p>
    <w:p>
      <w:pPr>
        <w:ind w:left="1380"/>
        <w:spacing w:after="0" w:line="230" w:lineRule="auto"/>
        <w:rPr>
          <w:sz w:val="20"/>
          <w:szCs w:val="20"/>
          <w:color w:val="auto"/>
        </w:rPr>
      </w:pPr>
      <w:r>
        <w:rPr>
          <w:rFonts w:ascii="Arial" w:cs="Arial" w:eastAsia="Arial" w:hAnsi="Arial"/>
          <w:sz w:val="22"/>
          <w:szCs w:val="22"/>
          <w:color w:val="auto"/>
        </w:rPr>
        <w:t>Wellington Investment Advisors Holdings LLP - HC</w:t>
      </w:r>
    </w:p>
    <w:p>
      <w:pPr>
        <w:spacing w:after="0" w:line="1"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Wellington Management Company LLP - IA</w:t>
      </w:r>
    </w:p>
    <w:p>
      <w:pPr>
        <w:spacing w:after="0" w:line="101"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See the responses to Item 9 on the attached cover pages.</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ectPr>
          <w:pgSz w:w="11900" w:h="16838" w:orient="portrait"/>
          <w:cols w:equalWidth="0" w:num="1">
            <w:col w:w="11260"/>
          </w:cols>
          <w:pgMar w:left="320" w:top="409" w:right="319" w:bottom="0" w:gutter="0" w:footer="0" w:header="0"/>
        </w:sectPr>
      </w:pPr>
    </w:p>
    <w:bookmarkStart w:id="6" w:name="page7"/>
    <w:bookmarkEnd w:id="6"/>
    <w:p>
      <w:pPr>
        <w:ind w:left="1780"/>
        <w:spacing w:after="0"/>
        <w:rPr>
          <w:sz w:val="20"/>
          <w:szCs w:val="20"/>
          <w:color w:val="auto"/>
        </w:rPr>
      </w:pPr>
      <w:r>
        <w:rPr>
          <w:rFonts w:ascii="Arial" w:cs="Arial" w:eastAsia="Arial" w:hAnsi="Arial"/>
          <w:sz w:val="18"/>
          <w:szCs w:val="18"/>
          <w:color w:val="auto"/>
        </w:rPr>
        <w:t>See the responses to Item 11 on the attached cover pages.</w:t>
      </w:r>
    </w:p>
    <w:p>
      <w:pPr>
        <w:sectPr>
          <w:pgSz w:w="11900" w:h="16838" w:orient="portrait"/>
          <w:cols w:equalWidth="0" w:num="1">
            <w:col w:w="11260"/>
          </w:cols>
          <w:pgMar w:left="320" w:top="118" w:right="319" w:bottom="0" w:gutter="0" w:footer="0" w:header="0"/>
        </w:sectPr>
      </w:pPr>
    </w:p>
    <w:p>
      <w:pPr>
        <w:spacing w:after="0" w:line="172" w:lineRule="exact"/>
        <w:rPr>
          <w:sz w:val="20"/>
          <w:szCs w:val="20"/>
          <w:color w:val="auto"/>
        </w:rPr>
      </w:pPr>
    </w:p>
    <w:p>
      <w:pPr>
        <w:ind w:left="1780" w:hanging="407"/>
        <w:spacing w:after="0"/>
        <w:tabs>
          <w:tab w:leader="none" w:pos="1780" w:val="left"/>
        </w:tabs>
        <w:numPr>
          <w:ilvl w:val="0"/>
          <w:numId w:val="6"/>
        </w:numPr>
        <w:rPr>
          <w:rFonts w:ascii="Arial" w:cs="Arial" w:eastAsia="Arial" w:hAnsi="Arial"/>
          <w:sz w:val="21"/>
          <w:szCs w:val="21"/>
          <w:color w:val="auto"/>
        </w:rPr>
      </w:pPr>
      <w:r>
        <w:rPr>
          <w:rFonts w:ascii="Arial" w:cs="Arial" w:eastAsia="Arial" w:hAnsi="Arial"/>
          <w:sz w:val="21"/>
          <w:szCs w:val="21"/>
          <w:color w:val="auto"/>
        </w:rPr>
        <w:t>Number of shares as to which such person has:</w:t>
      </w:r>
    </w:p>
    <w:p>
      <w:pPr>
        <w:spacing w:after="0" w:line="136" w:lineRule="exact"/>
        <w:rPr>
          <w:rFonts w:ascii="Arial" w:cs="Arial" w:eastAsia="Arial" w:hAnsi="Arial"/>
          <w:sz w:val="21"/>
          <w:szCs w:val="21"/>
          <w:color w:val="auto"/>
        </w:rPr>
      </w:pPr>
    </w:p>
    <w:p>
      <w:pPr>
        <w:ind w:left="2240" w:hanging="462"/>
        <w:spacing w:after="0"/>
        <w:tabs>
          <w:tab w:leader="none" w:pos="2240" w:val="left"/>
        </w:tabs>
        <w:numPr>
          <w:ilvl w:val="1"/>
          <w:numId w:val="6"/>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246" w:lineRule="exact"/>
        <w:rPr>
          <w:rFonts w:ascii="Arial" w:cs="Arial" w:eastAsia="Arial" w:hAnsi="Arial"/>
          <w:sz w:val="22"/>
          <w:szCs w:val="22"/>
          <w:color w:val="auto"/>
        </w:rPr>
      </w:pPr>
    </w:p>
    <w:p>
      <w:pPr>
        <w:ind w:left="2240" w:hanging="462"/>
        <w:spacing w:after="0"/>
        <w:tabs>
          <w:tab w:leader="none" w:pos="224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201" w:lineRule="exact"/>
        <w:rPr>
          <w:rFonts w:ascii="Arial" w:cs="Arial" w:eastAsia="Arial" w:hAnsi="Arial"/>
          <w:sz w:val="22"/>
          <w:szCs w:val="22"/>
          <w:color w:val="auto"/>
        </w:rPr>
      </w:pPr>
    </w:p>
    <w:p>
      <w:pPr>
        <w:ind w:left="2240" w:hanging="462"/>
        <w:spacing w:after="0"/>
        <w:tabs>
          <w:tab w:leader="none" w:pos="2240" w:val="left"/>
        </w:tabs>
        <w:numPr>
          <w:ilvl w:val="1"/>
          <w:numId w:val="6"/>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125"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See the responses to Item 6 on the attached cover pages.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00" w:lineRule="exact"/>
        <w:rPr>
          <w:sz w:val="20"/>
          <w:szCs w:val="20"/>
          <w:color w:val="auto"/>
        </w:rPr>
      </w:pPr>
    </w:p>
    <w:p>
      <w:pPr>
        <w:sectPr>
          <w:pgSz w:w="11900" w:h="16838" w:orient="portrait"/>
          <w:cols w:equalWidth="0" w:num="2">
            <w:col w:w="6420" w:space="280"/>
            <w:col w:w="4560"/>
          </w:cols>
          <w:pgMar w:left="320" w:top="118" w:right="319" w:bottom="0" w:gutter="0" w:footer="0" w:header="0"/>
          <w:type w:val="continuous"/>
        </w:sectPr>
      </w:pPr>
    </w:p>
    <w:p>
      <w:pPr>
        <w:spacing w:after="0" w:line="47" w:lineRule="exact"/>
        <w:rPr>
          <w:sz w:val="20"/>
          <w:szCs w:val="20"/>
          <w:color w:val="auto"/>
        </w:rPr>
      </w:pPr>
    </w:p>
    <w:p>
      <w:pPr>
        <w:ind w:left="2240" w:right="340" w:hanging="462"/>
        <w:spacing w:after="0" w:line="183" w:lineRule="auto"/>
        <w:tabs>
          <w:tab w:leader="none" w:pos="2240" w:val="left"/>
        </w:tabs>
        <w:numPr>
          <w:ilvl w:val="0"/>
          <w:numId w:val="7"/>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See the responses to Item 8 on the attached cover pages.</w:t>
      </w:r>
    </w:p>
    <w:p>
      <w:pPr>
        <w:spacing w:after="0" w:line="86" w:lineRule="exact"/>
        <w:rPr>
          <w:sz w:val="20"/>
          <w:szCs w:val="20"/>
          <w:color w:val="auto"/>
        </w:rPr>
      </w:pPr>
    </w:p>
    <w:p>
      <w:pPr>
        <w:sectPr>
          <w:pgSz w:w="11900" w:h="16838" w:orient="portrait"/>
          <w:cols w:equalWidth="0" w:num="2">
            <w:col w:w="5980" w:space="720"/>
            <w:col w:w="4560"/>
          </w:cols>
          <w:pgMar w:left="320" w:top="118" w:right="31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94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Five Percent or Less of Class.</w:t>
            </w:r>
          </w:p>
        </w:tc>
      </w:tr>
      <w:tr>
        <w:trPr>
          <w:trHeight w:val="3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 the</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88"/>
              </w:rPr>
              <w:t>The securities as to which this Schedule is filed are owned of record by clients of one or more investment advisers</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3"/>
              </w:rPr>
              <w:t>identified in Exhibit A directly or indirectly owned by Wellington Management Group LLP. Those clients have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2"/>
              </w:rPr>
              <w:t>the right to receive, or the power to direct the receipt of, dividends from, or the proceeds from the sale of, such</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9"/>
              </w:rPr>
              <w:t>securities. No such client is known to have such right or power with respect to more than five percent of this class</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of securities, except as follows:</w:t>
            </w:r>
          </w:p>
        </w:tc>
      </w:tr>
      <w:tr>
        <w:trPr>
          <w:trHeight w:val="455"/>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WTC-CTF Micro Cap Equity</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rPr>
              <w:t>Wellington Trust Company, NA</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7"/>
              </w:rPr>
              <w:t>Wellington Trust Company, National Association Multiple Common Trust Funds Trust, Micro Cap Equity</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Portfolio</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w w:val="90"/>
              </w:rPr>
              <w:t>Identification and Classification of the Subsidiary Which Acquired the Security Being Reported on by the</w:t>
            </w:r>
          </w:p>
        </w:tc>
      </w:tr>
      <w:tr>
        <w:trPr>
          <w:trHeight w:val="28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Parent Holding Company.</w:t>
            </w:r>
          </w:p>
        </w:tc>
      </w:tr>
      <w:tr>
        <w:trPr>
          <w:trHeight w:val="62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See attached Exhibit A.</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94"/>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8"/>
              </w:rPr>
              <w:t>acquired and are held in the ordinary course of business and were not acquired and are not held for the purpose of</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1"/>
              </w:rPr>
              <w:t>or with the effect of changing or influencing the control of the issuer of the securities and were not acquired and</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420" w:type="dxa"/>
            <w:vAlign w:val="bottom"/>
            <w:gridSpan w:val="2"/>
          </w:tcPr>
          <w:p>
            <w:pPr>
              <w:ind w:left="16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Management Group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Steven M. Hoffman</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Steven M. Hoffman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Authorized Person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February 11, 2016</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Group Holdings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Steven M. Hoffman</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Steven M. Hoffman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Authorized Person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February 11, 2016</w:t>
            </w:r>
          </w:p>
        </w:tc>
      </w:tr>
    </w:tbl>
    <w:p>
      <w:pPr>
        <w:sectPr>
          <w:pgSz w:w="11900" w:h="16838" w:orient="portrait"/>
          <w:cols w:equalWidth="0" w:num="1">
            <w:col w:w="11260"/>
          </w:cols>
          <w:pgMar w:left="320" w:top="118" w:right="319" w:bottom="0" w:gutter="0" w:footer="0" w:header="0"/>
          <w:type w:val="continuous"/>
        </w:sectPr>
      </w:pPr>
    </w:p>
    <w:bookmarkStart w:id="7" w:name="page8"/>
    <w:bookmarkEnd w:id="7"/>
    <w:p>
      <w:pPr>
        <w:ind w:left="3360"/>
        <w:spacing w:after="0"/>
        <w:rPr>
          <w:sz w:val="20"/>
          <w:szCs w:val="20"/>
          <w:color w:val="auto"/>
        </w:rPr>
      </w:pPr>
      <w:r>
        <w:rPr>
          <w:rFonts w:ascii="Arial" w:cs="Arial" w:eastAsia="Arial" w:hAnsi="Arial"/>
          <w:sz w:val="22"/>
          <w:szCs w:val="22"/>
          <w:color w:val="auto"/>
        </w:rPr>
        <w:t>By: Wellington Investment Advisors Holdings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11, 2016</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Managing Director</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356870</wp:posOffset>
            </wp:positionV>
            <wp:extent cx="581850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68" w:lineRule="exact"/>
        <w:rPr>
          <w:sz w:val="20"/>
          <w:szCs w:val="20"/>
          <w:color w:val="auto"/>
        </w:rPr>
      </w:pPr>
    </w:p>
    <w:p>
      <w:pPr>
        <w:ind w:right="4460"/>
        <w:spacing w:after="0" w:line="311" w:lineRule="auto"/>
        <w:rPr>
          <w:sz w:val="20"/>
          <w:szCs w:val="20"/>
          <w:color w:val="auto"/>
        </w:rPr>
      </w:pPr>
      <w:r>
        <w:rPr>
          <w:rFonts w:ascii="Arial" w:cs="Arial" w:eastAsia="Arial" w:hAnsi="Arial"/>
          <w:sz w:val="21"/>
          <w:szCs w:val="21"/>
          <w:color w:val="auto"/>
        </w:rPr>
        <w:t>Wellington Group Holdings LLP – HC Wellington Investment Advisors LLP – HC Wellington Management Global Holdings, Ltd. - HC</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One or more of the following investment advisers (the “Wellington Investment Advisers”):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Company LLP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Canada LLC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Singapore Pte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Hong Kong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International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Japan Pte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Australia Pty Ltd - IA</w:t>
      </w:r>
    </w:p>
    <w:p>
      <w:pPr>
        <w:spacing w:after="0" w:line="287"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132715</wp:posOffset>
            </wp:positionV>
            <wp:extent cx="581850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320"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The undersigned hereby agree that this Schedule 13G (the “Schedule 13G”) with respect to the common stock of ClearOne,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ectPr>
          <w:pgSz w:w="11900" w:h="16838" w:orient="portrait"/>
          <w:cols w:equalWidth="0" w:num="1">
            <w:col w:w="9020"/>
          </w:cols>
          <w:pgMar w:left="1440" w:top="415" w:right="1439" w:bottom="84" w:gutter="0" w:footer="0" w:header="0"/>
        </w:sectPr>
      </w:pPr>
    </w:p>
    <w:bookmarkStart w:id="8" w:name="page9"/>
    <w:bookmarkEnd w:id="8"/>
    <w:p>
      <w:pPr>
        <w:ind w:left="3360"/>
        <w:spacing w:after="0"/>
        <w:rPr>
          <w:sz w:val="20"/>
          <w:szCs w:val="20"/>
          <w:color w:val="auto"/>
        </w:rPr>
      </w:pPr>
      <w:r>
        <w:rPr>
          <w:rFonts w:ascii="Arial" w:cs="Arial" w:eastAsia="Arial" w:hAnsi="Arial"/>
          <w:sz w:val="22"/>
          <w:szCs w:val="22"/>
          <w:color w:val="auto"/>
        </w:rPr>
        <w:t>By: Wellington Management Group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11, 2016</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Group Holdings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11, 2016</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19"/>
          <w:szCs w:val="19"/>
          <w:color w:val="auto"/>
        </w:rPr>
        <w:t>By: Wellington Investment Advisors Holdings LLP</w:t>
      </w:r>
    </w:p>
    <w:p>
      <w:pPr>
        <w:spacing w:after="0" w:line="79"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11, 2016</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Managing Director</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11, 2016</w:t>
      </w:r>
    </w:p>
    <w:sectPr>
      <w:pgSz w:w="11900" w:h="16838" w:orient="portrait"/>
      <w:cols w:equalWidth="0" w:num="1">
        <w:col w:w="9019"/>
      </w:cols>
      <w:pgMar w:left="1440" w:top="40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2019-12-05T21:44:03Z</dcterms:created>
  <dcterms:modified xsi:type="dcterms:W3CDTF">2019-12-05T21:44:03Z</dcterms:modified>
</cp:coreProperties>
</file>