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26" w:lineRule="auto"/>
        <w:rPr>
          <w:sz w:val="20"/>
          <w:szCs w:val="20"/>
          <w:color w:val="auto"/>
        </w:rPr>
      </w:pPr>
      <w:r>
        <w:rPr>
          <w:rFonts w:ascii="Arial" w:cs="Arial" w:eastAsia="Arial" w:hAnsi="Arial"/>
          <w:sz w:val="43"/>
          <w:szCs w:val="43"/>
          <w:color w:val="auto"/>
          <w:vertAlign w:val="subscript"/>
        </w:rPr>
        <w:t>[x]</w:t>
      </w:r>
      <w:r>
        <w:rPr>
          <w:rFonts w:ascii="Arial" w:cs="Arial" w:eastAsia="Arial" w:hAnsi="Arial"/>
          <w:sz w:val="16"/>
          <w:szCs w:val="16"/>
          <w:b w:val="1"/>
          <w:bCs w:val="1"/>
          <w:color w:val="auto"/>
        </w:rPr>
        <w:t>QUARTERLY REPORT PURSUANT TO SECTION 13 OR 15(D) OF THE SECURITIES EXCHANGE ACT OF 1934</w:t>
      </w:r>
    </w:p>
    <w:p>
      <w:pPr>
        <w:ind w:left="260"/>
        <w:spacing w:after="0" w:line="232" w:lineRule="auto"/>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June 30, 2012</w:t>
      </w:r>
    </w:p>
    <w:p>
      <w:pPr>
        <w:ind w:left="1300"/>
        <w:spacing w:after="0" w:line="230" w:lineRule="auto"/>
        <w:rPr>
          <w:sz w:val="20"/>
          <w:szCs w:val="20"/>
          <w:color w:val="auto"/>
        </w:rPr>
      </w:pPr>
      <w:r>
        <w:rPr>
          <w:rFonts w:ascii="Arial" w:cs="Arial" w:eastAsia="Arial" w:hAnsi="Arial"/>
          <w:sz w:val="22"/>
          <w:szCs w:val="22"/>
          <w:color w:val="auto"/>
        </w:rPr>
        <w:t>or</w:t>
      </w:r>
    </w:p>
    <w:p>
      <w:pPr>
        <w:ind w:left="140" w:hanging="132"/>
        <w:spacing w:after="0" w:line="181" w:lineRule="auto"/>
        <w:tabs>
          <w:tab w:leader="none" w:pos="140" w:val="left"/>
        </w:tabs>
        <w:numPr>
          <w:ilvl w:val="0"/>
          <w:numId w:val="1"/>
        </w:numPr>
        <w:rPr>
          <w:rFonts w:ascii="Arial" w:cs="Arial" w:eastAsia="Arial" w:hAnsi="Arial"/>
          <w:sz w:val="25"/>
          <w:szCs w:val="25"/>
          <w:color w:val="auto"/>
          <w:vertAlign w:val="subscript"/>
        </w:rPr>
      </w:pPr>
      <w:r>
        <w:rPr>
          <w:rFonts w:ascii="Arial" w:cs="Arial" w:eastAsia="Arial" w:hAnsi="Arial"/>
          <w:sz w:val="25"/>
          <w:szCs w:val="25"/>
          <w:color w:val="auto"/>
          <w:vertAlign w:val="subscript"/>
        </w:rPr>
        <w:t>]</w:t>
      </w:r>
      <w:r>
        <w:rPr>
          <w:rFonts w:ascii="Arial" w:cs="Arial" w:eastAsia="Arial" w:hAnsi="Arial"/>
          <w:sz w:val="13"/>
          <w:szCs w:val="13"/>
          <w:b w:val="1"/>
          <w:bCs w:val="1"/>
          <w:color w:val="auto"/>
        </w:rPr>
        <w:t>TRANSITION REPORT PURSUANT TO SECTION 13 OR 15(d) OF THE SECURITIES EXCHANGE ACT OF 1934</w:t>
      </w: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40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20" w:type="dxa"/>
            <w:vAlign w:val="bottom"/>
          </w:tcPr>
          <w:p>
            <w:pPr>
              <w:spacing w:after="0"/>
              <w:rPr>
                <w:sz w:val="19"/>
                <w:szCs w:val="19"/>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82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(I.R.S. employer identification number)</w:t>
            </w:r>
          </w:p>
        </w:tc>
      </w:tr>
      <w:tr>
        <w:trPr>
          <w:trHeight w:val="418"/>
        </w:trPr>
        <w:tc>
          <w:tcPr>
            <w:tcW w:w="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40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20" w:type="dxa"/>
            <w:vAlign w:val="bottom"/>
          </w:tcPr>
          <w:p>
            <w:pPr>
              <w:spacing w:after="0"/>
              <w:rPr>
                <w:sz w:val="19"/>
                <w:szCs w:val="19"/>
                <w:color w:val="auto"/>
              </w:rPr>
            </w:pPr>
          </w:p>
        </w:tc>
        <w:tc>
          <w:tcPr>
            <w:tcW w:w="4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19"/>
                <w:szCs w:val="19"/>
                <w:color w:val="auto"/>
              </w:rPr>
            </w:pPr>
          </w:p>
        </w:tc>
        <w:tc>
          <w:tcPr>
            <w:tcW w:w="35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-130810</wp:posOffset>
            </wp:positionV>
            <wp:extent cx="5900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24" w:lineRule="exact"/>
        <w:rPr>
          <w:sz w:val="24"/>
          <w:szCs w:val="24"/>
          <w:color w:val="auto"/>
        </w:rPr>
      </w:pPr>
    </w:p>
    <w:p>
      <w:pPr>
        <w:ind w:right="500"/>
        <w:spacing w:after="0" w:line="258" w:lineRule="auto"/>
        <w:rPr>
          <w:sz w:val="20"/>
          <w:szCs w:val="20"/>
          <w:color w:val="auto"/>
        </w:rPr>
      </w:pPr>
      <w:r>
        <w:rPr>
          <w:rFonts w:ascii="Arial" w:cs="Arial" w:eastAsia="Arial" w:hAnsi="Arial"/>
          <w:sz w:val="21"/>
          <w:szCs w:val="21"/>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61"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ectPr>
          <w:pgSz w:w="11900" w:h="16838" w:orient="portrait"/>
          <w:cols w:equalWidth="0" w:num="1">
            <w:col w:w="11320"/>
          </w:cols>
          <w:pgMar w:left="240" w:top="706"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Larger Accelerated Filer [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400" w:space="720"/>
            <w:col w:w="5200"/>
          </w:cols>
          <w:pgMar w:left="240" w:top="706" w:right="33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5400" w:space="720"/>
            <w:col w:w="5200"/>
          </w:cols>
          <w:pgMar w:left="240" w:top="706" w:right="339" w:bottom="1440" w:gutter="0" w:footer="0" w:header="0"/>
          <w:type w:val="continuous"/>
        </w:sectPr>
      </w:pPr>
    </w:p>
    <w:p>
      <w:pPr>
        <w:spacing w:after="0" w:line="122" w:lineRule="exact"/>
        <w:rPr>
          <w:sz w:val="24"/>
          <w:szCs w:val="24"/>
          <w:color w:val="auto"/>
        </w:rPr>
      </w:pPr>
    </w:p>
    <w:p>
      <w:pPr>
        <w:jc w:val="center"/>
        <w:ind w:right="20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 ] No [x]</w:t>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9,125,774 shares issued and outstanding as of August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246620" cy="94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 FOR THE QUARTER ENDED JUNE 30, 2012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Page</w:t>
            </w:r>
          </w:p>
        </w:tc>
      </w:tr>
      <w:tr>
        <w:trPr>
          <w:trHeight w:val="345"/>
        </w:trPr>
        <w:tc>
          <w:tcPr>
            <w:tcW w:w="1840" w:type="dxa"/>
            <w:vAlign w:val="bottom"/>
          </w:tcPr>
          <w:p>
            <w:pPr>
              <w:spacing w:after="0"/>
              <w:rPr>
                <w:sz w:val="24"/>
                <w:szCs w:val="24"/>
                <w:color w:val="auto"/>
              </w:rPr>
            </w:pPr>
          </w:p>
        </w:tc>
        <w:tc>
          <w:tcPr>
            <w:tcW w:w="8020" w:type="dxa"/>
            <w:vAlign w:val="bottom"/>
          </w:tcPr>
          <w:p>
            <w:pPr>
              <w:ind w:left="246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1.</w:t>
            </w:r>
          </w:p>
        </w:tc>
        <w:tc>
          <w:tcPr>
            <w:tcW w:w="802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1840" w:type="dxa"/>
            <w:vAlign w:val="bottom"/>
          </w:tcPr>
          <w:p>
            <w:pPr>
              <w:spacing w:after="0"/>
              <w:rPr>
                <w:sz w:val="24"/>
                <w:szCs w:val="24"/>
                <w:color w:val="auto"/>
              </w:rPr>
            </w:pPr>
          </w:p>
        </w:tc>
        <w:tc>
          <w:tcPr>
            <w:tcW w:w="8020" w:type="dxa"/>
            <w:vAlign w:val="bottom"/>
          </w:tcPr>
          <w:p>
            <w:pPr>
              <w:ind w:left="360"/>
              <w:spacing w:after="0"/>
              <w:rPr>
                <w:sz w:val="20"/>
                <w:szCs w:val="20"/>
                <w:color w:val="auto"/>
              </w:rPr>
            </w:pPr>
            <w:r>
              <w:rPr>
                <w:rFonts w:ascii="Arial" w:cs="Arial" w:eastAsia="Arial" w:hAnsi="Arial"/>
                <w:sz w:val="18"/>
                <w:szCs w:val="18"/>
                <w:color w:val="auto"/>
              </w:rPr>
              <w:t>Condensed Consolidated Balance Sheets as of June 30, 2012 and December 31, 2011</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1</w:t>
            </w:r>
          </w:p>
        </w:tc>
      </w:tr>
      <w:tr>
        <w:trPr>
          <w:trHeight w:val="310"/>
        </w:trPr>
        <w:tc>
          <w:tcPr>
            <w:tcW w:w="1840" w:type="dxa"/>
            <w:vAlign w:val="bottom"/>
          </w:tcPr>
          <w:p>
            <w:pPr>
              <w:spacing w:after="0"/>
              <w:rPr>
                <w:sz w:val="24"/>
                <w:szCs w:val="24"/>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w w:val="90"/>
              </w:rPr>
              <w:t>Condensed Consolidated Statements of Operations for the three and six months ended June 30, 2012 and</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w:t>
            </w:r>
          </w:p>
        </w:tc>
      </w:tr>
      <w:tr>
        <w:trPr>
          <w:trHeight w:val="230"/>
        </w:trPr>
        <w:tc>
          <w:tcPr>
            <w:tcW w:w="1840" w:type="dxa"/>
            <w:vAlign w:val="bottom"/>
          </w:tcPr>
          <w:p>
            <w:pPr>
              <w:spacing w:after="0"/>
              <w:rPr>
                <w:sz w:val="20"/>
                <w:szCs w:val="20"/>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1840" w:type="dxa"/>
            <w:vAlign w:val="bottom"/>
          </w:tcPr>
          <w:p>
            <w:pPr>
              <w:spacing w:after="0"/>
              <w:rPr>
                <w:sz w:val="24"/>
                <w:szCs w:val="24"/>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w w:val="93"/>
              </w:rPr>
              <w:t>Condensed Consolidated Statements of Cash Flows for the six months ended June 30, 2012 and 2011</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3</w:t>
            </w:r>
          </w:p>
        </w:tc>
      </w:tr>
      <w:tr>
        <w:trPr>
          <w:trHeight w:val="324"/>
        </w:trPr>
        <w:tc>
          <w:tcPr>
            <w:tcW w:w="1840" w:type="dxa"/>
            <w:vAlign w:val="bottom"/>
          </w:tcPr>
          <w:p>
            <w:pPr>
              <w:spacing w:after="0"/>
              <w:rPr>
                <w:sz w:val="24"/>
                <w:szCs w:val="24"/>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Notes to Condensed Consolidated Financial Statements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5</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2.</w:t>
            </w:r>
          </w:p>
        </w:tc>
        <w:tc>
          <w:tcPr>
            <w:tcW w:w="802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11</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3.</w:t>
            </w:r>
          </w:p>
        </w:tc>
        <w:tc>
          <w:tcPr>
            <w:tcW w:w="802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19</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4.</w:t>
            </w:r>
          </w:p>
        </w:tc>
        <w:tc>
          <w:tcPr>
            <w:tcW w:w="802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19</w:t>
            </w:r>
          </w:p>
        </w:tc>
      </w:tr>
      <w:tr>
        <w:trPr>
          <w:trHeight w:val="324"/>
        </w:trPr>
        <w:tc>
          <w:tcPr>
            <w:tcW w:w="1840" w:type="dxa"/>
            <w:vAlign w:val="bottom"/>
          </w:tcPr>
          <w:p>
            <w:pPr>
              <w:spacing w:after="0"/>
              <w:rPr>
                <w:sz w:val="24"/>
                <w:szCs w:val="24"/>
                <w:color w:val="auto"/>
              </w:rPr>
            </w:pPr>
          </w:p>
        </w:tc>
        <w:tc>
          <w:tcPr>
            <w:tcW w:w="8020" w:type="dxa"/>
            <w:vAlign w:val="bottom"/>
          </w:tcPr>
          <w:p>
            <w:pPr>
              <w:ind w:left="2600"/>
              <w:spacing w:after="0"/>
              <w:rPr>
                <w:sz w:val="20"/>
                <w:szCs w:val="20"/>
                <w:color w:val="auto"/>
              </w:rPr>
            </w:pPr>
            <w:r>
              <w:rPr>
                <w:rFonts w:ascii="Arial" w:cs="Arial" w:eastAsia="Arial" w:hAnsi="Arial"/>
                <w:sz w:val="18"/>
                <w:szCs w:val="18"/>
                <w:b w:val="1"/>
                <w:bCs w:val="1"/>
                <w:color w:val="auto"/>
              </w:rPr>
              <w:t>PART II – OTHER INFORMATION</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1.</w:t>
            </w:r>
          </w:p>
        </w:tc>
        <w:tc>
          <w:tcPr>
            <w:tcW w:w="802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19</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1A.</w:t>
            </w:r>
          </w:p>
        </w:tc>
        <w:tc>
          <w:tcPr>
            <w:tcW w:w="802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20</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2.</w:t>
            </w:r>
          </w:p>
        </w:tc>
        <w:tc>
          <w:tcPr>
            <w:tcW w:w="802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20</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3.</w:t>
            </w:r>
          </w:p>
        </w:tc>
        <w:tc>
          <w:tcPr>
            <w:tcW w:w="8020" w:type="dxa"/>
            <w:vAlign w:val="bottom"/>
          </w:tcPr>
          <w:p>
            <w:pPr>
              <w:ind w:left="120"/>
              <w:spacing w:after="0"/>
              <w:rPr>
                <w:sz w:val="20"/>
                <w:szCs w:val="20"/>
                <w:color w:val="auto"/>
              </w:rPr>
            </w:pPr>
            <w:r>
              <w:rPr>
                <w:rFonts w:ascii="Arial" w:cs="Arial" w:eastAsia="Arial" w:hAnsi="Arial"/>
                <w:sz w:val="18"/>
                <w:szCs w:val="18"/>
                <w:color w:val="auto"/>
              </w:rPr>
              <w:t>Defaults Upon Senior Securities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20</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4.</w:t>
            </w:r>
          </w:p>
        </w:tc>
        <w:tc>
          <w:tcPr>
            <w:tcW w:w="802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21</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5.</w:t>
            </w:r>
          </w:p>
        </w:tc>
        <w:tc>
          <w:tcPr>
            <w:tcW w:w="802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21</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6.</w:t>
            </w:r>
          </w:p>
        </w:tc>
        <w:tc>
          <w:tcPr>
            <w:tcW w:w="802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21</w:t>
            </w:r>
          </w:p>
        </w:tc>
      </w:tr>
      <w:tr>
        <w:trPr>
          <w:trHeight w:val="2404"/>
        </w:trPr>
        <w:tc>
          <w:tcPr>
            <w:tcW w:w="18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49"/>
        </w:trPr>
        <w:tc>
          <w:tcPr>
            <w:tcW w:w="1840" w:type="dxa"/>
            <w:vAlign w:val="bottom"/>
            <w:shd w:val="clear" w:color="auto" w:fill="808080"/>
          </w:tcPr>
          <w:p>
            <w:pPr>
              <w:spacing w:after="0"/>
              <w:rPr>
                <w:sz w:val="12"/>
                <w:szCs w:val="12"/>
                <w:color w:val="auto"/>
              </w:rPr>
            </w:pPr>
          </w:p>
        </w:tc>
        <w:tc>
          <w:tcPr>
            <w:tcW w:w="8020" w:type="dxa"/>
            <w:vAlign w:val="bottom"/>
            <w:shd w:val="clear" w:color="auto" w:fill="808080"/>
          </w:tcPr>
          <w:p>
            <w:pPr>
              <w:spacing w:after="0"/>
              <w:rPr>
                <w:sz w:val="12"/>
                <w:szCs w:val="12"/>
                <w:color w:val="auto"/>
              </w:rPr>
            </w:pPr>
          </w:p>
        </w:tc>
        <w:tc>
          <w:tcPr>
            <w:tcW w:w="140" w:type="dxa"/>
            <w:vAlign w:val="bottom"/>
            <w:shd w:val="clear" w:color="auto" w:fill="808080"/>
          </w:tcPr>
          <w:p>
            <w:pPr>
              <w:spacing w:after="0"/>
              <w:rPr>
                <w:sz w:val="12"/>
                <w:szCs w:val="12"/>
                <w:color w:val="auto"/>
              </w:rPr>
            </w:pPr>
          </w:p>
        </w:tc>
        <w:tc>
          <w:tcPr>
            <w:tcW w:w="360" w:type="dxa"/>
            <w:vAlign w:val="bottom"/>
            <w:shd w:val="clear" w:color="auto" w:fill="808080"/>
          </w:tcPr>
          <w:p>
            <w:pPr>
              <w:spacing w:after="0"/>
              <w:rPr>
                <w:sz w:val="12"/>
                <w:szCs w:val="12"/>
                <w:color w:val="auto"/>
              </w:rPr>
            </w:pPr>
          </w:p>
        </w:tc>
        <w:tc>
          <w:tcPr>
            <w:tcW w:w="1060" w:type="dxa"/>
            <w:vAlign w:val="bottom"/>
            <w:shd w:val="clear" w:color="auto" w:fill="808080"/>
          </w:tcPr>
          <w:p>
            <w:pPr>
              <w:spacing w:after="0"/>
              <w:rPr>
                <w:sz w:val="12"/>
                <w:szCs w:val="12"/>
                <w:color w:val="auto"/>
              </w:rPr>
            </w:pPr>
          </w:p>
        </w:tc>
      </w:tr>
    </w:tbl>
    <w:p>
      <w:pPr>
        <w:sectPr>
          <w:pgSz w:w="11900" w:h="16838" w:orient="portrait"/>
          <w:cols w:equalWidth="0" w:num="1">
            <w:col w:w="11420"/>
          </w:cols>
          <w:pgMar w:left="240" w:top="355"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420" w:type="dxa"/>
            <w:vAlign w:val="bottom"/>
            <w:gridSpan w:val="5"/>
          </w:tcPr>
          <w:p>
            <w:pPr>
              <w:jc w:val="center"/>
              <w:ind w:left="2868"/>
              <w:spacing w:after="0"/>
              <w:rPr>
                <w:sz w:val="20"/>
                <w:szCs w:val="20"/>
                <w:color w:val="auto"/>
              </w:rPr>
            </w:pPr>
            <w:r>
              <w:rPr>
                <w:rFonts w:ascii="Arial" w:cs="Arial" w:eastAsia="Arial" w:hAnsi="Arial"/>
                <w:sz w:val="22"/>
                <w:szCs w:val="22"/>
                <w:b w:val="1"/>
                <w:bCs w:val="1"/>
                <w:color w:val="auto"/>
              </w:rPr>
              <w:t>CLEARONE COMMUNICATIONS, INC.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gridSpan w:val="5"/>
          </w:tcPr>
          <w:p>
            <w:pPr>
              <w:jc w:val="center"/>
              <w:ind w:left="2888"/>
              <w:spacing w:after="0" w:line="243" w:lineRule="exact"/>
              <w:rPr>
                <w:sz w:val="20"/>
                <w:szCs w:val="20"/>
                <w:color w:val="auto"/>
              </w:rPr>
            </w:pPr>
            <w:r>
              <w:rPr>
                <w:rFonts w:ascii="Arial" w:cs="Arial" w:eastAsia="Arial" w:hAnsi="Arial"/>
                <w:sz w:val="22"/>
                <w:szCs w:val="22"/>
                <w:b w:val="1"/>
                <w:bCs w:val="1"/>
                <w:color w:val="auto"/>
                <w:w w:val="97"/>
              </w:rPr>
              <w:t>CONDENSED CONSOLIDATED BALANCE SHEETS</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7540" w:type="dxa"/>
            <w:vAlign w:val="bottom"/>
            <w:gridSpan w:val="4"/>
          </w:tcPr>
          <w:p>
            <w:pPr>
              <w:jc w:val="center"/>
              <w:ind w:left="3748"/>
              <w:spacing w:after="0"/>
              <w:rPr>
                <w:sz w:val="20"/>
                <w:szCs w:val="20"/>
                <w:color w:val="auto"/>
              </w:rPr>
            </w:pPr>
            <w:r>
              <w:rPr>
                <w:rFonts w:ascii="Arial" w:cs="Arial" w:eastAsia="Arial" w:hAnsi="Arial"/>
                <w:sz w:val="22"/>
                <w:szCs w:val="22"/>
                <w:b w:val="1"/>
                <w:bCs w:val="1"/>
                <w:color w:val="auto"/>
                <w:w w:val="87"/>
              </w:rPr>
              <w:t>(Dollars in thousands, except par value)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of June 30, 2012</w:t>
            </w:r>
          </w:p>
        </w:tc>
        <w:tc>
          <w:tcPr>
            <w:tcW w:w="1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 of December 31, 2011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Unaudited</w:t>
            </w: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DBE5F1"/>
          </w:tcPr>
          <w:p>
            <w:pPr>
              <w:ind w:left="21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E5F1"/>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10,418</w:t>
            </w:r>
          </w:p>
        </w:tc>
        <w:tc>
          <w:tcPr>
            <w:tcW w:w="1020" w:type="dxa"/>
            <w:vAlign w:val="bottom"/>
            <w:shd w:val="clear" w:color="auto" w:fill="DBE5F1"/>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w w:val="87"/>
              </w:rPr>
              <w:t>16,683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Receivables, net of allowance for doubtful accounts of $61 and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$149, respectively</w:t>
            </w:r>
          </w:p>
        </w:tc>
        <w:tc>
          <w:tcPr>
            <w:tcW w:w="300" w:type="dxa"/>
            <w:vAlign w:val="bottom"/>
          </w:tcPr>
          <w:p>
            <w:pPr>
              <w:spacing w:after="0"/>
              <w:rPr>
                <w:sz w:val="20"/>
                <w:szCs w:val="20"/>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7,409</w:t>
            </w:r>
          </w:p>
        </w:tc>
        <w:tc>
          <w:tcPr>
            <w:tcW w:w="10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15,064</w:t>
            </w: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w w:val="87"/>
              </w:rPr>
              <w:t>12,565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3,025</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DBE5F1"/>
            </w:tcBorders>
            <w:shd w:val="clear" w:color="auto" w:fill="DBE5F1"/>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auto"/>
            </w:tcBorders>
            <w:shd w:val="clear" w:color="auto" w:fill="DBE5F1"/>
          </w:tcPr>
          <w:p>
            <w:pPr>
              <w:spacing w:after="0"/>
              <w:rPr>
                <w:sz w:val="17"/>
                <w:szCs w:val="17"/>
                <w:color w:val="auto"/>
              </w:rPr>
            </w:pPr>
          </w:p>
        </w:tc>
        <w:tc>
          <w:tcPr>
            <w:tcW w:w="1160" w:type="dxa"/>
            <w:vAlign w:val="bottom"/>
            <w:tcBorders>
              <w:bottom w:val="single" w:sz="8" w:color="auto"/>
            </w:tcBorders>
            <w:shd w:val="clear" w:color="auto" w:fill="DBE5F1"/>
          </w:tcPr>
          <w:p>
            <w:pPr>
              <w:jc w:val="right"/>
              <w:ind w:right="271"/>
              <w:spacing w:after="0" w:line="202" w:lineRule="exact"/>
              <w:rPr>
                <w:sz w:val="20"/>
                <w:szCs w:val="20"/>
                <w:color w:val="auto"/>
              </w:rPr>
            </w:pPr>
            <w:r>
              <w:rPr>
                <w:rFonts w:ascii="Arial" w:cs="Arial" w:eastAsia="Arial" w:hAnsi="Arial"/>
                <w:sz w:val="18"/>
                <w:szCs w:val="18"/>
                <w:color w:val="auto"/>
              </w:rPr>
              <w:t>1,501</w:t>
            </w:r>
          </w:p>
        </w:tc>
        <w:tc>
          <w:tcPr>
            <w:tcW w:w="1020" w:type="dxa"/>
            <w:vAlign w:val="bottom"/>
            <w:tcBorders>
              <w:bottom w:val="single" w:sz="8" w:color="auto"/>
            </w:tcBorders>
            <w:shd w:val="clear" w:color="auto" w:fill="DBE5F1"/>
          </w:tcPr>
          <w:p>
            <w:pPr>
              <w:spacing w:after="0"/>
              <w:rPr>
                <w:sz w:val="17"/>
                <w:szCs w:val="17"/>
                <w:color w:val="auto"/>
              </w:rPr>
            </w:pPr>
          </w:p>
        </w:tc>
        <w:tc>
          <w:tcPr>
            <w:tcW w:w="880" w:type="dxa"/>
            <w:vAlign w:val="bottom"/>
            <w:tcBorders>
              <w:bottom w:val="single" w:sz="8" w:color="auto"/>
            </w:tcBorders>
            <w:shd w:val="clear" w:color="auto" w:fill="DBE5F1"/>
          </w:tcPr>
          <w:p>
            <w:pPr>
              <w:jc w:val="right"/>
              <w:ind w:right="290"/>
              <w:spacing w:after="0" w:line="202"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37,417</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w w:val="87"/>
              </w:rPr>
              <w:t>41,432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2,064</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2,135</w:t>
            </w: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5,858</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1,939</w:t>
            </w: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DBE5F1"/>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64</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DBE5F1"/>
            </w:tcBorders>
            <w:shd w:val="clear" w:color="auto" w:fill="DBE5F1"/>
          </w:tcPr>
          <w:p>
            <w:pPr>
              <w:ind w:left="160"/>
              <w:spacing w:after="0" w:line="182"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DBE5F1"/>
          </w:tcPr>
          <w:p>
            <w:pPr>
              <w:ind w:left="12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E5F1"/>
          </w:tcPr>
          <w:p>
            <w:pPr>
              <w:jc w:val="right"/>
              <w:ind w:right="271"/>
              <w:spacing w:after="0" w:line="182" w:lineRule="exact"/>
              <w:rPr>
                <w:sz w:val="20"/>
                <w:szCs w:val="20"/>
                <w:color w:val="auto"/>
              </w:rPr>
            </w:pPr>
            <w:r>
              <w:rPr>
                <w:rFonts w:ascii="Arial" w:cs="Arial" w:eastAsia="Arial" w:hAnsi="Arial"/>
                <w:sz w:val="18"/>
                <w:szCs w:val="18"/>
                <w:color w:val="auto"/>
              </w:rPr>
              <w:t>49,477</w:t>
            </w:r>
          </w:p>
        </w:tc>
        <w:tc>
          <w:tcPr>
            <w:tcW w:w="1020" w:type="dxa"/>
            <w:vAlign w:val="bottom"/>
            <w:tcBorders>
              <w:bottom w:val="single" w:sz="8" w:color="auto"/>
            </w:tcBorders>
            <w:shd w:val="clear" w:color="auto" w:fill="DBE5F1"/>
          </w:tcPr>
          <w:p>
            <w:pPr>
              <w:jc w:val="right"/>
              <w:ind w:right="714"/>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E5F1"/>
          </w:tcPr>
          <w:p>
            <w:pPr>
              <w:jc w:val="right"/>
              <w:ind w:right="290"/>
              <w:spacing w:after="0" w:line="182" w:lineRule="exact"/>
              <w:rPr>
                <w:sz w:val="20"/>
                <w:szCs w:val="20"/>
                <w:color w:val="auto"/>
              </w:rPr>
            </w:pPr>
            <w:r>
              <w:rPr>
                <w:rFonts w:ascii="Arial" w:cs="Arial" w:eastAsia="Arial" w:hAnsi="Arial"/>
                <w:sz w:val="18"/>
                <w:szCs w:val="18"/>
                <w:color w:val="auto"/>
                <w:w w:val="87"/>
              </w:rPr>
              <w:t>49,559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ind w:left="58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E5F1"/>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1,285</w:t>
            </w:r>
          </w:p>
        </w:tc>
        <w:tc>
          <w:tcPr>
            <w:tcW w:w="1020" w:type="dxa"/>
            <w:vAlign w:val="bottom"/>
            <w:shd w:val="clear" w:color="auto" w:fill="DBE5F1"/>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2,648</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DBE5F1"/>
            </w:tcBorders>
            <w:shd w:val="clear" w:color="auto" w:fill="DBE5F1"/>
          </w:tcPr>
          <w:p>
            <w:pPr>
              <w:spacing w:after="0" w:line="202" w:lineRule="exact"/>
              <w:rPr>
                <w:sz w:val="20"/>
                <w:szCs w:val="20"/>
                <w:color w:val="auto"/>
              </w:rPr>
            </w:pPr>
            <w:r>
              <w:rPr>
                <w:rFonts w:ascii="Arial" w:cs="Arial" w:eastAsia="Arial" w:hAnsi="Arial"/>
                <w:sz w:val="18"/>
                <w:szCs w:val="18"/>
                <w:color w:val="auto"/>
              </w:rPr>
              <w:t>Deferred product revenue</w:t>
            </w:r>
          </w:p>
        </w:tc>
        <w:tc>
          <w:tcPr>
            <w:tcW w:w="300" w:type="dxa"/>
            <w:vAlign w:val="bottom"/>
            <w:tcBorders>
              <w:bottom w:val="single" w:sz="8" w:color="auto"/>
            </w:tcBorders>
            <w:shd w:val="clear" w:color="auto" w:fill="DBE5F1"/>
          </w:tcPr>
          <w:p>
            <w:pPr>
              <w:spacing w:after="0"/>
              <w:rPr>
                <w:sz w:val="17"/>
                <w:szCs w:val="17"/>
                <w:color w:val="auto"/>
              </w:rPr>
            </w:pPr>
          </w:p>
        </w:tc>
        <w:tc>
          <w:tcPr>
            <w:tcW w:w="1160" w:type="dxa"/>
            <w:vAlign w:val="bottom"/>
            <w:tcBorders>
              <w:bottom w:val="single" w:sz="8" w:color="auto"/>
            </w:tcBorders>
            <w:shd w:val="clear" w:color="auto" w:fill="DBE5F1"/>
          </w:tcPr>
          <w:p>
            <w:pPr>
              <w:jc w:val="right"/>
              <w:ind w:right="271"/>
              <w:spacing w:after="0" w:line="202" w:lineRule="exact"/>
              <w:rPr>
                <w:sz w:val="20"/>
                <w:szCs w:val="20"/>
                <w:color w:val="auto"/>
              </w:rPr>
            </w:pPr>
            <w:r>
              <w:rPr>
                <w:rFonts w:ascii="Arial" w:cs="Arial" w:eastAsia="Arial" w:hAnsi="Arial"/>
                <w:sz w:val="18"/>
                <w:szCs w:val="18"/>
                <w:color w:val="auto"/>
              </w:rPr>
              <w:t>3,451</w:t>
            </w:r>
          </w:p>
        </w:tc>
        <w:tc>
          <w:tcPr>
            <w:tcW w:w="1020" w:type="dxa"/>
            <w:vAlign w:val="bottom"/>
            <w:tcBorders>
              <w:bottom w:val="single" w:sz="8" w:color="auto"/>
            </w:tcBorders>
            <w:shd w:val="clear" w:color="auto" w:fill="DBE5F1"/>
          </w:tcPr>
          <w:p>
            <w:pPr>
              <w:spacing w:after="0"/>
              <w:rPr>
                <w:sz w:val="17"/>
                <w:szCs w:val="17"/>
                <w:color w:val="auto"/>
              </w:rPr>
            </w:pPr>
          </w:p>
        </w:tc>
        <w:tc>
          <w:tcPr>
            <w:tcW w:w="880" w:type="dxa"/>
            <w:vAlign w:val="bottom"/>
            <w:tcBorders>
              <w:bottom w:val="single" w:sz="8" w:color="auto"/>
            </w:tcBorders>
            <w:shd w:val="clear" w:color="auto" w:fill="DBE5F1"/>
          </w:tcPr>
          <w:p>
            <w:pPr>
              <w:jc w:val="right"/>
              <w:ind w:right="290"/>
              <w:spacing w:after="0" w:line="202" w:lineRule="exact"/>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7,384</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128</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487</w:t>
            </w: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DBE5F1"/>
            </w:tcBorders>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686</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tcBorders>
              <w:bottom w:val="single" w:sz="8" w:color="DBE5F1"/>
            </w:tcBorders>
            <w:shd w:val="clear" w:color="auto" w:fill="DBE5F1"/>
          </w:tcPr>
          <w:p>
            <w:pPr>
              <w:ind w:left="160"/>
              <w:spacing w:after="0" w:line="182"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DBE5F1"/>
          </w:tcPr>
          <w:p>
            <w:pPr>
              <w:spacing w:after="0"/>
              <w:rPr>
                <w:sz w:val="15"/>
                <w:szCs w:val="15"/>
                <w:color w:val="auto"/>
              </w:rPr>
            </w:pPr>
          </w:p>
        </w:tc>
        <w:tc>
          <w:tcPr>
            <w:tcW w:w="1160" w:type="dxa"/>
            <w:vAlign w:val="bottom"/>
            <w:tcBorders>
              <w:bottom w:val="single" w:sz="8" w:color="auto"/>
            </w:tcBorders>
            <w:shd w:val="clear" w:color="auto" w:fill="DBE5F1"/>
          </w:tcPr>
          <w:p>
            <w:pPr>
              <w:jc w:val="right"/>
              <w:ind w:right="271"/>
              <w:spacing w:after="0" w:line="182" w:lineRule="exact"/>
              <w:rPr>
                <w:sz w:val="20"/>
                <w:szCs w:val="20"/>
                <w:color w:val="auto"/>
              </w:rPr>
            </w:pPr>
            <w:r>
              <w:rPr>
                <w:rFonts w:ascii="Arial" w:cs="Arial" w:eastAsia="Arial" w:hAnsi="Arial"/>
                <w:sz w:val="18"/>
                <w:szCs w:val="18"/>
                <w:color w:val="auto"/>
              </w:rPr>
              <w:t>8,685</w:t>
            </w:r>
          </w:p>
        </w:tc>
        <w:tc>
          <w:tcPr>
            <w:tcW w:w="1020" w:type="dxa"/>
            <w:vAlign w:val="bottom"/>
            <w:tcBorders>
              <w:bottom w:val="single" w:sz="8" w:color="auto"/>
            </w:tcBorders>
            <w:shd w:val="clear" w:color="auto" w:fill="DBE5F1"/>
          </w:tcPr>
          <w:p>
            <w:pPr>
              <w:spacing w:after="0"/>
              <w:rPr>
                <w:sz w:val="15"/>
                <w:szCs w:val="15"/>
                <w:color w:val="auto"/>
              </w:rPr>
            </w:pPr>
          </w:p>
        </w:tc>
        <w:tc>
          <w:tcPr>
            <w:tcW w:w="880" w:type="dxa"/>
            <w:vAlign w:val="bottom"/>
            <w:tcBorders>
              <w:bottom w:val="single" w:sz="8" w:color="auto"/>
            </w:tcBorders>
            <w:shd w:val="clear" w:color="auto" w:fill="DBE5F1"/>
          </w:tcPr>
          <w:p>
            <w:pPr>
              <w:jc w:val="right"/>
              <w:ind w:right="290"/>
              <w:spacing w:after="0" w:line="182" w:lineRule="exact"/>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7"/>
              </w:rPr>
              <w:t>Common stock, par value $0.001, 50,000,000 shares authorized,</w:t>
            </w:r>
          </w:p>
        </w:tc>
        <w:tc>
          <w:tcPr>
            <w:tcW w:w="300" w:type="dxa"/>
            <w:vAlign w:val="bottom"/>
          </w:tcPr>
          <w:p>
            <w:pPr>
              <w:spacing w:after="0"/>
              <w:rPr>
                <w:sz w:val="17"/>
                <w:szCs w:val="17"/>
                <w:color w:val="auto"/>
              </w:rPr>
            </w:pPr>
          </w:p>
        </w:tc>
        <w:tc>
          <w:tcPr>
            <w:tcW w:w="1160" w:type="dxa"/>
            <w:vAlign w:val="bottom"/>
          </w:tcPr>
          <w:p>
            <w:pPr>
              <w:jc w:val="right"/>
              <w:ind w:right="271"/>
              <w:spacing w:after="0" w:line="201" w:lineRule="exact"/>
              <w:rPr>
                <w:sz w:val="20"/>
                <w:szCs w:val="20"/>
                <w:color w:val="auto"/>
              </w:rPr>
            </w:pPr>
            <w:r>
              <w:rPr>
                <w:rFonts w:ascii="Arial" w:cs="Arial" w:eastAsia="Arial" w:hAnsi="Arial"/>
                <w:sz w:val="18"/>
                <w:szCs w:val="18"/>
                <w:color w:val="auto"/>
              </w:rPr>
              <w:t>9</w:t>
            </w:r>
          </w:p>
        </w:tc>
        <w:tc>
          <w:tcPr>
            <w:tcW w:w="1020" w:type="dxa"/>
            <w:vAlign w:val="bottom"/>
          </w:tcPr>
          <w:p>
            <w:pPr>
              <w:spacing w:after="0"/>
              <w:rPr>
                <w:sz w:val="17"/>
                <w:szCs w:val="17"/>
                <w:color w:val="auto"/>
              </w:rPr>
            </w:pPr>
          </w:p>
        </w:tc>
        <w:tc>
          <w:tcPr>
            <w:tcW w:w="88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9,125,774 and 9,098,152 shares issued and outstanding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40,265</w:t>
            </w:r>
          </w:p>
        </w:tc>
        <w:tc>
          <w:tcPr>
            <w:tcW w:w="102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w w:val="87"/>
              </w:rPr>
              <w:t>40,073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Treasury stock at cost - 22,814 shares as of June 30, 2012</w:t>
            </w:r>
          </w:p>
        </w:tc>
        <w:tc>
          <w:tcPr>
            <w:tcW w:w="300" w:type="dxa"/>
            <w:vAlign w:val="bottom"/>
          </w:tcPr>
          <w:p>
            <w:pPr>
              <w:spacing w:after="0"/>
              <w:rPr>
                <w:sz w:val="18"/>
                <w:szCs w:val="18"/>
                <w:color w:val="auto"/>
              </w:rPr>
            </w:pP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(92)</w:t>
            </w:r>
          </w:p>
        </w:tc>
        <w:tc>
          <w:tcPr>
            <w:tcW w:w="10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BE5F1"/>
          </w:tcPr>
          <w:p>
            <w:pPr>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Borders>
              <w:bottom w:val="single" w:sz="8" w:color="auto"/>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271"/>
              <w:spacing w:after="0"/>
              <w:rPr>
                <w:sz w:val="20"/>
                <w:szCs w:val="20"/>
                <w:color w:val="auto"/>
              </w:rPr>
            </w:pPr>
            <w:r>
              <w:rPr>
                <w:rFonts w:ascii="Arial" w:cs="Arial" w:eastAsia="Arial" w:hAnsi="Arial"/>
                <w:sz w:val="18"/>
                <w:szCs w:val="18"/>
                <w:color w:val="auto"/>
              </w:rPr>
              <w:t>610</w:t>
            </w:r>
          </w:p>
        </w:tc>
        <w:tc>
          <w:tcPr>
            <w:tcW w:w="1020" w:type="dxa"/>
            <w:vAlign w:val="bottom"/>
            <w:tcBorders>
              <w:bottom w:val="single" w:sz="8" w:color="auto"/>
            </w:tcBorders>
            <w:shd w:val="clear" w:color="auto" w:fill="DBE5F1"/>
          </w:tcPr>
          <w:p>
            <w:pPr>
              <w:spacing w:after="0"/>
              <w:rPr>
                <w:sz w:val="18"/>
                <w:szCs w:val="18"/>
                <w:color w:val="auto"/>
              </w:rPr>
            </w:pPr>
          </w:p>
        </w:tc>
        <w:tc>
          <w:tcPr>
            <w:tcW w:w="880" w:type="dxa"/>
            <w:vAlign w:val="bottom"/>
            <w:tcBorders>
              <w:bottom w:val="single" w:sz="8" w:color="auto"/>
            </w:tcBorders>
            <w:shd w:val="clear" w:color="auto" w:fill="DBE5F1"/>
          </w:tcPr>
          <w:p>
            <w:pPr>
              <w:jc w:val="right"/>
              <w:ind w:right="23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tcPr>
          <w:p>
            <w:pPr>
              <w:ind w:left="160"/>
              <w:spacing w:after="0" w:line="182" w:lineRule="exact"/>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1"/>
              <w:spacing w:after="0" w:line="182" w:lineRule="exact"/>
              <w:rPr>
                <w:sz w:val="20"/>
                <w:szCs w:val="20"/>
                <w:color w:val="auto"/>
              </w:rPr>
            </w:pPr>
            <w:r>
              <w:rPr>
                <w:rFonts w:ascii="Arial" w:cs="Arial" w:eastAsia="Arial" w:hAnsi="Arial"/>
                <w:sz w:val="18"/>
                <w:szCs w:val="18"/>
                <w:color w:val="auto"/>
              </w:rPr>
              <w:t>40,792</w:t>
            </w:r>
          </w:p>
        </w:tc>
        <w:tc>
          <w:tcPr>
            <w:tcW w:w="10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87"/>
              </w:rPr>
              <w:t>39,664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DBE5F1"/>
            </w:tcBorders>
            <w:shd w:val="clear" w:color="auto" w:fill="DBE5F1"/>
          </w:tcPr>
          <w:p>
            <w:pPr>
              <w:ind w:left="16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DBE5F1"/>
          </w:tcPr>
          <w:p>
            <w:pPr>
              <w:ind w:left="12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E5F1"/>
          </w:tcPr>
          <w:p>
            <w:pPr>
              <w:jc w:val="right"/>
              <w:ind w:right="271"/>
              <w:spacing w:after="0" w:line="182" w:lineRule="exact"/>
              <w:rPr>
                <w:sz w:val="20"/>
                <w:szCs w:val="20"/>
                <w:color w:val="auto"/>
              </w:rPr>
            </w:pPr>
            <w:r>
              <w:rPr>
                <w:rFonts w:ascii="Arial" w:cs="Arial" w:eastAsia="Arial" w:hAnsi="Arial"/>
                <w:sz w:val="18"/>
                <w:szCs w:val="18"/>
                <w:color w:val="auto"/>
              </w:rPr>
              <w:t>49,477</w:t>
            </w:r>
          </w:p>
        </w:tc>
        <w:tc>
          <w:tcPr>
            <w:tcW w:w="1020" w:type="dxa"/>
            <w:vAlign w:val="bottom"/>
            <w:tcBorders>
              <w:bottom w:val="single" w:sz="8" w:color="auto"/>
            </w:tcBorders>
            <w:shd w:val="clear" w:color="auto" w:fill="DBE5F1"/>
          </w:tcPr>
          <w:p>
            <w:pPr>
              <w:jc w:val="right"/>
              <w:ind w:right="714"/>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E5F1"/>
          </w:tcPr>
          <w:p>
            <w:pPr>
              <w:jc w:val="right"/>
              <w:ind w:right="290"/>
              <w:spacing w:after="0" w:line="182" w:lineRule="exact"/>
              <w:rPr>
                <w:sz w:val="20"/>
                <w:szCs w:val="20"/>
                <w:color w:val="auto"/>
              </w:rPr>
            </w:pPr>
            <w:r>
              <w:rPr>
                <w:rFonts w:ascii="Arial" w:cs="Arial" w:eastAsia="Arial" w:hAnsi="Arial"/>
                <w:sz w:val="18"/>
                <w:szCs w:val="18"/>
                <w:color w:val="auto"/>
                <w:w w:val="87"/>
              </w:rPr>
              <w:t>49,559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3" w:name="page4"/>
    <w:bookmarkEnd w:id="3"/>
    <w:p>
      <w:pPr>
        <w:jc w:val="center"/>
        <w:ind w:left="2040"/>
        <w:spacing w:after="0" w:line="243" w:lineRule="auto"/>
        <w:rPr>
          <w:sz w:val="20"/>
          <w:szCs w:val="20"/>
          <w:color w:val="auto"/>
        </w:rPr>
      </w:pPr>
      <w:r>
        <w:rPr>
          <w:rFonts w:ascii="Arial" w:cs="Arial" w:eastAsia="Arial" w:hAnsi="Arial"/>
          <w:sz w:val="22"/>
          <w:szCs w:val="22"/>
          <w:b w:val="1"/>
          <w:bCs w:val="1"/>
          <w:color w:val="auto"/>
        </w:rPr>
        <w:t>CLEARONE COMMUNICATIONS, INC. UNAUDITED CONDENSED CONSOLIDATED STATEMENTS OF OPERATIONS (Dollars 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DBE5F1"/>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11,655</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31"/>
              <w:spacing w:after="0"/>
              <w:rPr>
                <w:sz w:val="20"/>
                <w:szCs w:val="20"/>
                <w:color w:val="auto"/>
              </w:rPr>
            </w:pPr>
            <w:r>
              <w:rPr>
                <w:rFonts w:ascii="Arial" w:cs="Arial" w:eastAsia="Arial" w:hAnsi="Arial"/>
                <w:sz w:val="18"/>
                <w:szCs w:val="18"/>
                <w:color w:val="auto"/>
              </w:rPr>
              <w:t>11,890</w:t>
            </w:r>
          </w:p>
        </w:tc>
        <w:tc>
          <w:tcPr>
            <w:tcW w:w="26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21,809</w:t>
            </w: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E5F1"/>
          </w:tcPr>
          <w:p>
            <w:pPr>
              <w:jc w:val="right"/>
              <w:ind w:right="171"/>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DBE5F1"/>
            </w:tcBorders>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4,562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4,734</w:t>
            </w:r>
          </w:p>
        </w:tc>
        <w:tc>
          <w:tcPr>
            <w:tcW w:w="80" w:type="dxa"/>
            <w:vAlign w:val="bottom"/>
            <w:tcBorders>
              <w:bottom w:val="single" w:sz="8" w:color="DBE5F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8,608</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DBE5F1"/>
            </w:tcBorders>
            <w:shd w:val="clear" w:color="auto" w:fill="DBE5F1"/>
          </w:tcPr>
          <w:p>
            <w:pPr>
              <w:spacing w:after="0" w:line="182" w:lineRule="exact"/>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DBE5F1"/>
          </w:tcPr>
          <w:p>
            <w:pPr>
              <w:spacing w:after="0"/>
              <w:rPr>
                <w:sz w:val="15"/>
                <w:szCs w:val="15"/>
                <w:color w:val="auto"/>
              </w:rPr>
            </w:pPr>
          </w:p>
        </w:tc>
        <w:tc>
          <w:tcPr>
            <w:tcW w:w="960" w:type="dxa"/>
            <w:vAlign w:val="bottom"/>
            <w:tcBorders>
              <w:bottom w:val="single" w:sz="8" w:color="auto"/>
            </w:tcBorders>
            <w:shd w:val="clear" w:color="auto" w:fill="DBE5F1"/>
          </w:tcPr>
          <w:p>
            <w:pPr>
              <w:jc w:val="right"/>
              <w:ind w:right="92"/>
              <w:spacing w:after="0" w:line="182" w:lineRule="exact"/>
              <w:rPr>
                <w:sz w:val="20"/>
                <w:szCs w:val="20"/>
                <w:color w:val="auto"/>
              </w:rPr>
            </w:pPr>
            <w:r>
              <w:rPr>
                <w:rFonts w:ascii="Arial" w:cs="Arial" w:eastAsia="Arial" w:hAnsi="Arial"/>
                <w:sz w:val="18"/>
                <w:szCs w:val="18"/>
                <w:color w:val="auto"/>
              </w:rPr>
              <w:t>7,093</w:t>
            </w:r>
          </w:p>
        </w:tc>
        <w:tc>
          <w:tcPr>
            <w:tcW w:w="260" w:type="dxa"/>
            <w:vAlign w:val="bottom"/>
            <w:tcBorders>
              <w:bottom w:val="single" w:sz="8" w:color="auto"/>
            </w:tcBorders>
            <w:shd w:val="clear" w:color="auto" w:fill="DBE5F1"/>
          </w:tcPr>
          <w:p>
            <w:pPr>
              <w:spacing w:after="0"/>
              <w:rPr>
                <w:sz w:val="15"/>
                <w:szCs w:val="15"/>
                <w:color w:val="auto"/>
              </w:rPr>
            </w:pPr>
          </w:p>
        </w:tc>
        <w:tc>
          <w:tcPr>
            <w:tcW w:w="1000" w:type="dxa"/>
            <w:vAlign w:val="bottom"/>
            <w:tcBorders>
              <w:bottom w:val="single" w:sz="8" w:color="auto"/>
            </w:tcBorders>
            <w:shd w:val="clear" w:color="auto" w:fill="DBE5F1"/>
          </w:tcPr>
          <w:p>
            <w:pPr>
              <w:jc w:val="right"/>
              <w:ind w:right="131"/>
              <w:spacing w:after="0" w:line="182" w:lineRule="exact"/>
              <w:rPr>
                <w:sz w:val="20"/>
                <w:szCs w:val="20"/>
                <w:color w:val="auto"/>
              </w:rPr>
            </w:pPr>
            <w:r>
              <w:rPr>
                <w:rFonts w:ascii="Arial" w:cs="Arial" w:eastAsia="Arial" w:hAnsi="Arial"/>
                <w:sz w:val="18"/>
                <w:szCs w:val="18"/>
                <w:color w:val="auto"/>
              </w:rPr>
              <w:t>7,156</w:t>
            </w:r>
          </w:p>
        </w:tc>
        <w:tc>
          <w:tcPr>
            <w:tcW w:w="80" w:type="dxa"/>
            <w:vAlign w:val="bottom"/>
            <w:tcBorders>
              <w:bottom w:val="single" w:sz="8" w:color="DBE5F1"/>
            </w:tcBorders>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960" w:type="dxa"/>
            <w:vAlign w:val="bottom"/>
            <w:tcBorders>
              <w:bottom w:val="single" w:sz="8" w:color="auto"/>
            </w:tcBorders>
            <w:shd w:val="clear" w:color="auto" w:fill="DBE5F1"/>
          </w:tcPr>
          <w:p>
            <w:pPr>
              <w:jc w:val="right"/>
              <w:ind w:right="92"/>
              <w:spacing w:after="0" w:line="182" w:lineRule="exact"/>
              <w:rPr>
                <w:sz w:val="20"/>
                <w:szCs w:val="20"/>
                <w:color w:val="auto"/>
              </w:rPr>
            </w:pPr>
            <w:r>
              <w:rPr>
                <w:rFonts w:ascii="Arial" w:cs="Arial" w:eastAsia="Arial" w:hAnsi="Arial"/>
                <w:sz w:val="18"/>
                <w:szCs w:val="18"/>
                <w:color w:val="auto"/>
              </w:rPr>
              <w:t>13,201</w:t>
            </w:r>
          </w:p>
        </w:tc>
        <w:tc>
          <w:tcPr>
            <w:tcW w:w="280" w:type="dxa"/>
            <w:vAlign w:val="bottom"/>
            <w:tcBorders>
              <w:bottom w:val="single" w:sz="8" w:color="auto"/>
            </w:tcBorders>
            <w:shd w:val="clear" w:color="auto" w:fill="DBE5F1"/>
          </w:tcPr>
          <w:p>
            <w:pPr>
              <w:spacing w:after="0"/>
              <w:rPr>
                <w:sz w:val="15"/>
                <w:szCs w:val="15"/>
                <w:color w:val="auto"/>
              </w:rPr>
            </w:pPr>
          </w:p>
        </w:tc>
        <w:tc>
          <w:tcPr>
            <w:tcW w:w="1020" w:type="dxa"/>
            <w:vAlign w:val="bottom"/>
            <w:tcBorders>
              <w:bottom w:val="single" w:sz="8" w:color="auto"/>
            </w:tcBorders>
            <w:shd w:val="clear" w:color="auto" w:fill="DBE5F1"/>
          </w:tcPr>
          <w:p>
            <w:pPr>
              <w:jc w:val="right"/>
              <w:ind w:right="171"/>
              <w:spacing w:after="0" w:line="182" w:lineRule="exact"/>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DBE5F1"/>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2,254</w:t>
            </w:r>
          </w:p>
        </w:tc>
        <w:tc>
          <w:tcPr>
            <w:tcW w:w="26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4,388</w:t>
            </w:r>
          </w:p>
        </w:tc>
        <w:tc>
          <w:tcPr>
            <w:tcW w:w="2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DBE5F1"/>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2,029</w:t>
            </w: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31"/>
              <w:spacing w:after="0"/>
              <w:rPr>
                <w:sz w:val="20"/>
                <w:szCs w:val="20"/>
                <w:color w:val="auto"/>
              </w:rPr>
            </w:pPr>
            <w:r>
              <w:rPr>
                <w:rFonts w:ascii="Arial" w:cs="Arial" w:eastAsia="Arial" w:hAnsi="Arial"/>
                <w:sz w:val="18"/>
                <w:szCs w:val="18"/>
                <w:color w:val="auto"/>
              </w:rPr>
              <w:t>1,816</w:t>
            </w: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4,037</w:t>
            </w: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jc w:val="right"/>
              <w:ind w:right="171"/>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1,686</w:t>
            </w:r>
          </w:p>
        </w:tc>
        <w:tc>
          <w:tcPr>
            <w:tcW w:w="26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3,191</w:t>
            </w:r>
          </w:p>
        </w:tc>
        <w:tc>
          <w:tcPr>
            <w:tcW w:w="2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DBE5F1"/>
          </w:tcPr>
          <w:p>
            <w:pPr>
              <w:spacing w:after="0"/>
              <w:rPr>
                <w:sz w:val="20"/>
                <w:szCs w:val="20"/>
                <w:color w:val="auto"/>
              </w:rPr>
            </w:pPr>
            <w:r>
              <w:rPr>
                <w:rFonts w:ascii="Arial" w:cs="Arial" w:eastAsia="Arial" w:hAnsi="Arial"/>
                <w:sz w:val="18"/>
                <w:szCs w:val="18"/>
                <w:color w:val="auto"/>
              </w:rPr>
              <w:t>Proceeds from litigation</w:t>
            </w:r>
          </w:p>
        </w:tc>
        <w:tc>
          <w:tcPr>
            <w:tcW w:w="180" w:type="dxa"/>
            <w:vAlign w:val="bottom"/>
            <w:tcBorders>
              <w:bottom w:val="single" w:sz="8" w:color="auto"/>
            </w:tcBorders>
            <w:shd w:val="clear" w:color="auto" w:fill="DBE5F1"/>
          </w:tcPr>
          <w:p>
            <w:pPr>
              <w:spacing w:after="0"/>
              <w:rPr>
                <w:sz w:val="18"/>
                <w:szCs w:val="18"/>
                <w:color w:val="auto"/>
              </w:rPr>
            </w:pPr>
          </w:p>
        </w:tc>
        <w:tc>
          <w:tcPr>
            <w:tcW w:w="9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shd w:val="clear" w:color="auto" w:fill="DBE5F1"/>
          </w:tcPr>
          <w:p>
            <w:pPr>
              <w:spacing w:after="0"/>
              <w:rPr>
                <w:sz w:val="18"/>
                <w:szCs w:val="18"/>
                <w:color w:val="auto"/>
              </w:rPr>
            </w:pPr>
          </w:p>
        </w:tc>
        <w:tc>
          <w:tcPr>
            <w:tcW w:w="180" w:type="dxa"/>
            <w:vAlign w:val="bottom"/>
            <w:tcBorders>
              <w:bottom w:val="single" w:sz="8" w:color="auto"/>
            </w:tcBorders>
            <w:shd w:val="clear" w:color="auto" w:fill="DBE5F1"/>
          </w:tcPr>
          <w:p>
            <w:pPr>
              <w:spacing w:after="0"/>
              <w:rPr>
                <w:sz w:val="18"/>
                <w:szCs w:val="18"/>
                <w:color w:val="auto"/>
              </w:rPr>
            </w:pPr>
          </w:p>
        </w:tc>
        <w:tc>
          <w:tcPr>
            <w:tcW w:w="96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(250)</w:t>
            </w:r>
          </w:p>
        </w:tc>
        <w:tc>
          <w:tcPr>
            <w:tcW w:w="280" w:type="dxa"/>
            <w:vAlign w:val="bottom"/>
            <w:tcBorders>
              <w:bottom w:val="single" w:sz="8" w:color="auto"/>
            </w:tcBorders>
            <w:shd w:val="clear" w:color="auto" w:fill="DBE5F1"/>
          </w:tcPr>
          <w:p>
            <w:pPr>
              <w:spacing w:after="0"/>
              <w:rPr>
                <w:sz w:val="18"/>
                <w:szCs w:val="18"/>
                <w:color w:val="auto"/>
              </w:rPr>
            </w:pPr>
          </w:p>
        </w:tc>
        <w:tc>
          <w:tcPr>
            <w:tcW w:w="1020" w:type="dxa"/>
            <w:vAlign w:val="bottom"/>
            <w:tcBorders>
              <w:bottom w:val="single" w:sz="8" w:color="auto"/>
            </w:tcBorders>
            <w:shd w:val="clear" w:color="auto" w:fill="DBE5F1"/>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line="182"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2"/>
              <w:spacing w:after="0" w:line="182" w:lineRule="exact"/>
              <w:rPr>
                <w:sz w:val="20"/>
                <w:szCs w:val="20"/>
                <w:color w:val="auto"/>
              </w:rPr>
            </w:pPr>
            <w:r>
              <w:rPr>
                <w:rFonts w:ascii="Arial" w:cs="Arial" w:eastAsia="Arial" w:hAnsi="Arial"/>
                <w:sz w:val="18"/>
                <w:szCs w:val="18"/>
                <w:color w:val="auto"/>
              </w:rPr>
              <w:t>5,969</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1"/>
              <w:spacing w:after="0" w:line="182" w:lineRule="exact"/>
              <w:rPr>
                <w:sz w:val="20"/>
                <w:szCs w:val="20"/>
                <w:color w:val="auto"/>
              </w:rPr>
            </w:pPr>
            <w:r>
              <w:rPr>
                <w:rFonts w:ascii="Arial" w:cs="Arial" w:eastAsia="Arial" w:hAnsi="Arial"/>
                <w:sz w:val="18"/>
                <w:szCs w:val="18"/>
                <w:color w:val="auto"/>
              </w:rPr>
              <w:t>5,283</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2"/>
              <w:spacing w:after="0" w:line="182" w:lineRule="exact"/>
              <w:rPr>
                <w:sz w:val="20"/>
                <w:szCs w:val="20"/>
                <w:color w:val="auto"/>
              </w:rPr>
            </w:pPr>
            <w:r>
              <w:rPr>
                <w:rFonts w:ascii="Arial" w:cs="Arial" w:eastAsia="Arial" w:hAnsi="Arial"/>
                <w:sz w:val="18"/>
                <w:szCs w:val="18"/>
                <w:color w:val="auto"/>
              </w:rPr>
              <w:t>11,366</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1"/>
              <w:spacing w:after="0" w:line="182" w:lineRule="exact"/>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1,124</w:t>
            </w:r>
          </w:p>
        </w:tc>
        <w:tc>
          <w:tcPr>
            <w:tcW w:w="26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1,835</w:t>
            </w:r>
          </w:p>
        </w:tc>
        <w:tc>
          <w:tcPr>
            <w:tcW w:w="2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1,846</w:t>
            </w:r>
          </w:p>
        </w:tc>
        <w:tc>
          <w:tcPr>
            <w:tcW w:w="2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260" w:type="dxa"/>
            <w:vAlign w:val="bottom"/>
            <w:gridSpan w:val="2"/>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00" w:type="dxa"/>
            <w:vAlign w:val="bottom"/>
            <w:gridSpan w:val="2"/>
          </w:tcPr>
          <w:p>
            <w:pPr>
              <w:spacing w:after="0" w:line="182"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2"/>
              <w:spacing w:after="0" w:line="182" w:lineRule="exact"/>
              <w:rPr>
                <w:sz w:val="20"/>
                <w:szCs w:val="20"/>
                <w:color w:val="auto"/>
              </w:rPr>
            </w:pPr>
            <w:r>
              <w:rPr>
                <w:rFonts w:ascii="Arial" w:cs="Arial" w:eastAsia="Arial" w:hAnsi="Arial"/>
                <w:sz w:val="18"/>
                <w:szCs w:val="18"/>
                <w:color w:val="auto"/>
              </w:rPr>
              <w:t>575</w:t>
            </w:r>
          </w:p>
        </w:tc>
        <w:tc>
          <w:tcPr>
            <w:tcW w:w="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31"/>
              <w:spacing w:after="0" w:line="182" w:lineRule="exact"/>
              <w:rPr>
                <w:sz w:val="20"/>
                <w:szCs w:val="20"/>
                <w:color w:val="auto"/>
              </w:rPr>
            </w:pPr>
            <w:r>
              <w:rPr>
                <w:rFonts w:ascii="Arial" w:cs="Arial" w:eastAsia="Arial" w:hAnsi="Arial"/>
                <w:sz w:val="18"/>
                <w:szCs w:val="18"/>
                <w:color w:val="auto"/>
              </w:rPr>
              <w:t>1,321</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2"/>
              <w:spacing w:after="0" w:line="182" w:lineRule="exact"/>
              <w:rPr>
                <w:sz w:val="20"/>
                <w:szCs w:val="20"/>
                <w:color w:val="auto"/>
              </w:rPr>
            </w:pPr>
            <w:r>
              <w:rPr>
                <w:rFonts w:ascii="Arial" w:cs="Arial" w:eastAsia="Arial" w:hAnsi="Arial"/>
                <w:sz w:val="18"/>
                <w:szCs w:val="18"/>
                <w:color w:val="auto"/>
              </w:rPr>
              <w:t>1,028</w:t>
            </w:r>
          </w:p>
        </w:tc>
        <w:tc>
          <w:tcPr>
            <w:tcW w:w="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71"/>
              <w:spacing w:after="0" w:line="18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96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c>
          <w:tcPr>
            <w:tcW w:w="260" w:type="dxa"/>
            <w:vAlign w:val="bottom"/>
            <w:gridSpan w:val="2"/>
            <w:shd w:val="clear" w:color="auto" w:fill="DBE5F1"/>
          </w:tcPr>
          <w:p>
            <w:pPr>
              <w:spacing w:after="0"/>
              <w:rPr>
                <w:sz w:val="17"/>
                <w:szCs w:val="17"/>
                <w:color w:val="auto"/>
              </w:rPr>
            </w:pPr>
          </w:p>
        </w:tc>
        <w:tc>
          <w:tcPr>
            <w:tcW w:w="960" w:type="dxa"/>
            <w:vAlign w:val="bottom"/>
            <w:shd w:val="clear" w:color="auto" w:fill="DBE5F1"/>
          </w:tcPr>
          <w:p>
            <w:pPr>
              <w:spacing w:after="0"/>
              <w:rPr>
                <w:sz w:val="17"/>
                <w:szCs w:val="17"/>
                <w:color w:val="auto"/>
              </w:rPr>
            </w:pPr>
          </w:p>
        </w:tc>
        <w:tc>
          <w:tcPr>
            <w:tcW w:w="280" w:type="dxa"/>
            <w:vAlign w:val="bottom"/>
            <w:shd w:val="clear" w:color="auto" w:fill="DBE5F1"/>
          </w:tcPr>
          <w:p>
            <w:pPr>
              <w:spacing w:after="0"/>
              <w:rPr>
                <w:sz w:val="17"/>
                <w:szCs w:val="17"/>
                <w:color w:val="auto"/>
              </w:rPr>
            </w:pPr>
          </w:p>
        </w:tc>
        <w:tc>
          <w:tcPr>
            <w:tcW w:w="102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DBE5F1"/>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31"/>
              <w:spacing w:after="0"/>
              <w:rPr>
                <w:sz w:val="20"/>
                <w:szCs w:val="20"/>
                <w:color w:val="auto"/>
              </w:rPr>
            </w:pPr>
            <w:r>
              <w:rPr>
                <w:rFonts w:ascii="Arial" w:cs="Arial" w:eastAsia="Arial" w:hAnsi="Arial"/>
                <w:sz w:val="18"/>
                <w:szCs w:val="18"/>
                <w:color w:val="auto"/>
              </w:rPr>
              <w:t>0.14</w:t>
            </w:r>
          </w:p>
        </w:tc>
        <w:tc>
          <w:tcPr>
            <w:tcW w:w="26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E5F1"/>
          </w:tcPr>
          <w:p>
            <w:pPr>
              <w:jc w:val="right"/>
              <w:ind w:right="17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DBE5F1"/>
          </w:tcPr>
          <w:p>
            <w:pPr>
              <w:spacing w:after="0"/>
              <w:rPr>
                <w:sz w:val="20"/>
                <w:szCs w:val="20"/>
                <w:color w:val="auto"/>
              </w:rPr>
            </w:pPr>
            <w:r>
              <w:rPr>
                <w:rFonts w:ascii="Arial" w:cs="Arial" w:eastAsia="Arial" w:hAnsi="Arial"/>
                <w:sz w:val="18"/>
                <w:szCs w:val="18"/>
                <w:color w:val="auto"/>
              </w:rPr>
              <w:t>Basic weighted average shares outstanding</w:t>
            </w: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w w:val="94"/>
              </w:rPr>
              <w:t>9,107,420</w:t>
            </w:r>
          </w:p>
        </w:tc>
        <w:tc>
          <w:tcPr>
            <w:tcW w:w="26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31"/>
              <w:spacing w:after="0"/>
              <w:rPr>
                <w:sz w:val="20"/>
                <w:szCs w:val="20"/>
                <w:color w:val="auto"/>
              </w:rPr>
            </w:pPr>
            <w:r>
              <w:rPr>
                <w:rFonts w:ascii="Arial" w:cs="Arial" w:eastAsia="Arial" w:hAnsi="Arial"/>
                <w:sz w:val="18"/>
                <w:szCs w:val="18"/>
                <w:color w:val="auto"/>
                <w:w w:val="94"/>
              </w:rPr>
              <w:t>8,992,500</w:t>
            </w:r>
          </w:p>
        </w:tc>
        <w:tc>
          <w:tcPr>
            <w:tcW w:w="8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w w:val="94"/>
              </w:rPr>
              <w:t>9,102,786</w:t>
            </w:r>
          </w:p>
        </w:tc>
        <w:tc>
          <w:tcPr>
            <w:tcW w:w="280" w:type="dxa"/>
            <w:vAlign w:val="bottom"/>
            <w:shd w:val="clear" w:color="auto" w:fill="DBE5F1"/>
          </w:tcPr>
          <w:p>
            <w:pPr>
              <w:spacing w:after="0"/>
              <w:rPr>
                <w:sz w:val="18"/>
                <w:szCs w:val="18"/>
                <w:color w:val="auto"/>
              </w:rPr>
            </w:pPr>
          </w:p>
        </w:tc>
        <w:tc>
          <w:tcPr>
            <w:tcW w:w="1020" w:type="dxa"/>
            <w:vAlign w:val="bottom"/>
            <w:shd w:val="clear" w:color="auto" w:fill="DBE5F1"/>
          </w:tcPr>
          <w:p>
            <w:pPr>
              <w:jc w:val="right"/>
              <w:ind w:right="171"/>
              <w:spacing w:after="0"/>
              <w:rPr>
                <w:sz w:val="20"/>
                <w:szCs w:val="20"/>
                <w:color w:val="auto"/>
              </w:rPr>
            </w:pPr>
            <w:r>
              <w:rPr>
                <w:rFonts w:ascii="Arial" w:cs="Arial" w:eastAsia="Arial" w:hAnsi="Arial"/>
                <w:sz w:val="18"/>
                <w:szCs w:val="18"/>
                <w:color w:val="auto"/>
                <w:w w:val="92"/>
              </w:rPr>
              <w:t>8,962,171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8"/>
              </w:rPr>
              <w:t>Diluted weighted average shares outstanding</w:t>
            </w:r>
          </w:p>
        </w:tc>
        <w:tc>
          <w:tcPr>
            <w:tcW w:w="1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w w:val="94"/>
              </w:rPr>
              <w:t>9,226,426</w:t>
            </w:r>
          </w:p>
        </w:tc>
        <w:tc>
          <w:tcPr>
            <w:tcW w:w="26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w w:val="94"/>
              </w:rPr>
              <w:t>9,433,650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w w:val="94"/>
              </w:rPr>
              <w:t>9,224,727</w:t>
            </w:r>
          </w:p>
        </w:tc>
        <w:tc>
          <w:tcPr>
            <w:tcW w:w="280" w:type="dxa"/>
            <w:vAlign w:val="bottom"/>
          </w:tcPr>
          <w:p>
            <w:pPr>
              <w:spacing w:after="0"/>
              <w:rPr>
                <w:sz w:val="21"/>
                <w:szCs w:val="21"/>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w w:val="92"/>
              </w:rPr>
              <w:t>9,279,800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4" w:name="page5"/>
    <w:bookmarkEnd w:id="4"/>
    <w:p>
      <w:pPr>
        <w:jc w:val="center"/>
        <w:ind w:left="1740"/>
        <w:spacing w:after="0" w:line="244" w:lineRule="auto"/>
        <w:rPr>
          <w:sz w:val="20"/>
          <w:szCs w:val="20"/>
          <w:color w:val="auto"/>
        </w:rPr>
      </w:pPr>
      <w:r>
        <w:rPr>
          <w:rFonts w:ascii="Arial" w:cs="Arial" w:eastAsia="Arial" w:hAnsi="Arial"/>
          <w:sz w:val="22"/>
          <w:szCs w:val="22"/>
          <w:b w:val="1"/>
          <w:bCs w:val="1"/>
          <w:color w:val="auto"/>
        </w:rPr>
        <w:t>CLEARONE COMMUNICATIONS, INC. UNAUDITED CONDENSED CONSOLIDATED STATEMENTS OF CASH FLOWS (Dollars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DBE5F1"/>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1,028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DBE5F1"/>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 (used in)</w:t>
            </w:r>
          </w:p>
        </w:tc>
        <w:tc>
          <w:tcPr>
            <w:tcW w:w="340" w:type="dxa"/>
            <w:vAlign w:val="bottom"/>
            <w:shd w:val="clear" w:color="auto" w:fill="DBE5F1"/>
          </w:tcPr>
          <w:p>
            <w:pPr>
              <w:spacing w:after="0"/>
              <w:rPr>
                <w:sz w:val="17"/>
                <w:szCs w:val="17"/>
                <w:color w:val="auto"/>
              </w:rPr>
            </w:pPr>
          </w:p>
        </w:tc>
        <w:tc>
          <w:tcPr>
            <w:tcW w:w="96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DBE5F1"/>
          </w:tcPr>
          <w:p>
            <w:pPr>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DBE5F1"/>
          </w:tcPr>
          <w:p>
            <w:pPr>
              <w:spacing w:after="0"/>
              <w:rPr>
                <w:sz w:val="20"/>
                <w:szCs w:val="20"/>
                <w:color w:val="auto"/>
              </w:rPr>
            </w:pPr>
          </w:p>
        </w:tc>
        <w:tc>
          <w:tcPr>
            <w:tcW w:w="96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00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Provision for (recovery of) doubtful accounts</w:t>
            </w:r>
          </w:p>
        </w:tc>
        <w:tc>
          <w:tcPr>
            <w:tcW w:w="3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Increase (decrease) in reserves against inventories</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5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1,112</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(2,616)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11"/>
              <w:spacing w:after="0"/>
              <w:rPr>
                <w:sz w:val="20"/>
                <w:szCs w:val="20"/>
                <w:color w:val="auto"/>
              </w:rPr>
            </w:pPr>
            <w:r>
              <w:rPr>
                <w:rFonts w:ascii="Arial" w:cs="Arial" w:eastAsia="Arial" w:hAnsi="Arial"/>
                <w:sz w:val="18"/>
                <w:szCs w:val="18"/>
                <w:color w:val="auto"/>
              </w:rPr>
              <w:t>(11)</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11"/>
              <w:spacing w:after="0"/>
              <w:rPr>
                <w:sz w:val="20"/>
                <w:szCs w:val="20"/>
                <w:color w:val="auto"/>
              </w:rPr>
            </w:pPr>
            <w:r>
              <w:rPr>
                <w:rFonts w:ascii="Arial" w:cs="Arial" w:eastAsia="Arial" w:hAnsi="Arial"/>
                <w:sz w:val="18"/>
                <w:szCs w:val="18"/>
                <w:color w:val="auto"/>
              </w:rPr>
              <w:t>(1,529)</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51"/>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34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Other long-term assets and liabilities</w:t>
            </w:r>
          </w:p>
        </w:tc>
        <w:tc>
          <w:tcPr>
            <w:tcW w:w="340" w:type="dxa"/>
            <w:vAlign w:val="bottom"/>
            <w:tcBorders>
              <w:bottom w:val="single" w:sz="8" w:color="auto"/>
            </w:tcBorders>
            <w:shd w:val="clear" w:color="auto" w:fill="DBE5F1"/>
          </w:tcPr>
          <w:p>
            <w:pPr>
              <w:spacing w:after="0"/>
              <w:rPr>
                <w:sz w:val="18"/>
                <w:szCs w:val="18"/>
                <w:color w:val="auto"/>
              </w:rPr>
            </w:pPr>
          </w:p>
        </w:tc>
        <w:tc>
          <w:tcPr>
            <w:tcW w:w="960" w:type="dxa"/>
            <w:vAlign w:val="bottom"/>
            <w:tcBorders>
              <w:bottom w:val="single" w:sz="8" w:color="auto"/>
            </w:tcBorders>
            <w:shd w:val="clear" w:color="auto" w:fill="DBE5F1"/>
          </w:tcPr>
          <w:p>
            <w:pPr>
              <w:jc w:val="right"/>
              <w:ind w:right="271"/>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DBE5F1"/>
          </w:tcPr>
          <w:p>
            <w:pPr>
              <w:spacing w:after="0"/>
              <w:rPr>
                <w:sz w:val="18"/>
                <w:szCs w:val="18"/>
                <w:color w:val="auto"/>
              </w:rPr>
            </w:pPr>
          </w:p>
        </w:tc>
        <w:tc>
          <w:tcPr>
            <w:tcW w:w="34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2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1"/>
              <w:spacing w:after="0" w:line="182" w:lineRule="exact"/>
              <w:rPr>
                <w:sz w:val="20"/>
                <w:szCs w:val="20"/>
                <w:color w:val="auto"/>
              </w:rPr>
            </w:pPr>
            <w:r>
              <w:rPr>
                <w:rFonts w:ascii="Arial" w:cs="Arial" w:eastAsia="Arial" w:hAnsi="Arial"/>
                <w:sz w:val="18"/>
                <w:szCs w:val="18"/>
                <w:color w:val="auto"/>
              </w:rPr>
              <w:t>(1,420)</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line="182" w:lineRule="exact"/>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Payment towards acquisition of VCON business</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211"/>
              <w:spacing w:after="0"/>
              <w:rPr>
                <w:sz w:val="20"/>
                <w:szCs w:val="20"/>
                <w:color w:val="auto"/>
              </w:rPr>
            </w:pPr>
            <w:r>
              <w:rPr>
                <w:rFonts w:ascii="Arial" w:cs="Arial" w:eastAsia="Arial" w:hAnsi="Arial"/>
                <w:sz w:val="18"/>
                <w:szCs w:val="18"/>
                <w:color w:val="auto"/>
              </w:rPr>
              <w:t>(4,632)</w:t>
            </w: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DBE5F1"/>
            </w:tcBorders>
          </w:tcPr>
          <w:p>
            <w:pPr>
              <w:ind w:left="1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DBE5F1"/>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tcBorders>
              <w:bottom w:val="single" w:sz="8" w:color="DBE5F1"/>
            </w:tcBorders>
            <w:shd w:val="clear" w:color="auto" w:fill="DBE5F1"/>
          </w:tcPr>
          <w:p>
            <w:pPr>
              <w:spacing w:after="0" w:line="182"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DBE5F1"/>
          </w:tcPr>
          <w:p>
            <w:pPr>
              <w:spacing w:after="0"/>
              <w:rPr>
                <w:sz w:val="15"/>
                <w:szCs w:val="15"/>
                <w:color w:val="auto"/>
              </w:rPr>
            </w:pPr>
          </w:p>
        </w:tc>
        <w:tc>
          <w:tcPr>
            <w:tcW w:w="960" w:type="dxa"/>
            <w:vAlign w:val="bottom"/>
            <w:tcBorders>
              <w:bottom w:val="single" w:sz="8" w:color="auto"/>
            </w:tcBorders>
            <w:shd w:val="clear" w:color="auto" w:fill="DBE5F1"/>
          </w:tcPr>
          <w:p>
            <w:pPr>
              <w:jc w:val="right"/>
              <w:ind w:right="211"/>
              <w:spacing w:after="0" w:line="182" w:lineRule="exact"/>
              <w:rPr>
                <w:sz w:val="20"/>
                <w:szCs w:val="20"/>
                <w:color w:val="auto"/>
              </w:rPr>
            </w:pPr>
            <w:r>
              <w:rPr>
                <w:rFonts w:ascii="Arial" w:cs="Arial" w:eastAsia="Arial" w:hAnsi="Arial"/>
                <w:sz w:val="18"/>
                <w:szCs w:val="18"/>
                <w:color w:val="auto"/>
              </w:rPr>
              <w:t>(4,834)</w:t>
            </w:r>
          </w:p>
        </w:tc>
        <w:tc>
          <w:tcPr>
            <w:tcW w:w="180" w:type="dxa"/>
            <w:vAlign w:val="bottom"/>
            <w:tcBorders>
              <w:bottom w:val="single" w:sz="8" w:color="DBE5F1"/>
            </w:tcBorders>
            <w:shd w:val="clear" w:color="auto" w:fill="DBE5F1"/>
          </w:tcPr>
          <w:p>
            <w:pPr>
              <w:spacing w:after="0"/>
              <w:rPr>
                <w:sz w:val="15"/>
                <w:szCs w:val="15"/>
                <w:color w:val="auto"/>
              </w:rPr>
            </w:pPr>
          </w:p>
        </w:tc>
        <w:tc>
          <w:tcPr>
            <w:tcW w:w="340" w:type="dxa"/>
            <w:vAlign w:val="bottom"/>
            <w:tcBorders>
              <w:bottom w:val="single" w:sz="8" w:color="auto"/>
            </w:tcBorders>
            <w:shd w:val="clear" w:color="auto" w:fill="DBE5F1"/>
          </w:tcPr>
          <w:p>
            <w:pPr>
              <w:spacing w:after="0"/>
              <w:rPr>
                <w:sz w:val="15"/>
                <w:szCs w:val="15"/>
                <w:color w:val="auto"/>
              </w:rPr>
            </w:pPr>
          </w:p>
        </w:tc>
        <w:tc>
          <w:tcPr>
            <w:tcW w:w="1000" w:type="dxa"/>
            <w:vAlign w:val="bottom"/>
            <w:tcBorders>
              <w:bottom w:val="single" w:sz="8" w:color="auto"/>
            </w:tcBorders>
            <w:shd w:val="clear" w:color="auto" w:fill="DBE5F1"/>
          </w:tcPr>
          <w:p>
            <w:pPr>
              <w:jc w:val="right"/>
              <w:ind w:right="251"/>
              <w:spacing w:after="0" w:line="18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DBE5F1"/>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 options</w:t>
            </w:r>
          </w:p>
        </w:tc>
        <w:tc>
          <w:tcPr>
            <w:tcW w:w="34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Treasury stock purchased</w:t>
            </w:r>
          </w:p>
        </w:tc>
        <w:tc>
          <w:tcPr>
            <w:tcW w:w="340" w:type="dxa"/>
            <w:vAlign w:val="bottom"/>
            <w:tcBorders>
              <w:bottom w:val="single" w:sz="8" w:color="auto"/>
            </w:tcBorders>
            <w:shd w:val="clear" w:color="auto" w:fill="DBE5F1"/>
          </w:tcPr>
          <w:p>
            <w:pPr>
              <w:spacing w:after="0"/>
              <w:rPr>
                <w:sz w:val="18"/>
                <w:szCs w:val="18"/>
                <w:color w:val="auto"/>
              </w:rPr>
            </w:pPr>
          </w:p>
        </w:tc>
        <w:tc>
          <w:tcPr>
            <w:tcW w:w="960" w:type="dxa"/>
            <w:vAlign w:val="bottom"/>
            <w:tcBorders>
              <w:bottom w:val="single" w:sz="8" w:color="auto"/>
            </w:tcBorders>
            <w:shd w:val="clear" w:color="auto" w:fill="DBE5F1"/>
          </w:tcPr>
          <w:p>
            <w:pPr>
              <w:jc w:val="right"/>
              <w:ind w:right="211"/>
              <w:spacing w:after="0"/>
              <w:rPr>
                <w:sz w:val="20"/>
                <w:szCs w:val="20"/>
                <w:color w:val="auto"/>
              </w:rPr>
            </w:pPr>
            <w:r>
              <w:rPr>
                <w:rFonts w:ascii="Arial" w:cs="Arial" w:eastAsia="Arial" w:hAnsi="Arial"/>
                <w:sz w:val="18"/>
                <w:szCs w:val="18"/>
                <w:color w:val="auto"/>
              </w:rPr>
              <w:t>(92)</w:t>
            </w:r>
          </w:p>
        </w:tc>
        <w:tc>
          <w:tcPr>
            <w:tcW w:w="180" w:type="dxa"/>
            <w:vAlign w:val="bottom"/>
            <w:shd w:val="clear" w:color="auto" w:fill="DBE5F1"/>
          </w:tcPr>
          <w:p>
            <w:pPr>
              <w:spacing w:after="0"/>
              <w:rPr>
                <w:sz w:val="18"/>
                <w:szCs w:val="18"/>
                <w:color w:val="auto"/>
              </w:rPr>
            </w:pPr>
          </w:p>
        </w:tc>
        <w:tc>
          <w:tcPr>
            <w:tcW w:w="34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2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1"/>
              <w:spacing w:after="0" w:line="18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line="182" w:lineRule="exact"/>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(6,265)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tcBorders>
              <w:bottom w:val="single" w:sz="8" w:color="auto"/>
            </w:tcBorders>
            <w:shd w:val="clear" w:color="auto" w:fill="DBE5F1"/>
          </w:tcPr>
          <w:p>
            <w:pPr>
              <w:spacing w:after="0"/>
              <w:rPr>
                <w:sz w:val="18"/>
                <w:szCs w:val="18"/>
                <w:color w:val="auto"/>
              </w:rPr>
            </w:pPr>
          </w:p>
        </w:tc>
        <w:tc>
          <w:tcPr>
            <w:tcW w:w="960" w:type="dxa"/>
            <w:vAlign w:val="bottom"/>
            <w:tcBorders>
              <w:bottom w:val="single" w:sz="8" w:color="auto"/>
            </w:tcBorders>
            <w:shd w:val="clear" w:color="auto" w:fill="DBE5F1"/>
          </w:tcPr>
          <w:p>
            <w:pPr>
              <w:jc w:val="right"/>
              <w:ind w:right="271"/>
              <w:spacing w:after="0"/>
              <w:rPr>
                <w:sz w:val="20"/>
                <w:szCs w:val="20"/>
                <w:color w:val="auto"/>
              </w:rPr>
            </w:pPr>
            <w:r>
              <w:rPr>
                <w:rFonts w:ascii="Arial" w:cs="Arial" w:eastAsia="Arial" w:hAnsi="Arial"/>
                <w:sz w:val="18"/>
                <w:szCs w:val="18"/>
                <w:color w:val="auto"/>
              </w:rPr>
              <w:t>16,683</w:t>
            </w:r>
          </w:p>
        </w:tc>
        <w:tc>
          <w:tcPr>
            <w:tcW w:w="180" w:type="dxa"/>
            <w:vAlign w:val="bottom"/>
            <w:shd w:val="clear" w:color="auto" w:fill="DBE5F1"/>
          </w:tcPr>
          <w:p>
            <w:pPr>
              <w:spacing w:after="0"/>
              <w:rPr>
                <w:sz w:val="18"/>
                <w:szCs w:val="18"/>
                <w:color w:val="auto"/>
              </w:rPr>
            </w:pPr>
          </w:p>
        </w:tc>
        <w:tc>
          <w:tcPr>
            <w:tcW w:w="34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291"/>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183"/>
        </w:trPr>
        <w:tc>
          <w:tcPr>
            <w:tcW w:w="5840" w:type="dxa"/>
            <w:vAlign w:val="bottom"/>
            <w:gridSpan w:val="2"/>
          </w:tcPr>
          <w:p>
            <w:pPr>
              <w:spacing w:after="0" w:line="182" w:lineRule="exact"/>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1"/>
              <w:spacing w:after="0" w:line="182" w:lineRule="exact"/>
              <w:rPr>
                <w:sz w:val="20"/>
                <w:szCs w:val="20"/>
                <w:color w:val="auto"/>
              </w:rPr>
            </w:pPr>
            <w:r>
              <w:rPr>
                <w:rFonts w:ascii="Arial" w:cs="Arial" w:eastAsia="Arial" w:hAnsi="Arial"/>
                <w:sz w:val="18"/>
                <w:szCs w:val="18"/>
                <w:color w:val="auto"/>
              </w:rPr>
              <w:t>10,418</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91"/>
              <w:spacing w:after="0" w:line="182" w:lineRule="exact"/>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96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BE5F1"/>
          </w:tcPr>
          <w:p>
            <w:pPr>
              <w:ind w:left="16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271"/>
              <w:spacing w:after="0"/>
              <w:rPr>
                <w:sz w:val="20"/>
                <w:szCs w:val="20"/>
                <w:color w:val="auto"/>
              </w:rPr>
            </w:pPr>
            <w:r>
              <w:rPr>
                <w:rFonts w:ascii="Arial" w:cs="Arial" w:eastAsia="Arial" w:hAnsi="Arial"/>
                <w:sz w:val="18"/>
                <w:szCs w:val="18"/>
                <w:color w:val="auto"/>
              </w:rPr>
              <w:t>1,393</w:t>
            </w:r>
          </w:p>
        </w:tc>
        <w:tc>
          <w:tcPr>
            <w:tcW w:w="520" w:type="dxa"/>
            <w:vAlign w:val="bottom"/>
            <w:gridSpan w:val="2"/>
            <w:shd w:val="clear" w:color="auto" w:fill="DBE5F1"/>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7420" w:type="dxa"/>
            <w:vAlign w:val="bottom"/>
            <w:gridSpan w:val="5"/>
          </w:tcPr>
          <w:p>
            <w:pPr>
              <w:jc w:val="center"/>
              <w:ind w:left="3347"/>
              <w:spacing w:after="0"/>
              <w:rPr>
                <w:sz w:val="20"/>
                <w:szCs w:val="20"/>
                <w:color w:val="auto"/>
              </w:rPr>
            </w:pPr>
            <w:r>
              <w:rPr>
                <w:rFonts w:ascii="Arial" w:cs="Arial" w:eastAsia="Arial" w:hAnsi="Arial"/>
                <w:sz w:val="22"/>
                <w:szCs w:val="22"/>
                <w:b w:val="1"/>
                <w:bCs w:val="1"/>
                <w:color w:val="auto"/>
              </w:rPr>
              <w:t>CLEARONE COMMUNICATIONS, INC.</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8660" w:type="dxa"/>
            <w:vAlign w:val="bottom"/>
            <w:gridSpan w:val="7"/>
          </w:tcPr>
          <w:p>
            <w:pPr>
              <w:jc w:val="center"/>
              <w:ind w:left="2107"/>
              <w:spacing w:after="0" w:line="243" w:lineRule="exact"/>
              <w:rPr>
                <w:sz w:val="20"/>
                <w:szCs w:val="20"/>
                <w:color w:val="auto"/>
              </w:rPr>
            </w:pPr>
            <w:r>
              <w:rPr>
                <w:rFonts w:ascii="Arial" w:cs="Arial" w:eastAsia="Arial" w:hAnsi="Arial"/>
                <w:sz w:val="22"/>
                <w:szCs w:val="22"/>
                <w:b w:val="1"/>
                <w:bCs w:val="1"/>
                <w:color w:val="auto"/>
                <w:w w:val="98"/>
              </w:rPr>
              <w:t>UNAUDITED CONSOLIDATED STATEMENTS OF CASH FLOWS</w:t>
            </w:r>
          </w:p>
        </w:tc>
      </w:tr>
      <w:tr>
        <w:trPr>
          <w:trHeight w:val="281"/>
        </w:trPr>
        <w:tc>
          <w:tcPr>
            <w:tcW w:w="7420" w:type="dxa"/>
            <w:vAlign w:val="bottom"/>
            <w:gridSpan w:val="5"/>
          </w:tcPr>
          <w:p>
            <w:pPr>
              <w:jc w:val="center"/>
              <w:ind w:left="3347"/>
              <w:spacing w:after="0"/>
              <w:rPr>
                <w:sz w:val="20"/>
                <w:szCs w:val="20"/>
                <w:color w:val="auto"/>
              </w:rPr>
            </w:pPr>
            <w:r>
              <w:rPr>
                <w:rFonts w:ascii="Arial" w:cs="Arial" w:eastAsia="Arial" w:hAnsi="Arial"/>
                <w:sz w:val="22"/>
                <w:szCs w:val="22"/>
                <w:b w:val="1"/>
                <w:bCs w:val="1"/>
                <w:color w:val="auto"/>
                <w:w w:val="88"/>
              </w:rPr>
              <w:t>(Dollars 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6"/>
        </w:trPr>
        <w:tc>
          <w:tcPr>
            <w:tcW w:w="5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2011</w:t>
            </w:r>
          </w:p>
        </w:tc>
      </w:tr>
      <w:tr>
        <w:trPr>
          <w:trHeight w:val="210"/>
        </w:trPr>
        <w:tc>
          <w:tcPr>
            <w:tcW w:w="5840" w:type="dxa"/>
            <w:vAlign w:val="bottom"/>
            <w:shd w:val="clear" w:color="auto" w:fill="DBE5F1"/>
          </w:tcPr>
          <w:p>
            <w:pPr>
              <w:spacing w:after="0"/>
              <w:rPr>
                <w:sz w:val="20"/>
                <w:szCs w:val="20"/>
                <w:color w:val="auto"/>
              </w:rPr>
            </w:pPr>
            <w:r>
              <w:rPr>
                <w:rFonts w:ascii="Arial" w:cs="Arial" w:eastAsia="Arial" w:hAnsi="Arial"/>
                <w:sz w:val="18"/>
                <w:szCs w:val="18"/>
                <w:color w:val="auto"/>
              </w:rPr>
              <w:t>Supplemental disclosure of non-cash activities:</w:t>
            </w:r>
          </w:p>
        </w:tc>
        <w:tc>
          <w:tcPr>
            <w:tcW w:w="380" w:type="dxa"/>
            <w:vAlign w:val="bottom"/>
            <w:shd w:val="clear" w:color="auto" w:fill="DBE5F1"/>
          </w:tcPr>
          <w:p>
            <w:pPr>
              <w:spacing w:after="0"/>
              <w:rPr>
                <w:sz w:val="18"/>
                <w:szCs w:val="18"/>
                <w:color w:val="auto"/>
              </w:rPr>
            </w:pPr>
          </w:p>
        </w:tc>
        <w:tc>
          <w:tcPr>
            <w:tcW w:w="92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89"/>
              </w:rPr>
              <w:t>Exchanged accounts receivable from a vendor with accounts payable to the same</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vendor</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182</w:t>
            </w:r>
          </w:p>
        </w:tc>
      </w:tr>
      <w:tr>
        <w:trPr>
          <w:trHeight w:val="202"/>
        </w:trPr>
        <w:tc>
          <w:tcPr>
            <w:tcW w:w="5840" w:type="dxa"/>
            <w:vAlign w:val="bottom"/>
            <w:shd w:val="clear" w:color="auto" w:fill="DBE5F1"/>
          </w:tcPr>
          <w:p>
            <w:pPr>
              <w:spacing w:after="0" w:line="201" w:lineRule="exact"/>
              <w:rPr>
                <w:sz w:val="20"/>
                <w:szCs w:val="20"/>
                <w:color w:val="auto"/>
              </w:rPr>
            </w:pPr>
            <w:r>
              <w:rPr>
                <w:rFonts w:ascii="Arial" w:cs="Arial" w:eastAsia="Arial" w:hAnsi="Arial"/>
                <w:sz w:val="18"/>
                <w:szCs w:val="18"/>
                <w:color w:val="auto"/>
                <w:w w:val="98"/>
              </w:rPr>
              <w:t>The Company acquired the business of VCON Video Conferencing, Ltd. in</w:t>
            </w:r>
          </w:p>
        </w:tc>
        <w:tc>
          <w:tcPr>
            <w:tcW w:w="380" w:type="dxa"/>
            <w:vAlign w:val="bottom"/>
            <w:shd w:val="clear" w:color="auto" w:fill="DBE5F1"/>
          </w:tcPr>
          <w:p>
            <w:pPr>
              <w:spacing w:after="0"/>
              <w:rPr>
                <w:sz w:val="17"/>
                <w:szCs w:val="17"/>
                <w:color w:val="auto"/>
              </w:rPr>
            </w:pPr>
          </w:p>
        </w:tc>
        <w:tc>
          <w:tcPr>
            <w:tcW w:w="92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380" w:type="dxa"/>
            <w:vAlign w:val="bottom"/>
            <w:shd w:val="clear" w:color="auto" w:fill="DBE5F1"/>
          </w:tcPr>
          <w:p>
            <w:pPr>
              <w:spacing w:after="0"/>
              <w:rPr>
                <w:sz w:val="17"/>
                <w:szCs w:val="17"/>
                <w:color w:val="auto"/>
              </w:rPr>
            </w:pPr>
          </w:p>
        </w:tc>
        <w:tc>
          <w:tcPr>
            <w:tcW w:w="860" w:type="dxa"/>
            <w:vAlign w:val="bottom"/>
            <w:shd w:val="clear" w:color="auto" w:fill="DBE5F1"/>
          </w:tcPr>
          <w:p>
            <w:pPr>
              <w:spacing w:after="0"/>
              <w:rPr>
                <w:sz w:val="17"/>
                <w:szCs w:val="17"/>
                <w:color w:val="auto"/>
              </w:rPr>
            </w:pPr>
          </w:p>
        </w:tc>
      </w:tr>
      <w:tr>
        <w:trPr>
          <w:trHeight w:val="230"/>
        </w:trPr>
        <w:tc>
          <w:tcPr>
            <w:tcW w:w="58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February 2012 and recorded the following assets and liabilities:</w:t>
            </w:r>
          </w:p>
        </w:tc>
        <w:tc>
          <w:tcPr>
            <w:tcW w:w="380" w:type="dxa"/>
            <w:vAlign w:val="bottom"/>
            <w:shd w:val="clear" w:color="auto" w:fill="DBE5F1"/>
          </w:tcPr>
          <w:p>
            <w:pPr>
              <w:spacing w:after="0"/>
              <w:rPr>
                <w:sz w:val="20"/>
                <w:szCs w:val="20"/>
                <w:color w:val="auto"/>
              </w:rPr>
            </w:pPr>
          </w:p>
        </w:tc>
        <w:tc>
          <w:tcPr>
            <w:tcW w:w="9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860" w:type="dxa"/>
            <w:vAlign w:val="bottom"/>
            <w:shd w:val="clear" w:color="auto" w:fill="DBE5F1"/>
          </w:tcPr>
          <w:p>
            <w:pPr>
              <w:spacing w:after="0"/>
              <w:rPr>
                <w:sz w:val="20"/>
                <w:szCs w:val="20"/>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3"/>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DBE5F1"/>
          </w:tcPr>
          <w:p>
            <w:pPr>
              <w:spacing w:after="0"/>
              <w:rPr>
                <w:sz w:val="18"/>
                <w:szCs w:val="18"/>
                <w:color w:val="auto"/>
              </w:rPr>
            </w:pPr>
          </w:p>
        </w:tc>
        <w:tc>
          <w:tcPr>
            <w:tcW w:w="920" w:type="dxa"/>
            <w:vAlign w:val="bottom"/>
            <w:shd w:val="clear" w:color="auto" w:fill="DBE5F1"/>
          </w:tcPr>
          <w:p>
            <w:pPr>
              <w:jc w:val="right"/>
              <w:ind w:right="273"/>
              <w:spacing w:after="0"/>
              <w:rPr>
                <w:sz w:val="20"/>
                <w:szCs w:val="20"/>
                <w:color w:val="auto"/>
              </w:rPr>
            </w:pPr>
            <w:r>
              <w:rPr>
                <w:rFonts w:ascii="Arial" w:cs="Arial" w:eastAsia="Arial" w:hAnsi="Arial"/>
                <w:sz w:val="18"/>
                <w:szCs w:val="18"/>
                <w:color w:val="auto"/>
              </w:rPr>
              <w:t>34</w:t>
            </w:r>
          </w:p>
        </w:tc>
        <w:tc>
          <w:tcPr>
            <w:tcW w:w="1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Product warranty liability</w:t>
            </w:r>
          </w:p>
        </w:tc>
        <w:tc>
          <w:tcPr>
            <w:tcW w:w="38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Tradename</w:t>
            </w:r>
          </w:p>
        </w:tc>
        <w:tc>
          <w:tcPr>
            <w:tcW w:w="380" w:type="dxa"/>
            <w:vAlign w:val="bottom"/>
            <w:shd w:val="clear" w:color="auto" w:fill="DBE5F1"/>
          </w:tcPr>
          <w:p>
            <w:pPr>
              <w:spacing w:after="0"/>
              <w:rPr>
                <w:sz w:val="18"/>
                <w:szCs w:val="18"/>
                <w:color w:val="auto"/>
              </w:rPr>
            </w:pPr>
          </w:p>
        </w:tc>
        <w:tc>
          <w:tcPr>
            <w:tcW w:w="920" w:type="dxa"/>
            <w:vAlign w:val="bottom"/>
            <w:shd w:val="clear" w:color="auto" w:fill="DBE5F1"/>
          </w:tcPr>
          <w:p>
            <w:pPr>
              <w:jc w:val="right"/>
              <w:ind w:right="273"/>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Patents and technological know-how</w:t>
            </w:r>
          </w:p>
        </w:tc>
        <w:tc>
          <w:tcPr>
            <w:tcW w:w="38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Proprietary software</w:t>
            </w:r>
          </w:p>
        </w:tc>
        <w:tc>
          <w:tcPr>
            <w:tcW w:w="380" w:type="dxa"/>
            <w:vAlign w:val="bottom"/>
            <w:shd w:val="clear" w:color="auto" w:fill="DBE5F1"/>
          </w:tcPr>
          <w:p>
            <w:pPr>
              <w:spacing w:after="0"/>
              <w:rPr>
                <w:sz w:val="18"/>
                <w:szCs w:val="18"/>
                <w:color w:val="auto"/>
              </w:rPr>
            </w:pPr>
          </w:p>
        </w:tc>
        <w:tc>
          <w:tcPr>
            <w:tcW w:w="920" w:type="dxa"/>
            <w:vAlign w:val="bottom"/>
            <w:shd w:val="clear" w:color="auto" w:fill="DBE5F1"/>
          </w:tcPr>
          <w:p>
            <w:pPr>
              <w:jc w:val="right"/>
              <w:ind w:right="273"/>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03"/>
        </w:trPr>
        <w:tc>
          <w:tcPr>
            <w:tcW w:w="5840" w:type="dxa"/>
            <w:vAlign w:val="bottom"/>
            <w:tcBorders>
              <w:bottom w:val="single" w:sz="8" w:color="DBE5F1"/>
            </w:tcBorders>
            <w:shd w:val="clear" w:color="auto" w:fill="DBE5F1"/>
          </w:tcPr>
          <w:p>
            <w:pPr>
              <w:ind w:left="180"/>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DBE5F1"/>
          </w:tcPr>
          <w:p>
            <w:pPr>
              <w:spacing w:after="0"/>
              <w:rPr>
                <w:sz w:val="17"/>
                <w:szCs w:val="17"/>
                <w:color w:val="auto"/>
              </w:rPr>
            </w:pPr>
          </w:p>
        </w:tc>
        <w:tc>
          <w:tcPr>
            <w:tcW w:w="920" w:type="dxa"/>
            <w:vAlign w:val="bottom"/>
            <w:tcBorders>
              <w:bottom w:val="single" w:sz="8" w:color="auto"/>
            </w:tcBorders>
            <w:shd w:val="clear" w:color="auto" w:fill="DBE5F1"/>
          </w:tcPr>
          <w:p>
            <w:pPr>
              <w:jc w:val="right"/>
              <w:ind w:right="273"/>
              <w:spacing w:after="0" w:line="202" w:lineRule="exact"/>
              <w:rPr>
                <w:sz w:val="20"/>
                <w:szCs w:val="20"/>
                <w:color w:val="auto"/>
              </w:rPr>
            </w:pPr>
            <w:r>
              <w:rPr>
                <w:rFonts w:ascii="Arial" w:cs="Arial" w:eastAsia="Arial" w:hAnsi="Arial"/>
                <w:sz w:val="18"/>
                <w:szCs w:val="18"/>
                <w:color w:val="auto"/>
              </w:rPr>
              <w:t>786</w:t>
            </w:r>
          </w:p>
        </w:tc>
        <w:tc>
          <w:tcPr>
            <w:tcW w:w="18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spacing w:after="0"/>
              <w:rPr>
                <w:sz w:val="17"/>
                <w:szCs w:val="17"/>
                <w:color w:val="auto"/>
              </w:rPr>
            </w:pPr>
          </w:p>
        </w:tc>
        <w:tc>
          <w:tcPr>
            <w:tcW w:w="380" w:type="dxa"/>
            <w:vAlign w:val="bottom"/>
            <w:tcBorders>
              <w:bottom w:val="single" w:sz="8" w:color="auto"/>
            </w:tcBorders>
            <w:shd w:val="clear" w:color="auto" w:fill="DBE5F1"/>
          </w:tcPr>
          <w:p>
            <w:pPr>
              <w:spacing w:after="0"/>
              <w:rPr>
                <w:sz w:val="17"/>
                <w:szCs w:val="17"/>
                <w:color w:val="auto"/>
              </w:rPr>
            </w:pPr>
          </w:p>
        </w:tc>
        <w:tc>
          <w:tcPr>
            <w:tcW w:w="860" w:type="dxa"/>
            <w:vAlign w:val="bottom"/>
            <w:tcBorders>
              <w:bottom w:val="single" w:sz="8" w:color="auto"/>
            </w:tcBorders>
            <w:shd w:val="clear" w:color="auto" w:fill="DBE5F1"/>
          </w:tcPr>
          <w:p>
            <w:pPr>
              <w:jc w:val="right"/>
              <w:ind w:right="252"/>
              <w:spacing w:after="0" w:line="202" w:lineRule="exact"/>
              <w:rPr>
                <w:sz w:val="20"/>
                <w:szCs w:val="20"/>
                <w:color w:val="auto"/>
              </w:rPr>
            </w:pPr>
            <w:r>
              <w:rPr>
                <w:rFonts w:ascii="Arial" w:cs="Arial" w:eastAsia="Arial" w:hAnsi="Arial"/>
                <w:sz w:val="18"/>
                <w:szCs w:val="18"/>
                <w:color w:val="auto"/>
              </w:rPr>
              <w:t>-</w:t>
            </w:r>
          </w:p>
        </w:tc>
      </w:tr>
      <w:tr>
        <w:trPr>
          <w:trHeight w:val="183"/>
        </w:trPr>
        <w:tc>
          <w:tcPr>
            <w:tcW w:w="5840" w:type="dxa"/>
            <w:vAlign w:val="bottom"/>
          </w:tcPr>
          <w:p>
            <w:pPr>
              <w:ind w:left="180"/>
              <w:spacing w:after="0" w:line="182" w:lineRule="exact"/>
              <w:rPr>
                <w:sz w:val="20"/>
                <w:szCs w:val="20"/>
                <w:color w:val="auto"/>
              </w:rPr>
            </w:pPr>
            <w:r>
              <w:rPr>
                <w:rFonts w:ascii="Arial" w:cs="Arial" w:eastAsia="Arial" w:hAnsi="Arial"/>
                <w:sz w:val="18"/>
                <w:szCs w:val="18"/>
                <w:color w:val="auto"/>
              </w:rPr>
              <w:t>Cash paid</w:t>
            </w:r>
          </w:p>
        </w:tc>
        <w:tc>
          <w:tcPr>
            <w:tcW w:w="3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rPr>
              <w:t>4,632</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252"/>
              <w:spacing w:after="0" w:line="182" w:lineRule="exact"/>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45" w:right="1440" w:bottom="1440" w:gutter="0" w:footer="0" w:header="0"/>
        </w:sectPr>
      </w:pPr>
    </w:p>
    <w:bookmarkStart w:id="6" w:name="page7"/>
    <w:bookmarkEnd w:id="6"/>
    <w:p>
      <w:pPr>
        <w:jc w:val="center"/>
        <w:ind w:left="280" w:right="2140"/>
        <w:spacing w:after="0" w:line="243" w:lineRule="auto"/>
        <w:rPr>
          <w:sz w:val="20"/>
          <w:szCs w:val="20"/>
          <w:color w:val="auto"/>
        </w:rPr>
      </w:pPr>
      <w:r>
        <w:rPr>
          <w:rFonts w:ascii="Arial" w:cs="Arial" w:eastAsia="Arial" w:hAnsi="Arial"/>
          <w:sz w:val="22"/>
          <w:szCs w:val="22"/>
          <w:b w:val="1"/>
          <w:bCs w:val="1"/>
          <w:color w:val="auto"/>
        </w:rPr>
        <w:t>CLEARONE COMMUNICATIONS, INC. NOTES TO CONDENSED CONSOLIDATED FINANCIAL STATEMENTS (Unaudited – 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Business Description, Basis of Presentation and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Business Description:</w:t>
      </w:r>
    </w:p>
    <w:p>
      <w:pPr>
        <w:spacing w:after="0" w:line="23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ClearOne Communications, Inc. and its subsidiaries (collectively, “ClearOne” or the “Company”) is a global company that designs, develops and sells conferencing, collaboration, streaming and digital signage solutions for audio, video and data multimedia communication. The performance and simplicity of its advanced comprehensive solutions enhance the quality of life. ClearOne products are designed for business and residential use, offering unprecedented levels of functionality, reliability and scalability.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Basis of Presentation:</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 fiscal year for ClearOne is the 12 months ending on December 31</w:t>
      </w:r>
      <w:r>
        <w:rPr>
          <w:rFonts w:ascii="Arial" w:cs="Arial" w:eastAsia="Arial" w:hAnsi="Arial"/>
          <w:sz w:val="12"/>
          <w:szCs w:val="12"/>
          <w:color w:val="auto"/>
        </w:rPr>
        <w:t>st</w:t>
      </w:r>
      <w:r>
        <w:rPr>
          <w:rFonts w:ascii="Arial" w:cs="Arial" w:eastAsia="Arial" w:hAnsi="Arial"/>
          <w:sz w:val="21"/>
          <w:szCs w:val="21"/>
          <w:color w:val="auto"/>
        </w:rPr>
        <w:t>. The consolidated financial statements include the accounts of ClearOne and its subsidiaries. All significant intercompany accounts and transactions have been eliminated.</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These accompanying interim condensed consolidated financial statements for the three and six months ended June 30, 2012 and 2011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June 30, 2012 and December 31, 2011, the results of operations for the three and six months ended June 30, 2012 and 2011, and the statements of cash flows for the six months ended June 30, 2012 and 2011. The results of operations for the three and six months ended June 30, 2012 and 2011 are not necessarily indicative of the results for a full-year period. These interim condensed consolidated financial statements should be read in conjunction with the financial statements included in our Annual Report on Form 10-K for the year ended December 31, 2011 filed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Significant Accounting Policies:</w:t>
      </w:r>
    </w:p>
    <w:p>
      <w:pPr>
        <w:spacing w:after="0" w:line="233"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The significant accounting policies were described in Note 2 to the audited consolidated financial statements included in the Company’s annual report on Form 10-K for the year ended December 31, 2011. There have been no significant changes to these policies during the six months ended June 30, 2012, that are of significance or potential significance to the Company.</w:t>
      </w:r>
    </w:p>
    <w:p>
      <w:pPr>
        <w:spacing w:after="0" w:line="161"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i w:val="1"/>
          <w:iCs w:val="1"/>
          <w:color w:val="auto"/>
        </w:rPr>
        <w:t xml:space="preserve">Warranty Costs </w:t>
      </w:r>
      <w:r>
        <w:rPr>
          <w:rFonts w:ascii="Arial" w:cs="Arial" w:eastAsia="Arial" w:hAnsi="Arial"/>
          <w:sz w:val="19"/>
          <w:szCs w:val="19"/>
          <w:color w:val="auto"/>
        </w:rPr>
        <w:t>– The Company accrues for warranty costs based on estimated warranty return rates and estimated costs to repair.</w:t>
      </w:r>
      <w:r>
        <w:rPr>
          <w:rFonts w:ascii="Arial" w:cs="Arial" w:eastAsia="Arial" w:hAnsi="Arial"/>
          <w:sz w:val="19"/>
          <w:szCs w:val="19"/>
          <w:i w:val="1"/>
          <w:iCs w:val="1"/>
          <w:color w:val="auto"/>
        </w:rPr>
        <w:t xml:space="preserve"> </w:t>
      </w:r>
      <w:r>
        <w:rPr>
          <w:rFonts w:ascii="Arial" w:cs="Arial" w:eastAsia="Arial" w:hAnsi="Arial"/>
          <w:sz w:val="19"/>
          <w:szCs w:val="19"/>
          <w:color w:val="auto"/>
        </w:rPr>
        <w:t>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changes in the Company’s warranty accrual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As of</w:t>
            </w:r>
          </w:p>
        </w:tc>
        <w:tc>
          <w:tcPr>
            <w:tcW w:w="400" w:type="dxa"/>
            <w:vAlign w:val="bottom"/>
          </w:tcPr>
          <w:p>
            <w:pPr>
              <w:spacing w:after="0"/>
              <w:rPr>
                <w:sz w:val="14"/>
                <w:szCs w:val="14"/>
                <w:color w:val="auto"/>
              </w:rPr>
            </w:pPr>
          </w:p>
        </w:tc>
        <w:tc>
          <w:tcPr>
            <w:tcW w:w="160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3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June 30, 2012</w:t>
            </w: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0"/>
              </w:rPr>
              <w:t>December 31, 2011</w:t>
            </w:r>
          </w:p>
        </w:tc>
      </w:tr>
      <w:tr>
        <w:trPr>
          <w:trHeight w:val="210"/>
        </w:trPr>
        <w:tc>
          <w:tcPr>
            <w:tcW w:w="3300" w:type="dxa"/>
            <w:vAlign w:val="bottom"/>
            <w:shd w:val="clear" w:color="auto" w:fill="DBE5F1"/>
          </w:tcPr>
          <w:p>
            <w:pPr>
              <w:spacing w:after="0"/>
              <w:rPr>
                <w:sz w:val="20"/>
                <w:szCs w:val="20"/>
                <w:color w:val="auto"/>
              </w:rPr>
            </w:pPr>
            <w:r>
              <w:rPr>
                <w:rFonts w:ascii="Arial" w:cs="Arial" w:eastAsia="Arial" w:hAnsi="Arial"/>
                <w:sz w:val="18"/>
                <w:szCs w:val="18"/>
                <w:color w:val="auto"/>
              </w:rPr>
              <w:t>Balance at the beginning of year</w:t>
            </w: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E5F1"/>
          </w:tcPr>
          <w:p>
            <w:pPr>
              <w:jc w:val="center"/>
              <w:ind w:left="216"/>
              <w:spacing w:after="0"/>
              <w:rPr>
                <w:sz w:val="20"/>
                <w:szCs w:val="20"/>
                <w:color w:val="auto"/>
              </w:rPr>
            </w:pPr>
            <w:r>
              <w:rPr>
                <w:rFonts w:ascii="Arial" w:cs="Arial" w:eastAsia="Arial" w:hAnsi="Arial"/>
                <w:sz w:val="18"/>
                <w:szCs w:val="18"/>
                <w:color w:val="auto"/>
                <w:w w:val="93"/>
              </w:rPr>
              <w:t>467</w:t>
            </w:r>
          </w:p>
        </w:tc>
        <w:tc>
          <w:tcPr>
            <w:tcW w:w="4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DBE5F1"/>
          </w:tcPr>
          <w:p>
            <w:pPr>
              <w:jc w:val="center"/>
              <w:ind w:right="176"/>
              <w:spacing w:after="0"/>
              <w:rPr>
                <w:sz w:val="20"/>
                <w:szCs w:val="20"/>
                <w:color w:val="auto"/>
              </w:rPr>
            </w:pPr>
            <w:r>
              <w:rPr>
                <w:rFonts w:ascii="Arial" w:cs="Arial" w:eastAsia="Arial" w:hAnsi="Arial"/>
                <w:sz w:val="18"/>
                <w:szCs w:val="18"/>
                <w:color w:val="auto"/>
                <w:w w:val="86"/>
              </w:rPr>
              <w:t>363</w:t>
            </w: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280" w:type="dxa"/>
            <w:vAlign w:val="bottom"/>
          </w:tcPr>
          <w:p>
            <w:pPr>
              <w:spacing w:after="0"/>
              <w:rPr>
                <w:sz w:val="18"/>
                <w:szCs w:val="18"/>
                <w:color w:val="auto"/>
              </w:rPr>
            </w:pPr>
          </w:p>
        </w:tc>
        <w:tc>
          <w:tcPr>
            <w:tcW w:w="1100" w:type="dxa"/>
            <w:vAlign w:val="bottom"/>
          </w:tcPr>
          <w:p>
            <w:pPr>
              <w:jc w:val="center"/>
              <w:ind w:left="216"/>
              <w:spacing w:after="0"/>
              <w:rPr>
                <w:sz w:val="20"/>
                <w:szCs w:val="20"/>
                <w:color w:val="auto"/>
              </w:rPr>
            </w:pPr>
            <w:r>
              <w:rPr>
                <w:rFonts w:ascii="Arial" w:cs="Arial" w:eastAsia="Arial" w:hAnsi="Arial"/>
                <w:sz w:val="18"/>
                <w:szCs w:val="18"/>
                <w:color w:val="auto"/>
                <w:w w:val="93"/>
              </w:rPr>
              <w:t>166</w:t>
            </w:r>
          </w:p>
        </w:tc>
        <w:tc>
          <w:tcPr>
            <w:tcW w:w="400" w:type="dxa"/>
            <w:vAlign w:val="bottom"/>
          </w:tcPr>
          <w:p>
            <w:pPr>
              <w:spacing w:after="0"/>
              <w:rPr>
                <w:sz w:val="18"/>
                <w:szCs w:val="18"/>
                <w:color w:val="auto"/>
              </w:rPr>
            </w:pPr>
          </w:p>
        </w:tc>
        <w:tc>
          <w:tcPr>
            <w:tcW w:w="1600" w:type="dxa"/>
            <w:vAlign w:val="bottom"/>
          </w:tcPr>
          <w:p>
            <w:pPr>
              <w:jc w:val="center"/>
              <w:ind w:right="176"/>
              <w:spacing w:after="0"/>
              <w:rPr>
                <w:sz w:val="20"/>
                <w:szCs w:val="20"/>
                <w:color w:val="auto"/>
              </w:rPr>
            </w:pPr>
            <w:r>
              <w:rPr>
                <w:rFonts w:ascii="Arial" w:cs="Arial" w:eastAsia="Arial" w:hAnsi="Arial"/>
                <w:sz w:val="18"/>
                <w:szCs w:val="18"/>
                <w:color w:val="auto"/>
                <w:w w:val="86"/>
              </w:rPr>
              <w:t>439</w:t>
            </w:r>
          </w:p>
        </w:tc>
      </w:tr>
      <w:tr>
        <w:trPr>
          <w:trHeight w:val="216"/>
        </w:trPr>
        <w:tc>
          <w:tcPr>
            <w:tcW w:w="3300" w:type="dxa"/>
            <w:vAlign w:val="bottom"/>
            <w:shd w:val="clear" w:color="auto" w:fill="DBE5F1"/>
          </w:tcPr>
          <w:p>
            <w:pPr>
              <w:ind w:left="180"/>
              <w:spacing w:after="0"/>
              <w:rPr>
                <w:sz w:val="20"/>
                <w:szCs w:val="20"/>
                <w:color w:val="auto"/>
              </w:rPr>
            </w:pPr>
            <w:r>
              <w:rPr>
                <w:rFonts w:ascii="Arial" w:cs="Arial" w:eastAsia="Arial" w:hAnsi="Arial"/>
                <w:sz w:val="18"/>
                <w:szCs w:val="18"/>
                <w:color w:val="auto"/>
              </w:rPr>
              <w:t>Usage</w:t>
            </w:r>
          </w:p>
        </w:tc>
        <w:tc>
          <w:tcPr>
            <w:tcW w:w="280" w:type="dxa"/>
            <w:vAlign w:val="bottom"/>
            <w:tcBorders>
              <w:bottom w:val="single" w:sz="8" w:color="auto"/>
            </w:tcBorders>
            <w:shd w:val="clear" w:color="auto" w:fill="DBE5F1"/>
          </w:tcPr>
          <w:p>
            <w:pPr>
              <w:spacing w:after="0"/>
              <w:rPr>
                <w:sz w:val="18"/>
                <w:szCs w:val="18"/>
                <w:color w:val="auto"/>
              </w:rPr>
            </w:pPr>
          </w:p>
        </w:tc>
        <w:tc>
          <w:tcPr>
            <w:tcW w:w="1100" w:type="dxa"/>
            <w:vAlign w:val="bottom"/>
            <w:tcBorders>
              <w:bottom w:val="single" w:sz="8" w:color="auto"/>
            </w:tcBorders>
            <w:shd w:val="clear" w:color="auto" w:fill="DBE5F1"/>
          </w:tcPr>
          <w:p>
            <w:pPr>
              <w:jc w:val="center"/>
              <w:ind w:left="176"/>
              <w:spacing w:after="0"/>
              <w:rPr>
                <w:sz w:val="20"/>
                <w:szCs w:val="20"/>
                <w:color w:val="auto"/>
              </w:rPr>
            </w:pPr>
            <w:r>
              <w:rPr>
                <w:rFonts w:ascii="Arial" w:cs="Arial" w:eastAsia="Arial" w:hAnsi="Arial"/>
                <w:sz w:val="18"/>
                <w:szCs w:val="18"/>
                <w:color w:val="auto"/>
                <w:w w:val="95"/>
              </w:rPr>
              <w:t>(196)</w:t>
            </w:r>
          </w:p>
        </w:tc>
        <w:tc>
          <w:tcPr>
            <w:tcW w:w="400" w:type="dxa"/>
            <w:vAlign w:val="bottom"/>
            <w:tcBorders>
              <w:bottom w:val="single" w:sz="8" w:color="auto"/>
            </w:tcBorders>
            <w:shd w:val="clear" w:color="auto" w:fill="DBE5F1"/>
          </w:tcPr>
          <w:p>
            <w:pPr>
              <w:spacing w:after="0"/>
              <w:rPr>
                <w:sz w:val="18"/>
                <w:szCs w:val="18"/>
                <w:color w:val="auto"/>
              </w:rPr>
            </w:pPr>
          </w:p>
        </w:tc>
        <w:tc>
          <w:tcPr>
            <w:tcW w:w="1600" w:type="dxa"/>
            <w:vAlign w:val="bottom"/>
            <w:tcBorders>
              <w:bottom w:val="single" w:sz="8" w:color="auto"/>
            </w:tcBorders>
            <w:shd w:val="clear" w:color="auto" w:fill="DBE5F1"/>
          </w:tcPr>
          <w:p>
            <w:pPr>
              <w:jc w:val="center"/>
              <w:ind w:right="216"/>
              <w:spacing w:after="0"/>
              <w:rPr>
                <w:sz w:val="20"/>
                <w:szCs w:val="20"/>
                <w:color w:val="auto"/>
              </w:rPr>
            </w:pPr>
            <w:r>
              <w:rPr>
                <w:rFonts w:ascii="Arial" w:cs="Arial" w:eastAsia="Arial" w:hAnsi="Arial"/>
                <w:sz w:val="18"/>
                <w:szCs w:val="18"/>
                <w:color w:val="auto"/>
                <w:w w:val="90"/>
              </w:rPr>
              <w:t>(335)</w:t>
            </w:r>
          </w:p>
        </w:tc>
      </w:tr>
      <w:tr>
        <w:trPr>
          <w:trHeight w:val="183"/>
        </w:trPr>
        <w:tc>
          <w:tcPr>
            <w:tcW w:w="3300" w:type="dxa"/>
            <w:vAlign w:val="bottom"/>
          </w:tcPr>
          <w:p>
            <w:pPr>
              <w:spacing w:after="0" w:line="182" w:lineRule="exact"/>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216"/>
              <w:spacing w:after="0" w:line="182" w:lineRule="exact"/>
              <w:rPr>
                <w:sz w:val="20"/>
                <w:szCs w:val="20"/>
                <w:color w:val="auto"/>
              </w:rPr>
            </w:pPr>
            <w:r>
              <w:rPr>
                <w:rFonts w:ascii="Arial" w:cs="Arial" w:eastAsia="Arial" w:hAnsi="Arial"/>
                <w:sz w:val="18"/>
                <w:szCs w:val="18"/>
                <w:color w:val="auto"/>
                <w:w w:val="93"/>
              </w:rPr>
              <w:t>437</w:t>
            </w: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center"/>
              <w:ind w:right="176"/>
              <w:spacing w:after="0" w:line="182" w:lineRule="exact"/>
              <w:rPr>
                <w:sz w:val="20"/>
                <w:szCs w:val="20"/>
                <w:color w:val="auto"/>
              </w:rPr>
            </w:pPr>
            <w:r>
              <w:rPr>
                <w:rFonts w:ascii="Arial" w:cs="Arial" w:eastAsia="Arial" w:hAnsi="Arial"/>
                <w:sz w:val="18"/>
                <w:szCs w:val="18"/>
                <w:color w:val="auto"/>
                <w:w w:val="86"/>
              </w:rPr>
              <w:t>467</w:t>
            </w: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jc w:val="center"/>
        <w:ind w:left="360" w:right="2060"/>
        <w:spacing w:after="0" w:line="243" w:lineRule="auto"/>
        <w:rPr>
          <w:sz w:val="20"/>
          <w:szCs w:val="20"/>
          <w:color w:val="auto"/>
        </w:rPr>
      </w:pPr>
      <w:r>
        <w:rPr>
          <w:rFonts w:ascii="Arial" w:cs="Arial" w:eastAsia="Arial" w:hAnsi="Arial"/>
          <w:sz w:val="22"/>
          <w:szCs w:val="22"/>
          <w:b w:val="1"/>
          <w:bCs w:val="1"/>
          <w:color w:val="auto"/>
        </w:rPr>
        <w:t>CLEARONE COMMUNICATIONS, INC. NOTES TO CONDENSED CONSOLIDATED FINANCIAL STATEMENTS (Unaudited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Earnings Per Share </w:t>
      </w:r>
      <w:r>
        <w:rPr>
          <w:rFonts w:ascii="Arial" w:cs="Arial" w:eastAsia="Arial" w:hAnsi="Arial"/>
          <w:sz w:val="21"/>
          <w:szCs w:val="21"/>
          <w:color w:val="auto"/>
        </w:rPr>
        <w:t>– The following table sets forth the computation of basic and diluted earnings per common share: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4"/>
              </w:rPr>
              <w:t>Three months ended June 30,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DBE5F1"/>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2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c>
          <w:tcPr>
            <w:tcW w:w="6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4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7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BE5F1"/>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2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c>
          <w:tcPr>
            <w:tcW w:w="6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4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7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9,107,420</w:t>
            </w: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8,992,500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9,102,786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8,962,171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BE5F1"/>
          </w:tcPr>
          <w:p>
            <w:pPr>
              <w:ind w:left="160"/>
              <w:spacing w:after="0"/>
              <w:rPr>
                <w:sz w:val="20"/>
                <w:szCs w:val="20"/>
                <w:color w:val="auto"/>
              </w:rPr>
            </w:pPr>
            <w:r>
              <w:rPr>
                <w:rFonts w:ascii="Arial" w:cs="Arial" w:eastAsia="Arial" w:hAnsi="Arial"/>
                <w:sz w:val="18"/>
                <w:szCs w:val="18"/>
                <w:color w:val="auto"/>
                <w:w w:val="93"/>
              </w:rPr>
              <w:t>Dilutive common stock equivalents using treasury stock method</w:t>
            </w:r>
          </w:p>
        </w:tc>
        <w:tc>
          <w:tcPr>
            <w:tcW w:w="100" w:type="dxa"/>
            <w:vAlign w:val="bottom"/>
            <w:shd w:val="clear" w:color="auto" w:fill="DBE5F1"/>
          </w:tcPr>
          <w:p>
            <w:pPr>
              <w:spacing w:after="0"/>
              <w:rPr>
                <w:sz w:val="18"/>
                <w:szCs w:val="18"/>
                <w:color w:val="auto"/>
              </w:rPr>
            </w:pPr>
          </w:p>
        </w:tc>
        <w:tc>
          <w:tcPr>
            <w:tcW w:w="140" w:type="dxa"/>
            <w:vAlign w:val="bottom"/>
            <w:tcBorders>
              <w:bottom w:val="single" w:sz="8" w:color="auto"/>
            </w:tcBorders>
            <w:shd w:val="clear" w:color="auto" w:fill="DBE5F1"/>
          </w:tcPr>
          <w:p>
            <w:pPr>
              <w:spacing w:after="0"/>
              <w:rPr>
                <w:sz w:val="18"/>
                <w:szCs w:val="18"/>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119,006</w:t>
            </w:r>
          </w:p>
        </w:tc>
        <w:tc>
          <w:tcPr>
            <w:tcW w:w="160" w:type="dxa"/>
            <w:vAlign w:val="bottom"/>
            <w:tcBorders>
              <w:bottom w:val="single" w:sz="8" w:color="auto"/>
            </w:tcBorders>
            <w:shd w:val="clear" w:color="auto" w:fill="DBE5F1"/>
          </w:tcPr>
          <w:p>
            <w:pPr>
              <w:spacing w:after="0"/>
              <w:rPr>
                <w:sz w:val="18"/>
                <w:szCs w:val="18"/>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441,150</w:t>
            </w:r>
          </w:p>
        </w:tc>
        <w:tc>
          <w:tcPr>
            <w:tcW w:w="60" w:type="dxa"/>
            <w:vAlign w:val="bottom"/>
            <w:shd w:val="clear" w:color="auto" w:fill="DBE5F1"/>
          </w:tcPr>
          <w:p>
            <w:pPr>
              <w:spacing w:after="0"/>
              <w:rPr>
                <w:sz w:val="18"/>
                <w:szCs w:val="18"/>
                <w:color w:val="auto"/>
              </w:rPr>
            </w:pPr>
          </w:p>
        </w:tc>
        <w:tc>
          <w:tcPr>
            <w:tcW w:w="14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121,941</w:t>
            </w:r>
          </w:p>
        </w:tc>
        <w:tc>
          <w:tcPr>
            <w:tcW w:w="160" w:type="dxa"/>
            <w:vAlign w:val="bottom"/>
            <w:tcBorders>
              <w:bottom w:val="single" w:sz="8" w:color="auto"/>
            </w:tcBorders>
            <w:shd w:val="clear" w:color="auto" w:fill="DBE5F1"/>
          </w:tcPr>
          <w:p>
            <w:pPr>
              <w:spacing w:after="0"/>
              <w:rPr>
                <w:sz w:val="18"/>
                <w:szCs w:val="18"/>
                <w:color w:val="auto"/>
              </w:rPr>
            </w:pPr>
          </w:p>
        </w:tc>
        <w:tc>
          <w:tcPr>
            <w:tcW w:w="7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317,629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tcPr>
          <w:p>
            <w:pPr>
              <w:ind w:left="160"/>
              <w:spacing w:after="0" w:line="182" w:lineRule="exact"/>
              <w:rPr>
                <w:sz w:val="20"/>
                <w:szCs w:val="20"/>
                <w:color w:val="auto"/>
              </w:rPr>
            </w:pPr>
            <w:r>
              <w:rPr>
                <w:rFonts w:ascii="Arial" w:cs="Arial" w:eastAsia="Arial" w:hAnsi="Arial"/>
                <w:sz w:val="18"/>
                <w:szCs w:val="18"/>
                <w:color w:val="auto"/>
              </w:rPr>
              <w:t>Diluted weighted average 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9,226,426</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
              <w:spacing w:after="0" w:line="182" w:lineRule="exact"/>
              <w:rPr>
                <w:sz w:val="20"/>
                <w:szCs w:val="20"/>
                <w:color w:val="auto"/>
              </w:rPr>
            </w:pPr>
            <w:r>
              <w:rPr>
                <w:rFonts w:ascii="Arial" w:cs="Arial" w:eastAsia="Arial" w:hAnsi="Arial"/>
                <w:sz w:val="18"/>
                <w:szCs w:val="18"/>
                <w:color w:val="auto"/>
                <w:w w:val="92"/>
              </w:rPr>
              <w:t>9,433,650</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9,224,727</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9,279,800</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shd w:val="clear" w:color="auto" w:fill="DBE5F1"/>
          </w:tcPr>
          <w:p>
            <w:pPr>
              <w:spacing w:after="0"/>
              <w:rPr>
                <w:sz w:val="17"/>
                <w:szCs w:val="17"/>
                <w:color w:val="auto"/>
              </w:rPr>
            </w:pPr>
          </w:p>
        </w:tc>
        <w:tc>
          <w:tcPr>
            <w:tcW w:w="240" w:type="dxa"/>
            <w:vAlign w:val="bottom"/>
            <w:gridSpan w:val="2"/>
            <w:shd w:val="clear" w:color="auto" w:fill="DBE5F1"/>
          </w:tcPr>
          <w:p>
            <w:pPr>
              <w:spacing w:after="0"/>
              <w:rPr>
                <w:sz w:val="17"/>
                <w:szCs w:val="17"/>
                <w:color w:val="auto"/>
              </w:rPr>
            </w:pPr>
          </w:p>
        </w:tc>
        <w:tc>
          <w:tcPr>
            <w:tcW w:w="82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860" w:type="dxa"/>
            <w:vAlign w:val="bottom"/>
            <w:shd w:val="clear" w:color="auto" w:fill="DBE5F1"/>
          </w:tcPr>
          <w:p>
            <w:pPr>
              <w:spacing w:after="0"/>
              <w:rPr>
                <w:sz w:val="17"/>
                <w:szCs w:val="17"/>
                <w:color w:val="auto"/>
              </w:rPr>
            </w:pPr>
          </w:p>
        </w:tc>
        <w:tc>
          <w:tcPr>
            <w:tcW w:w="200" w:type="dxa"/>
            <w:vAlign w:val="bottom"/>
            <w:gridSpan w:val="2"/>
            <w:shd w:val="clear" w:color="auto" w:fill="DBE5F1"/>
          </w:tcPr>
          <w:p>
            <w:pPr>
              <w:spacing w:after="0"/>
              <w:rPr>
                <w:sz w:val="17"/>
                <w:szCs w:val="17"/>
                <w:color w:val="auto"/>
              </w:rPr>
            </w:pPr>
          </w:p>
        </w:tc>
        <w:tc>
          <w:tcPr>
            <w:tcW w:w="84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7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BE5F1"/>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0.14</w:t>
            </w:r>
          </w:p>
        </w:tc>
        <w:tc>
          <w:tcPr>
            <w:tcW w:w="200" w:type="dxa"/>
            <w:vAlign w:val="bottom"/>
            <w:gridSpan w:val="2"/>
            <w:shd w:val="clear" w:color="auto" w:fill="DBE5F1"/>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DBE5F1"/>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DBE5F1"/>
          </w:tcPr>
          <w:p>
            <w:pPr>
              <w:spacing w:after="0"/>
              <w:rPr>
                <w:sz w:val="20"/>
                <w:szCs w:val="20"/>
                <w:color w:val="auto"/>
              </w:rPr>
            </w:pPr>
            <w:r>
              <w:rPr>
                <w:rFonts w:ascii="Arial" w:cs="Arial" w:eastAsia="Arial" w:hAnsi="Arial"/>
                <w:sz w:val="18"/>
                <w:szCs w:val="18"/>
                <w:color w:val="auto"/>
              </w:rPr>
              <w:t>Weighted average options outstanding</w:t>
            </w:r>
          </w:p>
        </w:tc>
        <w:tc>
          <w:tcPr>
            <w:tcW w:w="10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2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4"/>
              </w:rPr>
              <w:t>1,207,302</w:t>
            </w:r>
          </w:p>
        </w:tc>
        <w:tc>
          <w:tcPr>
            <w:tcW w:w="16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w w:val="92"/>
              </w:rPr>
              <w:t>1,133,449</w:t>
            </w:r>
          </w:p>
        </w:tc>
        <w:tc>
          <w:tcPr>
            <w:tcW w:w="6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9"/>
              </w:rPr>
              <w:t>1,185,414</w:t>
            </w:r>
          </w:p>
        </w:tc>
        <w:tc>
          <w:tcPr>
            <w:tcW w:w="160" w:type="dxa"/>
            <w:vAlign w:val="bottom"/>
            <w:shd w:val="clear" w:color="auto" w:fill="DBE5F1"/>
          </w:tcPr>
          <w:p>
            <w:pPr>
              <w:spacing w:after="0"/>
              <w:rPr>
                <w:sz w:val="18"/>
                <w:szCs w:val="18"/>
                <w:color w:val="auto"/>
              </w:rPr>
            </w:pP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2"/>
              </w:rPr>
              <w:t>1,169,975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630,737</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630,737</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Business Combination</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On February 16, 2012, the Company completed the acquisition of the video conferencing business of Israel-based VCON Video Conferencing, Ltd. (“VCON”) through an asset purchase agreement. VCON is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complimentary technology opportunities allowing us to enter new growth markets.</w:t>
      </w:r>
    </w:p>
    <w:p>
      <w:pPr>
        <w:spacing w:after="0" w:line="175"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Pursuant to the asset purchase agreement, the Company paid initial consideration of $4,632 in cash. This initial consideration is subject to a final working capital adjustment.</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The estimated fair values of assets acquired and liabilities assumed are preliminary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preliminary measurements of fair value reflected are subject to change and any such changes could be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preliminary fair value of identified assets and liabilities acquired and goodwill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DBE5F1"/>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320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34</w:t>
            </w:r>
          </w:p>
        </w:tc>
      </w:tr>
      <w:tr>
        <w:trPr>
          <w:trHeight w:val="216"/>
        </w:trPr>
        <w:tc>
          <w:tcPr>
            <w:tcW w:w="3160" w:type="dxa"/>
            <w:vAlign w:val="bottom"/>
            <w:shd w:val="clear" w:color="auto" w:fill="DBE5F1"/>
          </w:tcPr>
          <w:p>
            <w:pPr>
              <w:spacing w:after="0"/>
              <w:rPr>
                <w:sz w:val="20"/>
                <w:szCs w:val="20"/>
                <w:color w:val="auto"/>
              </w:rPr>
            </w:pPr>
            <w:r>
              <w:rPr>
                <w:rFonts w:ascii="Arial" w:cs="Arial" w:eastAsia="Arial" w:hAnsi="Arial"/>
                <w:sz w:val="18"/>
                <w:szCs w:val="18"/>
                <w:color w:val="auto"/>
              </w:rPr>
              <w:t>Product warranty liability</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230"/>
              <w:spacing w:after="0"/>
              <w:rPr>
                <w:sz w:val="20"/>
                <w:szCs w:val="20"/>
                <w:color w:val="auto"/>
              </w:rPr>
            </w:pPr>
            <w:r>
              <w:rPr>
                <w:rFonts w:ascii="Arial" w:cs="Arial" w:eastAsia="Arial" w:hAnsi="Arial"/>
                <w:sz w:val="18"/>
                <w:szCs w:val="18"/>
                <w:color w:val="auto"/>
              </w:rPr>
              <w:t>(8)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Tradename</w:t>
            </w:r>
          </w:p>
        </w:tc>
        <w:tc>
          <w:tcPr>
            <w:tcW w:w="3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500</w:t>
            </w:r>
          </w:p>
        </w:tc>
      </w:tr>
      <w:tr>
        <w:trPr>
          <w:trHeight w:val="216"/>
        </w:trPr>
        <w:tc>
          <w:tcPr>
            <w:tcW w:w="3160" w:type="dxa"/>
            <w:vAlign w:val="bottom"/>
            <w:shd w:val="clear" w:color="auto" w:fill="DBE5F1"/>
          </w:tcPr>
          <w:p>
            <w:pPr>
              <w:spacing w:after="0"/>
              <w:rPr>
                <w:sz w:val="20"/>
                <w:szCs w:val="20"/>
                <w:color w:val="auto"/>
              </w:rPr>
            </w:pPr>
            <w:r>
              <w:rPr>
                <w:rFonts w:ascii="Arial" w:cs="Arial" w:eastAsia="Arial" w:hAnsi="Arial"/>
                <w:sz w:val="18"/>
                <w:szCs w:val="18"/>
                <w:color w:val="auto"/>
              </w:rPr>
              <w:t>Patents and technology</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2,300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Proprietary software</w:t>
            </w:r>
          </w:p>
        </w:tc>
        <w:tc>
          <w:tcPr>
            <w:tcW w:w="3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500</w:t>
            </w:r>
          </w:p>
        </w:tc>
      </w:tr>
      <w:tr>
        <w:trPr>
          <w:trHeight w:val="216"/>
        </w:trPr>
        <w:tc>
          <w:tcPr>
            <w:tcW w:w="3160" w:type="dxa"/>
            <w:vAlign w:val="bottom"/>
            <w:shd w:val="clear" w:color="auto" w:fill="DBE5F1"/>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200</w:t>
            </w:r>
          </w:p>
        </w:tc>
      </w:tr>
      <w:tr>
        <w:trPr>
          <w:trHeight w:val="216"/>
        </w:trPr>
        <w:tc>
          <w:tcPr>
            <w:tcW w:w="3160" w:type="dxa"/>
            <w:vAlign w:val="bottom"/>
            <w:tcBorders>
              <w:bottom w:val="single" w:sz="8" w:color="DBE5F1"/>
            </w:tcBorders>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786</w:t>
            </w:r>
          </w:p>
        </w:tc>
      </w:tr>
      <w:tr>
        <w:trPr>
          <w:trHeight w:val="223"/>
        </w:trPr>
        <w:tc>
          <w:tcPr>
            <w:tcW w:w="316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BE5F1"/>
          </w:tcPr>
          <w:p>
            <w:pPr>
              <w:jc w:val="right"/>
              <w:ind w:right="270"/>
              <w:spacing w:after="0" w:line="182" w:lineRule="exact"/>
              <w:rPr>
                <w:sz w:val="20"/>
                <w:szCs w:val="20"/>
                <w:color w:val="auto"/>
              </w:rPr>
            </w:pPr>
            <w:r>
              <w:rPr>
                <w:rFonts w:ascii="Arial" w:cs="Arial" w:eastAsia="Arial" w:hAnsi="Arial"/>
                <w:sz w:val="18"/>
                <w:szCs w:val="18"/>
                <w:color w:val="auto"/>
              </w:rPr>
              <w:t>4,632</w:t>
            </w:r>
          </w:p>
        </w:tc>
      </w:tr>
    </w:tbl>
    <w:p>
      <w:pPr>
        <w:spacing w:after="0" w:line="22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Company incurred $40 and $227 towards acquisition related expenses, all of which are categorized under general and administrative expenses in the condensed consolidated statements of operations for the three and six months ended June 30, 2012, respectively.</w:t>
      </w:r>
    </w:p>
    <w:p>
      <w:pPr>
        <w:sectPr>
          <w:pgSz w:w="11900" w:h="16838" w:orient="portrait"/>
          <w:cols w:equalWidth="0" w:num="1">
            <w:col w:w="11320"/>
          </w:cols>
          <w:pgMar w:left="24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6</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type w:val="continuous"/>
        </w:sectPr>
      </w:pPr>
    </w:p>
    <w:bookmarkStart w:id="8" w:name="page9"/>
    <w:bookmarkEnd w:id="8"/>
    <w:p>
      <w:pPr>
        <w:jc w:val="center"/>
        <w:ind w:left="320" w:right="2100"/>
        <w:spacing w:after="0" w:line="243" w:lineRule="auto"/>
        <w:rPr>
          <w:sz w:val="20"/>
          <w:szCs w:val="20"/>
          <w:color w:val="auto"/>
        </w:rPr>
      </w:pPr>
      <w:r>
        <w:rPr>
          <w:rFonts w:ascii="Arial" w:cs="Arial" w:eastAsia="Arial" w:hAnsi="Arial"/>
          <w:sz w:val="22"/>
          <w:szCs w:val="22"/>
          <w:b w:val="1"/>
          <w:bCs w:val="1"/>
          <w:color w:val="auto"/>
        </w:rPr>
        <w:t>CLEARONE COMMUNICATIONS, INC. NOTES TO CONDENSED CONSOLIDATED FINANCIAL STATEMENTS (Unaudited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Supplemental Pro Forma information</w:t>
      </w:r>
    </w:p>
    <w:p>
      <w:pPr>
        <w:spacing w:after="0" w:line="23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Revenue and net loss from the VCON business from February 16, 2012 to June 30, 2012 was $417 and ($435), respectively.</w:t>
      </w:r>
    </w:p>
    <w:p>
      <w:pPr>
        <w:spacing w:after="0" w:line="267" w:lineRule="exact"/>
        <w:rPr>
          <w:rFonts w:ascii="Arial" w:cs="Arial" w:eastAsia="Arial" w:hAnsi="Arial"/>
          <w:sz w:val="19"/>
          <w:szCs w:val="19"/>
          <w:color w:val="auto"/>
        </w:rPr>
      </w:pPr>
    </w:p>
    <w:p>
      <w:pPr>
        <w:ind w:left="620" w:hanging="288"/>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Revenue and earnings of the combined entity as though the business combination occurred as of January 1, 2011: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44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46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2960" w:type="dxa"/>
            <w:vAlign w:val="bottom"/>
          </w:tcPr>
          <w:p>
            <w:pPr>
              <w:spacing w:after="0"/>
              <w:rPr>
                <w:sz w:val="16"/>
                <w:szCs w:val="16"/>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r>
      <w:tr>
        <w:trPr>
          <w:trHeight w:val="210"/>
        </w:trPr>
        <w:tc>
          <w:tcPr>
            <w:tcW w:w="2960" w:type="dxa"/>
            <w:vAlign w:val="bottom"/>
            <w:shd w:val="clear" w:color="auto" w:fill="DBE5F1"/>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DBE5F1"/>
          </w:tcPr>
          <w:p>
            <w:pPr>
              <w:jc w:val="right"/>
              <w:ind w:right="139"/>
              <w:spacing w:after="0"/>
              <w:rPr>
                <w:sz w:val="20"/>
                <w:szCs w:val="20"/>
                <w:color w:val="auto"/>
              </w:rPr>
            </w:pPr>
            <w:r>
              <w:rPr>
                <w:rFonts w:ascii="Arial" w:cs="Arial" w:eastAsia="Arial" w:hAnsi="Arial"/>
                <w:sz w:val="18"/>
                <w:szCs w:val="18"/>
                <w:color w:val="auto"/>
              </w:rPr>
              <w:t>$  11,656</w:t>
            </w:r>
          </w:p>
        </w:tc>
        <w:tc>
          <w:tcPr>
            <w:tcW w:w="1320" w:type="dxa"/>
            <w:vAlign w:val="bottom"/>
            <w:shd w:val="clear" w:color="auto" w:fill="DBE5F1"/>
          </w:tcPr>
          <w:p>
            <w:pPr>
              <w:jc w:val="right"/>
              <w:ind w:right="236"/>
              <w:spacing w:after="0"/>
              <w:rPr>
                <w:sz w:val="20"/>
                <w:szCs w:val="20"/>
                <w:color w:val="auto"/>
              </w:rPr>
            </w:pPr>
            <w:r>
              <w:rPr>
                <w:rFonts w:ascii="Arial" w:cs="Arial" w:eastAsia="Arial" w:hAnsi="Arial"/>
                <w:sz w:val="18"/>
                <w:szCs w:val="18"/>
                <w:color w:val="auto"/>
              </w:rPr>
              <w:t>$  12,560</w:t>
            </w:r>
          </w:p>
        </w:tc>
        <w:tc>
          <w:tcPr>
            <w:tcW w:w="1320" w:type="dxa"/>
            <w:vAlign w:val="bottom"/>
            <w:gridSpan w:val="2"/>
            <w:shd w:val="clear" w:color="auto" w:fill="DBE5F1"/>
          </w:tcPr>
          <w:p>
            <w:pPr>
              <w:jc w:val="right"/>
              <w:ind w:right="168"/>
              <w:spacing w:after="0"/>
              <w:rPr>
                <w:sz w:val="20"/>
                <w:szCs w:val="20"/>
                <w:color w:val="auto"/>
              </w:rPr>
            </w:pPr>
            <w:r>
              <w:rPr>
                <w:rFonts w:ascii="Arial" w:cs="Arial" w:eastAsia="Arial" w:hAnsi="Arial"/>
                <w:sz w:val="18"/>
                <w:szCs w:val="18"/>
                <w:color w:val="auto"/>
              </w:rPr>
              <w:t>$  22,022</w:t>
            </w:r>
          </w:p>
        </w:tc>
        <w:tc>
          <w:tcPr>
            <w:tcW w:w="1320" w:type="dxa"/>
            <w:vAlign w:val="bottom"/>
            <w:shd w:val="clear" w:color="auto" w:fill="DBE5F1"/>
          </w:tcPr>
          <w:p>
            <w:pPr>
              <w:jc w:val="right"/>
              <w:ind w:right="236"/>
              <w:spacing w:after="0"/>
              <w:rPr>
                <w:sz w:val="20"/>
                <w:szCs w:val="20"/>
                <w:color w:val="auto"/>
              </w:rPr>
            </w:pPr>
            <w:r>
              <w:rPr>
                <w:rFonts w:ascii="Arial" w:cs="Arial" w:eastAsia="Arial" w:hAnsi="Arial"/>
                <w:sz w:val="18"/>
                <w:szCs w:val="18"/>
                <w:color w:val="auto"/>
              </w:rPr>
              <w:t>$  23,363</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139"/>
              <w:spacing w:after="0"/>
              <w:rPr>
                <w:sz w:val="20"/>
                <w:szCs w:val="20"/>
                <w:color w:val="auto"/>
              </w:rPr>
            </w:pPr>
            <w:r>
              <w:rPr>
                <w:rFonts w:ascii="Arial" w:cs="Arial" w:eastAsia="Arial" w:hAnsi="Arial"/>
                <w:sz w:val="18"/>
                <w:szCs w:val="18"/>
                <w:color w:val="auto"/>
              </w:rPr>
              <w:t>575</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rPr>
              <w:t>1,317</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984</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rPr>
              <w:t>1,963</w:t>
            </w:r>
          </w:p>
        </w:tc>
      </w:tr>
    </w:tbl>
    <w:p>
      <w:pPr>
        <w:spacing w:after="0" w:line="195" w:lineRule="exact"/>
        <w:rPr>
          <w:sz w:val="20"/>
          <w:szCs w:val="20"/>
          <w:color w:val="auto"/>
        </w:rPr>
      </w:pPr>
    </w:p>
    <w:p>
      <w:pPr>
        <w:ind w:left="660" w:right="820" w:hanging="328"/>
        <w:spacing w:after="0" w:line="251" w:lineRule="auto"/>
        <w:tabs>
          <w:tab w:leader="none" w:pos="633"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There were no material, nonrecurring pro forma adjustments directly attributable to the acquisition included in this supplemental Pro Forma information.</w:t>
      </w:r>
    </w:p>
    <w:p>
      <w:pPr>
        <w:spacing w:after="0" w:line="194" w:lineRule="exact"/>
        <w:rPr>
          <w:rFonts w:ascii="Arial" w:cs="Arial" w:eastAsia="Arial" w:hAnsi="Arial"/>
          <w:sz w:val="22"/>
          <w:szCs w:val="22"/>
          <w:color w:val="auto"/>
        </w:rPr>
      </w:pPr>
    </w:p>
    <w:p>
      <w:pPr>
        <w:ind w:left="280" w:hanging="272"/>
        <w:spacing w:after="0"/>
        <w:tabs>
          <w:tab w:leader="none" w:pos="2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Goodwill and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Goodwill</w:t>
      </w:r>
    </w:p>
    <w:p>
      <w:pPr>
        <w:spacing w:after="0" w:line="233"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The goodwill of $786 related to the acquisition of VCON is composed of expected synergies in utilizing VCON technology in ClearOne product offerings, reduction in future combined research and development expenses, and intangible assets including acquired workforce that do not qualify for separate recognition.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goodwill balance of $786 related to the acquisition of the VCON business is deductible for tax purposes.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Intangible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Intangible assets as of June 30, 2012 and December 31, 2011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26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3"/>
              </w:rPr>
              <w:t>lives</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June 30, 2012</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0"/>
              </w:rPr>
              <w:t>December 31, 2011</w:t>
            </w:r>
          </w:p>
        </w:tc>
        <w:tc>
          <w:tcPr>
            <w:tcW w:w="12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210"/>
        </w:trPr>
        <w:tc>
          <w:tcPr>
            <w:tcW w:w="3680" w:type="dxa"/>
            <w:vAlign w:val="bottom"/>
            <w:gridSpan w:val="2"/>
            <w:shd w:val="clear" w:color="auto" w:fill="DBE5F1"/>
          </w:tcPr>
          <w:p>
            <w:pPr>
              <w:spacing w:after="0"/>
              <w:rPr>
                <w:sz w:val="20"/>
                <w:szCs w:val="20"/>
                <w:color w:val="auto"/>
              </w:rPr>
            </w:pPr>
            <w:r>
              <w:rPr>
                <w:rFonts w:ascii="Arial" w:cs="Arial" w:eastAsia="Arial" w:hAnsi="Arial"/>
                <w:sz w:val="18"/>
                <w:szCs w:val="18"/>
                <w:color w:val="auto"/>
              </w:rPr>
              <w:t>Tradename</w:t>
            </w:r>
          </w:p>
        </w:tc>
        <w:tc>
          <w:tcPr>
            <w:tcW w:w="200" w:type="dxa"/>
            <w:vAlign w:val="bottom"/>
            <w:shd w:val="clear" w:color="auto" w:fill="DBE5F1"/>
          </w:tcPr>
          <w:p>
            <w:pPr>
              <w:spacing w:after="0"/>
              <w:rPr>
                <w:sz w:val="18"/>
                <w:szCs w:val="18"/>
                <w:color w:val="auto"/>
              </w:rPr>
            </w:pPr>
          </w:p>
        </w:tc>
        <w:tc>
          <w:tcPr>
            <w:tcW w:w="980" w:type="dxa"/>
            <w:vAlign w:val="bottom"/>
            <w:shd w:val="clear" w:color="auto" w:fill="DBE5F1"/>
          </w:tcPr>
          <w:p>
            <w:pPr>
              <w:jc w:val="center"/>
              <w:ind w:right="117"/>
              <w:spacing w:after="0"/>
              <w:rPr>
                <w:sz w:val="20"/>
                <w:szCs w:val="20"/>
                <w:color w:val="auto"/>
              </w:rPr>
            </w:pPr>
            <w:r>
              <w:rPr>
                <w:rFonts w:ascii="Arial" w:cs="Arial" w:eastAsia="Arial" w:hAnsi="Arial"/>
                <w:sz w:val="18"/>
                <w:szCs w:val="18"/>
                <w:color w:val="auto"/>
                <w:w w:val="84"/>
              </w:rPr>
              <w:t>7 years</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74"/>
              <w:spacing w:after="0"/>
              <w:rPr>
                <w:sz w:val="20"/>
                <w:szCs w:val="20"/>
                <w:color w:val="auto"/>
              </w:rPr>
            </w:pPr>
            <w:r>
              <w:rPr>
                <w:rFonts w:ascii="Arial" w:cs="Arial" w:eastAsia="Arial" w:hAnsi="Arial"/>
                <w:sz w:val="18"/>
                <w:szCs w:val="18"/>
                <w:color w:val="auto"/>
              </w:rPr>
              <w:t>935</w:t>
            </w:r>
          </w:p>
        </w:tc>
        <w:tc>
          <w:tcPr>
            <w:tcW w:w="500" w:type="dxa"/>
            <w:vAlign w:val="bottom"/>
            <w:gridSpan w:val="2"/>
            <w:shd w:val="clear" w:color="auto" w:fill="DBE5F1"/>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74"/>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DBE5F1"/>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Patents and technology</w:t>
            </w:r>
          </w:p>
        </w:tc>
        <w:tc>
          <w:tcPr>
            <w:tcW w:w="200" w:type="dxa"/>
            <w:vAlign w:val="bottom"/>
          </w:tcPr>
          <w:p>
            <w:pPr>
              <w:spacing w:after="0"/>
              <w:rPr>
                <w:sz w:val="18"/>
                <w:szCs w:val="18"/>
                <w:color w:val="auto"/>
              </w:rPr>
            </w:pPr>
          </w:p>
        </w:tc>
        <w:tc>
          <w:tcPr>
            <w:tcW w:w="980" w:type="dxa"/>
            <w:vAlign w:val="bottom"/>
          </w:tcPr>
          <w:p>
            <w:pPr>
              <w:jc w:val="center"/>
              <w:ind w:right="117"/>
              <w:spacing w:after="0"/>
              <w:rPr>
                <w:sz w:val="20"/>
                <w:szCs w:val="20"/>
                <w:color w:val="auto"/>
              </w:rPr>
            </w:pPr>
            <w:r>
              <w:rPr>
                <w:rFonts w:ascii="Arial" w:cs="Arial" w:eastAsia="Arial" w:hAnsi="Arial"/>
                <w:sz w:val="18"/>
                <w:szCs w:val="18"/>
                <w:color w:val="auto"/>
                <w:w w:val="89"/>
              </w:rPr>
              <w:t>10 years</w:t>
            </w:r>
          </w:p>
        </w:tc>
        <w:tc>
          <w:tcPr>
            <w:tcW w:w="26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4,370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gridSpan w:val="2"/>
            <w:shd w:val="clear" w:color="auto" w:fill="DBE5F1"/>
          </w:tcPr>
          <w:p>
            <w:pPr>
              <w:spacing w:after="0"/>
              <w:rPr>
                <w:sz w:val="20"/>
                <w:szCs w:val="20"/>
                <w:color w:val="auto"/>
              </w:rPr>
            </w:pPr>
            <w:r>
              <w:rPr>
                <w:rFonts w:ascii="Arial" w:cs="Arial" w:eastAsia="Arial" w:hAnsi="Arial"/>
                <w:sz w:val="18"/>
                <w:szCs w:val="18"/>
                <w:color w:val="auto"/>
              </w:rPr>
              <w:t>Proprietary software</w:t>
            </w:r>
          </w:p>
        </w:tc>
        <w:tc>
          <w:tcPr>
            <w:tcW w:w="1180" w:type="dxa"/>
            <w:vAlign w:val="bottom"/>
            <w:gridSpan w:val="2"/>
            <w:shd w:val="clear" w:color="auto" w:fill="DBE5F1"/>
          </w:tcPr>
          <w:p>
            <w:pPr>
              <w:jc w:val="center"/>
              <w:spacing w:after="0"/>
              <w:rPr>
                <w:sz w:val="20"/>
                <w:szCs w:val="20"/>
                <w:color w:val="auto"/>
              </w:rPr>
            </w:pPr>
            <w:r>
              <w:rPr>
                <w:rFonts w:ascii="Arial" w:cs="Arial" w:eastAsia="Arial" w:hAnsi="Arial"/>
                <w:sz w:val="18"/>
                <w:szCs w:val="18"/>
                <w:color w:val="auto"/>
                <w:w w:val="87"/>
              </w:rPr>
              <w:t>3 to 5 years</w:t>
            </w:r>
          </w:p>
        </w:tc>
        <w:tc>
          <w:tcPr>
            <w:tcW w:w="260" w:type="dxa"/>
            <w:vAlign w:val="bottom"/>
            <w:shd w:val="clear" w:color="auto" w:fill="DBE5F1"/>
          </w:tcPr>
          <w:p>
            <w:pPr>
              <w:spacing w:after="0"/>
              <w:rPr>
                <w:sz w:val="18"/>
                <w:szCs w:val="18"/>
                <w:color w:val="auto"/>
              </w:rPr>
            </w:pPr>
          </w:p>
        </w:tc>
        <w:tc>
          <w:tcPr>
            <w:tcW w:w="960" w:type="dxa"/>
            <w:vAlign w:val="bottom"/>
            <w:shd w:val="clear" w:color="auto" w:fill="DBE5F1"/>
          </w:tcPr>
          <w:p>
            <w:pPr>
              <w:jc w:val="right"/>
              <w:ind w:right="74"/>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74"/>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DBE5F1"/>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8"/>
                <w:szCs w:val="18"/>
                <w:color w:val="auto"/>
              </w:rPr>
            </w:pPr>
          </w:p>
        </w:tc>
        <w:tc>
          <w:tcPr>
            <w:tcW w:w="980" w:type="dxa"/>
            <w:vAlign w:val="bottom"/>
          </w:tcPr>
          <w:p>
            <w:pPr>
              <w:jc w:val="center"/>
              <w:ind w:right="117"/>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680" w:type="dxa"/>
            <w:vAlign w:val="bottom"/>
            <w:tcBorders>
              <w:bottom w:val="single" w:sz="8" w:color="DBE5F1"/>
            </w:tcBorders>
            <w:gridSpan w:val="2"/>
            <w:shd w:val="clear" w:color="auto" w:fill="DBE5F1"/>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DBE5F1"/>
            </w:tcBorders>
            <w:shd w:val="clear" w:color="auto" w:fill="DBE5F1"/>
          </w:tcPr>
          <w:p>
            <w:pPr>
              <w:spacing w:after="0"/>
              <w:rPr>
                <w:sz w:val="17"/>
                <w:szCs w:val="17"/>
                <w:color w:val="auto"/>
              </w:rPr>
            </w:pPr>
          </w:p>
        </w:tc>
        <w:tc>
          <w:tcPr>
            <w:tcW w:w="980" w:type="dxa"/>
            <w:vAlign w:val="bottom"/>
            <w:tcBorders>
              <w:bottom w:val="single" w:sz="8" w:color="DBE5F1"/>
            </w:tcBorders>
            <w:shd w:val="clear" w:color="auto" w:fill="DBE5F1"/>
          </w:tcPr>
          <w:p>
            <w:pPr>
              <w:jc w:val="center"/>
              <w:ind w:right="117"/>
              <w:spacing w:after="0" w:line="202" w:lineRule="exact"/>
              <w:rPr>
                <w:sz w:val="20"/>
                <w:szCs w:val="20"/>
                <w:color w:val="auto"/>
              </w:rPr>
            </w:pPr>
            <w:r>
              <w:rPr>
                <w:rFonts w:ascii="Arial" w:cs="Arial" w:eastAsia="Arial" w:hAnsi="Arial"/>
                <w:sz w:val="18"/>
                <w:szCs w:val="18"/>
                <w:color w:val="auto"/>
                <w:w w:val="84"/>
              </w:rPr>
              <w:t>5 years</w:t>
            </w:r>
          </w:p>
        </w:tc>
        <w:tc>
          <w:tcPr>
            <w:tcW w:w="260" w:type="dxa"/>
            <w:vAlign w:val="bottom"/>
            <w:tcBorders>
              <w:bottom w:val="single" w:sz="8" w:color="auto"/>
            </w:tcBorders>
            <w:shd w:val="clear" w:color="auto" w:fill="DBE5F1"/>
          </w:tcPr>
          <w:p>
            <w:pPr>
              <w:spacing w:after="0"/>
              <w:rPr>
                <w:sz w:val="17"/>
                <w:szCs w:val="17"/>
                <w:color w:val="auto"/>
              </w:rPr>
            </w:pPr>
          </w:p>
        </w:tc>
        <w:tc>
          <w:tcPr>
            <w:tcW w:w="960" w:type="dxa"/>
            <w:vAlign w:val="bottom"/>
            <w:tcBorders>
              <w:bottom w:val="single" w:sz="8" w:color="auto"/>
            </w:tcBorders>
            <w:shd w:val="clear" w:color="auto" w:fill="DBE5F1"/>
          </w:tcPr>
          <w:p>
            <w:pPr>
              <w:jc w:val="right"/>
              <w:ind w:right="94"/>
              <w:spacing w:after="0" w:line="202" w:lineRule="exact"/>
              <w:rPr>
                <w:sz w:val="20"/>
                <w:szCs w:val="20"/>
                <w:color w:val="auto"/>
              </w:rPr>
            </w:pPr>
            <w:r>
              <w:rPr>
                <w:rFonts w:ascii="Arial" w:cs="Arial" w:eastAsia="Arial" w:hAnsi="Arial"/>
                <w:sz w:val="18"/>
                <w:szCs w:val="18"/>
                <w:color w:val="auto"/>
              </w:rPr>
              <w:t>49</w:t>
            </w:r>
          </w:p>
        </w:tc>
        <w:tc>
          <w:tcPr>
            <w:tcW w:w="160" w:type="dxa"/>
            <w:vAlign w:val="bottom"/>
            <w:tcBorders>
              <w:bottom w:val="single" w:sz="8" w:color="auto"/>
            </w:tcBorders>
            <w:shd w:val="clear" w:color="auto" w:fill="DBE5F1"/>
          </w:tcPr>
          <w:p>
            <w:pPr>
              <w:spacing w:after="0"/>
              <w:rPr>
                <w:sz w:val="17"/>
                <w:szCs w:val="17"/>
                <w:color w:val="auto"/>
              </w:rPr>
            </w:pPr>
          </w:p>
        </w:tc>
        <w:tc>
          <w:tcPr>
            <w:tcW w:w="340" w:type="dxa"/>
            <w:vAlign w:val="bottom"/>
            <w:tcBorders>
              <w:bottom w:val="single" w:sz="8" w:color="auto"/>
            </w:tcBorders>
            <w:shd w:val="clear" w:color="auto" w:fill="DBE5F1"/>
          </w:tcPr>
          <w:p>
            <w:pPr>
              <w:spacing w:after="0"/>
              <w:rPr>
                <w:sz w:val="17"/>
                <w:szCs w:val="17"/>
                <w:color w:val="auto"/>
              </w:rPr>
            </w:pPr>
          </w:p>
        </w:tc>
        <w:tc>
          <w:tcPr>
            <w:tcW w:w="1000" w:type="dxa"/>
            <w:vAlign w:val="bottom"/>
            <w:tcBorders>
              <w:bottom w:val="single" w:sz="8" w:color="auto"/>
            </w:tcBorders>
            <w:shd w:val="clear" w:color="auto" w:fill="DBE5F1"/>
          </w:tcPr>
          <w:p>
            <w:pPr>
              <w:jc w:val="right"/>
              <w:ind w:right="174"/>
              <w:spacing w:after="0" w:line="202"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auto"/>
            </w:tcBorders>
            <w:shd w:val="clear" w:color="auto" w:fill="DBE5F1"/>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7,007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gridSpan w:val="2"/>
            <w:shd w:val="clear" w:color="auto" w:fill="DBE5F1"/>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shd w:val="clear" w:color="auto" w:fill="DBE5F1"/>
          </w:tcPr>
          <w:p>
            <w:pPr>
              <w:spacing w:after="0"/>
              <w:rPr>
                <w:sz w:val="18"/>
                <w:szCs w:val="18"/>
                <w:color w:val="auto"/>
              </w:rPr>
            </w:pPr>
          </w:p>
        </w:tc>
        <w:tc>
          <w:tcPr>
            <w:tcW w:w="980" w:type="dxa"/>
            <w:vAlign w:val="bottom"/>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spacing w:after="0"/>
              <w:rPr>
                <w:sz w:val="18"/>
                <w:szCs w:val="18"/>
                <w:color w:val="auto"/>
              </w:rPr>
            </w:pPr>
          </w:p>
        </w:tc>
        <w:tc>
          <w:tcPr>
            <w:tcW w:w="960" w:type="dxa"/>
            <w:vAlign w:val="bottom"/>
            <w:tcBorders>
              <w:bottom w:val="single" w:sz="8" w:color="auto"/>
            </w:tcBorders>
            <w:shd w:val="clear" w:color="auto" w:fill="DBE5F1"/>
          </w:tcPr>
          <w:p>
            <w:pPr>
              <w:jc w:val="right"/>
              <w:ind w:right="34"/>
              <w:spacing w:after="0"/>
              <w:rPr>
                <w:sz w:val="20"/>
                <w:szCs w:val="20"/>
                <w:color w:val="auto"/>
              </w:rPr>
            </w:pPr>
            <w:r>
              <w:rPr>
                <w:rFonts w:ascii="Arial" w:cs="Arial" w:eastAsia="Arial" w:hAnsi="Arial"/>
                <w:sz w:val="18"/>
                <w:szCs w:val="18"/>
                <w:color w:val="auto"/>
              </w:rPr>
              <w:t>(1,149)</w:t>
            </w:r>
          </w:p>
        </w:tc>
        <w:tc>
          <w:tcPr>
            <w:tcW w:w="160" w:type="dxa"/>
            <w:vAlign w:val="bottom"/>
            <w:tcBorders>
              <w:bottom w:val="single" w:sz="8" w:color="auto"/>
            </w:tcBorders>
            <w:shd w:val="clear" w:color="auto" w:fill="DBE5F1"/>
          </w:tcPr>
          <w:p>
            <w:pPr>
              <w:spacing w:after="0"/>
              <w:rPr>
                <w:sz w:val="18"/>
                <w:szCs w:val="18"/>
                <w:color w:val="auto"/>
              </w:rPr>
            </w:pPr>
          </w:p>
        </w:tc>
        <w:tc>
          <w:tcPr>
            <w:tcW w:w="34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114"/>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auto"/>
            </w:tcBorders>
            <w:shd w:val="clear" w:color="auto" w:fill="DBE5F1"/>
          </w:tcPr>
          <w:p>
            <w:pPr>
              <w:spacing w:after="0"/>
              <w:rPr>
                <w:sz w:val="18"/>
                <w:szCs w:val="18"/>
                <w:color w:val="auto"/>
              </w:rPr>
            </w:pPr>
          </w:p>
        </w:tc>
        <w:tc>
          <w:tcPr>
            <w:tcW w:w="1000" w:type="dxa"/>
            <w:vAlign w:val="bottom"/>
          </w:tcPr>
          <w:p>
            <w:pPr>
              <w:spacing w:after="0"/>
              <w:rPr>
                <w:sz w:val="18"/>
                <w:szCs w:val="18"/>
                <w:color w:val="auto"/>
              </w:rPr>
            </w:pPr>
          </w:p>
        </w:tc>
      </w:tr>
      <w:tr>
        <w:trPr>
          <w:trHeight w:val="183"/>
        </w:trPr>
        <w:tc>
          <w:tcPr>
            <w:tcW w:w="3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4"/>
              <w:spacing w:after="0" w:line="182" w:lineRule="exact"/>
              <w:rPr>
                <w:sz w:val="20"/>
                <w:szCs w:val="20"/>
                <w:color w:val="auto"/>
              </w:rPr>
            </w:pPr>
            <w:r>
              <w:rPr>
                <w:rFonts w:ascii="Arial" w:cs="Arial" w:eastAsia="Arial" w:hAnsi="Arial"/>
                <w:sz w:val="18"/>
                <w:szCs w:val="18"/>
                <w:color w:val="auto"/>
              </w:rPr>
              <w:t>5,858</w:t>
            </w:r>
          </w:p>
        </w:tc>
        <w:tc>
          <w:tcPr>
            <w:tcW w:w="500" w:type="dxa"/>
            <w:vAlign w:val="bottom"/>
            <w:tcBorders>
              <w:bottom w:val="single" w:sz="8" w:color="auto"/>
            </w:tcBorders>
            <w:gridSpan w:val="2"/>
          </w:tcPr>
          <w:p>
            <w:pPr>
              <w:ind w:left="32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4"/>
              <w:spacing w:after="0" w:line="182" w:lineRule="exact"/>
              <w:rPr>
                <w:sz w:val="20"/>
                <w:szCs w:val="20"/>
                <w:color w:val="auto"/>
              </w:rPr>
            </w:pPr>
            <w:r>
              <w:rPr>
                <w:rFonts w:ascii="Arial" w:cs="Arial" w:eastAsia="Arial" w:hAnsi="Arial"/>
                <w:sz w:val="18"/>
                <w:szCs w:val="18"/>
                <w:color w:val="auto"/>
              </w:rPr>
              <w:t>2,690</w:t>
            </w:r>
          </w:p>
        </w:tc>
        <w:tc>
          <w:tcPr>
            <w:tcW w:w="12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5"/>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88"/>
        </w:trPr>
        <w:tc>
          <w:tcPr>
            <w:tcW w:w="36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r>
      <w:tr>
        <w:trPr>
          <w:trHeight w:val="210"/>
        </w:trPr>
        <w:tc>
          <w:tcPr>
            <w:tcW w:w="3640" w:type="dxa"/>
            <w:vAlign w:val="bottom"/>
            <w:shd w:val="clear" w:color="auto" w:fill="DBE5F1"/>
          </w:tcPr>
          <w:p>
            <w:pPr>
              <w:spacing w:after="0"/>
              <w:rPr>
                <w:sz w:val="20"/>
                <w:szCs w:val="20"/>
                <w:color w:val="auto"/>
              </w:rPr>
            </w:pPr>
            <w:r>
              <w:rPr>
                <w:rFonts w:ascii="Arial" w:cs="Arial" w:eastAsia="Arial" w:hAnsi="Arial"/>
                <w:sz w:val="18"/>
                <w:szCs w:val="18"/>
                <w:color w:val="auto"/>
              </w:rPr>
              <w:t>Amortization of intangibles with finite lives</w:t>
            </w:r>
          </w:p>
        </w:tc>
        <w:tc>
          <w:tcPr>
            <w:tcW w:w="4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237"/>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234"/>
              <w:spacing w:after="0"/>
              <w:rPr>
                <w:sz w:val="20"/>
                <w:szCs w:val="20"/>
                <w:color w:val="auto"/>
              </w:rPr>
            </w:pPr>
            <w:r>
              <w:rPr>
                <w:rFonts w:ascii="Arial" w:cs="Arial" w:eastAsia="Arial" w:hAnsi="Arial"/>
                <w:sz w:val="18"/>
                <w:szCs w:val="18"/>
                <w:color w:val="auto"/>
              </w:rPr>
              <w:t>87</w:t>
            </w:r>
          </w:p>
        </w:tc>
        <w:tc>
          <w:tcPr>
            <w:tcW w:w="500" w:type="dxa"/>
            <w:vAlign w:val="bottom"/>
            <w:gridSpan w:val="2"/>
            <w:shd w:val="clear" w:color="auto" w:fill="DBE5F1"/>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354"/>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DBE5F1"/>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E5F1"/>
          </w:tcPr>
          <w:p>
            <w:pPr>
              <w:jc w:val="right"/>
              <w:ind w:right="239"/>
              <w:spacing w:after="0"/>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9" w:name="page10"/>
    <w:bookmarkEnd w:id="9"/>
    <w:p>
      <w:pPr>
        <w:jc w:val="center"/>
        <w:ind w:left="560" w:right="1860"/>
        <w:spacing w:after="0" w:line="243" w:lineRule="auto"/>
        <w:rPr>
          <w:sz w:val="20"/>
          <w:szCs w:val="20"/>
          <w:color w:val="auto"/>
        </w:rPr>
      </w:pPr>
      <w:r>
        <w:rPr>
          <w:rFonts w:ascii="Arial" w:cs="Arial" w:eastAsia="Arial" w:hAnsi="Arial"/>
          <w:sz w:val="22"/>
          <w:szCs w:val="22"/>
          <w:b w:val="1"/>
          <w:bCs w:val="1"/>
          <w:color w:val="auto"/>
        </w:rPr>
        <w:t>CLEARONE COMMUNICATIONS, INC. NOTES TO CONDENSED CONSOLIDATED FINANCIAL STATEMENTS (Unaudited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future amortization expense of intangible assets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9"/>
              </w:rPr>
              <w:t>Years ending December 31,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80" w:type="dxa"/>
            <w:vAlign w:val="bottom"/>
            <w:shd w:val="clear" w:color="auto" w:fill="DBE5F1"/>
          </w:tcPr>
          <w:p>
            <w:pPr>
              <w:jc w:val="right"/>
              <w:spacing w:after="0" w:line="189" w:lineRule="exact"/>
              <w:rPr>
                <w:sz w:val="20"/>
                <w:szCs w:val="20"/>
                <w:color w:val="auto"/>
              </w:rPr>
            </w:pPr>
            <w:r>
              <w:rPr>
                <w:rFonts w:ascii="Arial" w:cs="Arial" w:eastAsia="Arial" w:hAnsi="Arial"/>
                <w:sz w:val="18"/>
                <w:szCs w:val="18"/>
                <w:color w:val="auto"/>
              </w:rPr>
              <w:t>2012</w:t>
            </w:r>
          </w:p>
        </w:tc>
        <w:tc>
          <w:tcPr>
            <w:tcW w:w="260" w:type="dxa"/>
            <w:vAlign w:val="bottom"/>
            <w:shd w:val="clear" w:color="auto" w:fill="DBE5F1"/>
          </w:tcPr>
          <w:p>
            <w:pPr>
              <w:spacing w:after="0"/>
              <w:rPr>
                <w:sz w:val="16"/>
                <w:szCs w:val="16"/>
                <w:color w:val="auto"/>
              </w:rPr>
            </w:pPr>
          </w:p>
        </w:tc>
        <w:tc>
          <w:tcPr>
            <w:tcW w:w="220" w:type="dxa"/>
            <w:vAlign w:val="bottom"/>
            <w:shd w:val="clear" w:color="auto" w:fill="DBE5F1"/>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DBE5F1"/>
          </w:tcPr>
          <w:p>
            <w:pPr>
              <w:jc w:val="right"/>
              <w:ind w:right="250"/>
              <w:spacing w:after="0" w:line="189"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jc w:val="right"/>
              <w:spacing w:after="0" w:line="189" w:lineRule="exact"/>
              <w:rPr>
                <w:sz w:val="20"/>
                <w:szCs w:val="20"/>
                <w:color w:val="auto"/>
              </w:rPr>
            </w:pPr>
            <w:r>
              <w:rPr>
                <w:rFonts w:ascii="Arial" w:cs="Arial" w:eastAsia="Arial" w:hAnsi="Arial"/>
                <w:sz w:val="18"/>
                <w:szCs w:val="18"/>
                <w:color w:val="auto"/>
              </w:rPr>
              <w:t>2013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shd w:val="clear" w:color="auto" w:fill="DBE5F1"/>
          </w:tcPr>
          <w:p>
            <w:pPr>
              <w:jc w:val="right"/>
              <w:spacing w:after="0" w:line="189" w:lineRule="exact"/>
              <w:rPr>
                <w:sz w:val="20"/>
                <w:szCs w:val="20"/>
                <w:color w:val="auto"/>
              </w:rPr>
            </w:pPr>
            <w:r>
              <w:rPr>
                <w:rFonts w:ascii="Arial" w:cs="Arial" w:eastAsia="Arial" w:hAnsi="Arial"/>
                <w:sz w:val="18"/>
                <w:szCs w:val="18"/>
                <w:color w:val="auto"/>
              </w:rPr>
              <w:t>2014</w:t>
            </w:r>
          </w:p>
        </w:tc>
        <w:tc>
          <w:tcPr>
            <w:tcW w:w="26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740" w:type="dxa"/>
            <w:vAlign w:val="bottom"/>
            <w:shd w:val="clear" w:color="auto" w:fill="DBE5F1"/>
          </w:tcPr>
          <w:p>
            <w:pPr>
              <w:jc w:val="right"/>
              <w:ind w:right="250"/>
              <w:spacing w:after="0" w:line="189"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jc w:val="right"/>
              <w:spacing w:after="0" w:line="189" w:lineRule="exact"/>
              <w:rPr>
                <w:sz w:val="20"/>
                <w:szCs w:val="20"/>
                <w:color w:val="auto"/>
              </w:rPr>
            </w:pPr>
            <w:r>
              <w:rPr>
                <w:rFonts w:ascii="Arial" w:cs="Arial" w:eastAsia="Arial" w:hAnsi="Arial"/>
                <w:sz w:val="18"/>
                <w:szCs w:val="18"/>
                <w:color w:val="auto"/>
              </w:rPr>
              <w:t>2015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shd w:val="clear" w:color="auto" w:fill="DBE5F1"/>
          </w:tcPr>
          <w:p>
            <w:pPr>
              <w:jc w:val="right"/>
              <w:spacing w:after="0" w:line="189" w:lineRule="exact"/>
              <w:rPr>
                <w:sz w:val="20"/>
                <w:szCs w:val="20"/>
                <w:color w:val="auto"/>
              </w:rPr>
            </w:pPr>
            <w:r>
              <w:rPr>
                <w:rFonts w:ascii="Arial" w:cs="Arial" w:eastAsia="Arial" w:hAnsi="Arial"/>
                <w:sz w:val="18"/>
                <w:szCs w:val="18"/>
                <w:color w:val="auto"/>
              </w:rPr>
              <w:t>2016</w:t>
            </w:r>
          </w:p>
        </w:tc>
        <w:tc>
          <w:tcPr>
            <w:tcW w:w="26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740" w:type="dxa"/>
            <w:vAlign w:val="bottom"/>
            <w:shd w:val="clear" w:color="auto" w:fill="DBE5F1"/>
          </w:tcPr>
          <w:p>
            <w:pPr>
              <w:jc w:val="right"/>
              <w:ind w:right="250"/>
              <w:spacing w:after="0" w:line="189"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jc w:val="right"/>
              <w:spacing w:after="0" w:line="189" w:lineRule="exact"/>
              <w:rPr>
                <w:sz w:val="20"/>
                <w:szCs w:val="20"/>
                <w:color w:val="auto"/>
              </w:rPr>
            </w:pPr>
            <w:r>
              <w:rPr>
                <w:rFonts w:ascii="Arial" w:cs="Arial" w:eastAsia="Arial" w:hAnsi="Arial"/>
                <w:sz w:val="18"/>
                <w:szCs w:val="18"/>
                <w:color w:val="auto"/>
              </w:rPr>
              <w:t>2017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40" w:type="dxa"/>
            <w:vAlign w:val="bottom"/>
            <w:gridSpan w:val="2"/>
            <w:shd w:val="clear" w:color="auto" w:fill="DBE5F1"/>
          </w:tcPr>
          <w:p>
            <w:pPr>
              <w:ind w:left="680"/>
              <w:spacing w:after="0" w:line="189"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ind w:right="250"/>
              <w:spacing w:after="0" w:line="189" w:lineRule="exact"/>
              <w:rPr>
                <w:sz w:val="20"/>
                <w:szCs w:val="20"/>
                <w:color w:val="auto"/>
              </w:rPr>
            </w:pPr>
            <w:r>
              <w:rPr>
                <w:rFonts w:ascii="Arial" w:cs="Arial" w:eastAsia="Arial" w:hAnsi="Arial"/>
                <w:sz w:val="18"/>
                <w:szCs w:val="18"/>
                <w:color w:val="auto"/>
                <w:w w:val="84"/>
              </w:rPr>
              <w:t>1,422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84"/>
              </w:rPr>
              <w:t>5,099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Inventories, net of reserves, as of June 30, 2012 and December 31, 2011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400" w:type="dxa"/>
            <w:vAlign w:val="bottom"/>
          </w:tcPr>
          <w:p>
            <w:pPr>
              <w:jc w:val="right"/>
              <w:ind w:right="57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30, 2012</w:t>
            </w: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DBE5F1"/>
          </w:tcPr>
          <w:p>
            <w:pPr>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DBE5F1"/>
          </w:tcPr>
          <w:p>
            <w:pPr>
              <w:spacing w:after="0"/>
              <w:rPr>
                <w:sz w:val="18"/>
                <w:szCs w:val="18"/>
                <w:color w:val="auto"/>
              </w:rPr>
            </w:pPr>
          </w:p>
        </w:tc>
        <w:tc>
          <w:tcPr>
            <w:tcW w:w="12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4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951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DBE5F1"/>
          </w:tcPr>
          <w:p>
            <w:pPr>
              <w:ind w:left="16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DBE5F1"/>
          </w:tcPr>
          <w:p>
            <w:pPr>
              <w:spacing w:after="0"/>
              <w:rPr>
                <w:sz w:val="18"/>
                <w:szCs w:val="18"/>
                <w:color w:val="auto"/>
              </w:rPr>
            </w:pPr>
          </w:p>
        </w:tc>
        <w:tc>
          <w:tcPr>
            <w:tcW w:w="1200" w:type="dxa"/>
            <w:vAlign w:val="bottom"/>
            <w:tcBorders>
              <w:bottom w:val="single" w:sz="8" w:color="auto"/>
            </w:tcBorders>
            <w:shd w:val="clear" w:color="auto" w:fill="DBE5F1"/>
          </w:tcPr>
          <w:p>
            <w:pPr>
              <w:jc w:val="right"/>
              <w:ind w:right="134"/>
              <w:spacing w:after="0"/>
              <w:rPr>
                <w:sz w:val="20"/>
                <w:szCs w:val="20"/>
                <w:color w:val="auto"/>
              </w:rPr>
            </w:pPr>
            <w:r>
              <w:rPr>
                <w:rFonts w:ascii="Arial" w:cs="Arial" w:eastAsia="Arial" w:hAnsi="Arial"/>
                <w:sz w:val="18"/>
                <w:szCs w:val="18"/>
                <w:color w:val="auto"/>
              </w:rPr>
              <w:t>14,113</w:t>
            </w:r>
          </w:p>
        </w:tc>
        <w:tc>
          <w:tcPr>
            <w:tcW w:w="320" w:type="dxa"/>
            <w:vAlign w:val="bottom"/>
            <w:tcBorders>
              <w:bottom w:val="single" w:sz="8" w:color="auto"/>
            </w:tcBorders>
            <w:shd w:val="clear" w:color="auto" w:fill="DBE5F1"/>
          </w:tcPr>
          <w:p>
            <w:pPr>
              <w:spacing w:after="0"/>
              <w:rPr>
                <w:sz w:val="18"/>
                <w:szCs w:val="18"/>
                <w:color w:val="auto"/>
              </w:rPr>
            </w:pPr>
          </w:p>
        </w:tc>
        <w:tc>
          <w:tcPr>
            <w:tcW w:w="1400" w:type="dxa"/>
            <w:vAlign w:val="bottom"/>
            <w:tcBorders>
              <w:bottom w:val="single" w:sz="8" w:color="auto"/>
            </w:tcBorders>
            <w:shd w:val="clear" w:color="auto" w:fill="DBE5F1"/>
          </w:tcPr>
          <w:p>
            <w:pPr>
              <w:jc w:val="right"/>
              <w:ind w:right="254"/>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4"/>
              <w:spacing w:after="0" w:line="182" w:lineRule="exact"/>
              <w:rPr>
                <w:sz w:val="20"/>
                <w:szCs w:val="20"/>
                <w:color w:val="auto"/>
              </w:rPr>
            </w:pPr>
            <w:r>
              <w:rPr>
                <w:rFonts w:ascii="Arial" w:cs="Arial" w:eastAsia="Arial" w:hAnsi="Arial"/>
                <w:sz w:val="18"/>
                <w:szCs w:val="18"/>
                <w:color w:val="auto"/>
              </w:rPr>
              <w:t>15,064</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54"/>
              <w:spacing w:after="0" w:line="182" w:lineRule="exact"/>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40" w:type="dxa"/>
            <w:vAlign w:val="bottom"/>
            <w:shd w:val="clear" w:color="auto" w:fill="DBE5F1"/>
          </w:tcPr>
          <w:p>
            <w:pPr>
              <w:spacing w:after="0"/>
              <w:rPr>
                <w:sz w:val="17"/>
                <w:szCs w:val="17"/>
                <w:color w:val="auto"/>
              </w:rPr>
            </w:pPr>
          </w:p>
        </w:tc>
        <w:tc>
          <w:tcPr>
            <w:tcW w:w="300" w:type="dxa"/>
            <w:vAlign w:val="bottom"/>
            <w:shd w:val="clear" w:color="auto" w:fill="DBE5F1"/>
          </w:tcPr>
          <w:p>
            <w:pPr>
              <w:spacing w:after="0"/>
              <w:rPr>
                <w:sz w:val="17"/>
                <w:szCs w:val="17"/>
                <w:color w:val="auto"/>
              </w:rPr>
            </w:pPr>
          </w:p>
        </w:tc>
        <w:tc>
          <w:tcPr>
            <w:tcW w:w="1200" w:type="dxa"/>
            <w:vAlign w:val="bottom"/>
            <w:shd w:val="clear" w:color="auto" w:fill="DBE5F1"/>
          </w:tcPr>
          <w:p>
            <w:pPr>
              <w:spacing w:after="0"/>
              <w:rPr>
                <w:sz w:val="17"/>
                <w:szCs w:val="17"/>
                <w:color w:val="auto"/>
              </w:rPr>
            </w:pPr>
          </w:p>
        </w:tc>
        <w:tc>
          <w:tcPr>
            <w:tcW w:w="320" w:type="dxa"/>
            <w:vAlign w:val="bottom"/>
            <w:shd w:val="clear" w:color="auto" w:fill="DBE5F1"/>
          </w:tcPr>
          <w:p>
            <w:pPr>
              <w:spacing w:after="0"/>
              <w:rPr>
                <w:sz w:val="17"/>
                <w:szCs w:val="17"/>
                <w:color w:val="auto"/>
              </w:rPr>
            </w:pPr>
          </w:p>
        </w:tc>
        <w:tc>
          <w:tcPr>
            <w:tcW w:w="14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DBE5F1"/>
          </w:tcPr>
          <w:p>
            <w:pPr>
              <w:ind w:left="16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E5F1"/>
          </w:tcPr>
          <w:p>
            <w:pPr>
              <w:jc w:val="right"/>
              <w:ind w:right="134"/>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E5F1"/>
          </w:tcPr>
          <w:p>
            <w:pPr>
              <w:jc w:val="right"/>
              <w:ind w:right="254"/>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DBE5F1"/>
            </w:tcBorders>
          </w:tcPr>
          <w:p>
            <w:pPr>
              <w:ind w:left="16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1,411</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E5F1"/>
          </w:tcPr>
          <w:p>
            <w:pPr>
              <w:jc w:val="right"/>
              <w:ind w:right="134"/>
              <w:spacing w:after="0" w:line="182" w:lineRule="exact"/>
              <w:rPr>
                <w:sz w:val="20"/>
                <w:szCs w:val="20"/>
                <w:color w:val="auto"/>
              </w:rPr>
            </w:pPr>
            <w:r>
              <w:rPr>
                <w:rFonts w:ascii="Arial" w:cs="Arial" w:eastAsia="Arial" w:hAnsi="Arial"/>
                <w:sz w:val="18"/>
                <w:szCs w:val="18"/>
                <w:color w:val="auto"/>
              </w:rPr>
              <w:t>2,064</w:t>
            </w:r>
          </w:p>
        </w:tc>
        <w:tc>
          <w:tcPr>
            <w:tcW w:w="32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BE5F1"/>
          </w:tcPr>
          <w:p>
            <w:pPr>
              <w:jc w:val="right"/>
              <w:ind w:right="254"/>
              <w:spacing w:after="0" w:line="182" w:lineRule="exact"/>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Long-term inventory represents inventory held in excess of our current requirements for the next twelve months based on our recent sales and forecasted level of sales. We expect to sell the above inventory, net of reserves, at or above the stated cost and believe that no loss will be incurred on its sale.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Current finished goods include consigned inventory in the amounts of approximately $1,246 and $1,199 as of June 30, 2012 and December 31, 2011, respectively. Consigned inventory represents inventory at distributors and other customers where revenue recognition criteria have not been achieved.</w:t>
      </w:r>
    </w:p>
    <w:p>
      <w:pPr>
        <w:spacing w:after="0" w:line="21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following table summarizes the losses incurred on valuation of inventory at lower of cost or market value and write-off of obsolete inventory during the three and six months ended June 30, 2012 and 2011,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88"/>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r>
      <w:tr>
        <w:trPr>
          <w:trHeight w:val="195"/>
        </w:trPr>
        <w:tc>
          <w:tcPr>
            <w:tcW w:w="3640" w:type="dxa"/>
            <w:vAlign w:val="bottom"/>
            <w:shd w:val="clear" w:color="auto" w:fill="DBE5F1"/>
          </w:tcPr>
          <w:p>
            <w:pPr>
              <w:spacing w:after="0" w:line="195" w:lineRule="exact"/>
              <w:rPr>
                <w:sz w:val="20"/>
                <w:szCs w:val="20"/>
                <w:color w:val="auto"/>
              </w:rPr>
            </w:pPr>
            <w:r>
              <w:rPr>
                <w:rFonts w:ascii="Arial" w:cs="Arial" w:eastAsia="Arial" w:hAnsi="Arial"/>
                <w:sz w:val="18"/>
                <w:szCs w:val="18"/>
                <w:color w:val="auto"/>
                <w:w w:val="99"/>
              </w:rPr>
              <w:t>Losses incurred on valuation of inventory and</w:t>
            </w:r>
          </w:p>
        </w:tc>
        <w:tc>
          <w:tcPr>
            <w:tcW w:w="260" w:type="dxa"/>
            <w:vAlign w:val="bottom"/>
            <w:shd w:val="clear" w:color="auto" w:fill="DBE5F1"/>
          </w:tcPr>
          <w:p>
            <w:pPr>
              <w:spacing w:after="0"/>
              <w:rPr>
                <w:sz w:val="16"/>
                <w:szCs w:val="16"/>
                <w:color w:val="auto"/>
              </w:rPr>
            </w:pPr>
          </w:p>
        </w:tc>
        <w:tc>
          <w:tcPr>
            <w:tcW w:w="86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82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0" w:type="dxa"/>
            <w:vAlign w:val="bottom"/>
            <w:shd w:val="clear" w:color="auto" w:fill="DBE5F1"/>
          </w:tcPr>
          <w:p>
            <w:pPr>
              <w:spacing w:after="0"/>
              <w:rPr>
                <w:sz w:val="16"/>
                <w:szCs w:val="16"/>
                <w:color w:val="auto"/>
              </w:rPr>
            </w:pPr>
          </w:p>
        </w:tc>
      </w:tr>
      <w:tr>
        <w:trPr>
          <w:trHeight w:val="230"/>
        </w:trPr>
        <w:tc>
          <w:tcPr>
            <w:tcW w:w="3640" w:type="dxa"/>
            <w:vAlign w:val="bottom"/>
            <w:shd w:val="clear" w:color="auto" w:fill="DBE5F1"/>
          </w:tcPr>
          <w:p>
            <w:pPr>
              <w:spacing w:after="0"/>
              <w:rPr>
                <w:sz w:val="20"/>
                <w:szCs w:val="20"/>
                <w:color w:val="auto"/>
              </w:rPr>
            </w:pPr>
            <w:r>
              <w:rPr>
                <w:rFonts w:ascii="Arial" w:cs="Arial" w:eastAsia="Arial" w:hAnsi="Arial"/>
                <w:sz w:val="18"/>
                <w:szCs w:val="18"/>
                <w:color w:val="auto"/>
              </w:rPr>
              <w:t>write-off of obsolete inventory</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DBE5F1"/>
          </w:tcPr>
          <w:p>
            <w:pPr>
              <w:jc w:val="right"/>
              <w:ind w:right="142"/>
              <w:spacing w:after="0"/>
              <w:rPr>
                <w:sz w:val="20"/>
                <w:szCs w:val="20"/>
                <w:color w:val="auto"/>
              </w:rPr>
            </w:pPr>
            <w:r>
              <w:rPr>
                <w:rFonts w:ascii="Arial" w:cs="Arial" w:eastAsia="Arial" w:hAnsi="Arial"/>
                <w:sz w:val="18"/>
                <w:szCs w:val="18"/>
                <w:color w:val="auto"/>
              </w:rPr>
              <w:t>188</w:t>
            </w:r>
          </w:p>
        </w:tc>
        <w:tc>
          <w:tcPr>
            <w:tcW w:w="52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23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ind w:right="162"/>
              <w:spacing w:after="0"/>
              <w:rPr>
                <w:sz w:val="20"/>
                <w:szCs w:val="20"/>
                <w:color w:val="auto"/>
              </w:rPr>
            </w:pPr>
            <w:r>
              <w:rPr>
                <w:rFonts w:ascii="Arial" w:cs="Arial" w:eastAsia="Arial" w:hAnsi="Arial"/>
                <w:sz w:val="18"/>
                <w:szCs w:val="18"/>
                <w:color w:val="auto"/>
              </w:rPr>
              <w:t>278</w:t>
            </w:r>
          </w:p>
        </w:tc>
        <w:tc>
          <w:tcPr>
            <w:tcW w:w="52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239"/>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120"/>
          </w:cols>
          <w:pgMar w:left="240" w:top="111" w:right="539" w:bottom="1440" w:gutter="0" w:footer="0" w:header="0"/>
        </w:sectPr>
      </w:pPr>
    </w:p>
    <w:bookmarkStart w:id="10" w:name="page11"/>
    <w:bookmarkEnd w:id="10"/>
    <w:p>
      <w:pPr>
        <w:jc w:val="center"/>
        <w:ind w:left="360" w:right="2060"/>
        <w:spacing w:after="0" w:line="243" w:lineRule="auto"/>
        <w:rPr>
          <w:sz w:val="20"/>
          <w:szCs w:val="20"/>
          <w:color w:val="auto"/>
        </w:rPr>
      </w:pPr>
      <w:r>
        <w:rPr>
          <w:rFonts w:ascii="Arial" w:cs="Arial" w:eastAsia="Arial" w:hAnsi="Arial"/>
          <w:sz w:val="22"/>
          <w:szCs w:val="22"/>
          <w:b w:val="1"/>
          <w:bCs w:val="1"/>
          <w:color w:val="auto"/>
        </w:rPr>
        <w:t>CLEARONE COMMUNICATIONS, INC. NOTES TO CONDENSED CONSOLIDATED FINANCIAL STATEMENTS (Unaudited – 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Share-based compensation expense has been recorded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w w:val="93"/>
              </w:rPr>
              <w:t>Three months ended June 30,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r>
      <w:tr>
        <w:trPr>
          <w:trHeight w:val="210"/>
        </w:trPr>
        <w:tc>
          <w:tcPr>
            <w:tcW w:w="3040" w:type="dxa"/>
            <w:vAlign w:val="bottom"/>
            <w:shd w:val="clear" w:color="auto" w:fill="DBE5F1"/>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DBE5F1"/>
          </w:tcPr>
          <w:p>
            <w:pPr>
              <w:jc w:val="right"/>
              <w:ind w:right="135"/>
              <w:spacing w:after="0"/>
              <w:rPr>
                <w:sz w:val="20"/>
                <w:szCs w:val="20"/>
                <w:color w:val="auto"/>
              </w:rPr>
            </w:pPr>
            <w:r>
              <w:rPr>
                <w:rFonts w:ascii="Arial" w:cs="Arial" w:eastAsia="Arial" w:hAnsi="Arial"/>
                <w:sz w:val="18"/>
                <w:szCs w:val="18"/>
                <w:color w:val="auto"/>
              </w:rPr>
              <w:t>-</w:t>
            </w:r>
          </w:p>
        </w:tc>
        <w:tc>
          <w:tcPr>
            <w:tcW w:w="50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DBE5F1"/>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ind w:right="135"/>
              <w:spacing w:after="0"/>
              <w:rPr>
                <w:sz w:val="20"/>
                <w:szCs w:val="20"/>
                <w:color w:val="auto"/>
              </w:rPr>
            </w:pPr>
            <w:r>
              <w:rPr>
                <w:rFonts w:ascii="Arial" w:cs="Arial" w:eastAsia="Arial" w:hAnsi="Arial"/>
                <w:sz w:val="18"/>
                <w:szCs w:val="18"/>
                <w:color w:val="auto"/>
              </w:rPr>
              <w:t>1</w:t>
            </w:r>
          </w:p>
        </w:tc>
        <w:tc>
          <w:tcPr>
            <w:tcW w:w="52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ind w:right="253"/>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10</w:t>
            </w:r>
          </w:p>
        </w:tc>
      </w:tr>
      <w:tr>
        <w:trPr>
          <w:trHeight w:val="216"/>
        </w:trPr>
        <w:tc>
          <w:tcPr>
            <w:tcW w:w="3040" w:type="dxa"/>
            <w:vAlign w:val="bottom"/>
            <w:shd w:val="clear" w:color="auto" w:fill="DBE5F1"/>
          </w:tcPr>
          <w:p>
            <w:pPr>
              <w:spacing w:after="0"/>
              <w:rPr>
                <w:sz w:val="20"/>
                <w:szCs w:val="20"/>
                <w:color w:val="auto"/>
              </w:rPr>
            </w:pPr>
            <w:r>
              <w:rPr>
                <w:rFonts w:ascii="Arial" w:cs="Arial" w:eastAsia="Arial" w:hAnsi="Arial"/>
                <w:sz w:val="18"/>
                <w:szCs w:val="18"/>
                <w:color w:val="auto"/>
              </w:rPr>
              <w:t>Research and product development</w:t>
            </w:r>
          </w:p>
        </w:tc>
        <w:tc>
          <w:tcPr>
            <w:tcW w:w="26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135"/>
              <w:spacing w:after="0"/>
              <w:rPr>
                <w:sz w:val="20"/>
                <w:szCs w:val="20"/>
                <w:color w:val="auto"/>
              </w:rPr>
            </w:pPr>
            <w:r>
              <w:rPr>
                <w:rFonts w:ascii="Arial" w:cs="Arial" w:eastAsia="Arial" w:hAnsi="Arial"/>
                <w:sz w:val="18"/>
                <w:szCs w:val="18"/>
                <w:color w:val="auto"/>
              </w:rPr>
              <w:t>10</w:t>
            </w:r>
          </w:p>
        </w:tc>
        <w:tc>
          <w:tcPr>
            <w:tcW w:w="500" w:type="dxa"/>
            <w:vAlign w:val="bottom"/>
            <w:shd w:val="clear" w:color="auto" w:fill="DBE5F1"/>
          </w:tcPr>
          <w:p>
            <w:pPr>
              <w:spacing w:after="0"/>
              <w:rPr>
                <w:sz w:val="18"/>
                <w:szCs w:val="18"/>
                <w:color w:val="auto"/>
              </w:rPr>
            </w:pPr>
          </w:p>
        </w:tc>
        <w:tc>
          <w:tcPr>
            <w:tcW w:w="800" w:type="dxa"/>
            <w:vAlign w:val="bottom"/>
            <w:shd w:val="clear" w:color="auto" w:fill="DBE5F1"/>
          </w:tcPr>
          <w:p>
            <w:pPr>
              <w:jc w:val="right"/>
              <w:ind w:right="233"/>
              <w:spacing w:after="0"/>
              <w:rPr>
                <w:sz w:val="20"/>
                <w:szCs w:val="20"/>
                <w:color w:val="auto"/>
              </w:rPr>
            </w:pPr>
            <w:r>
              <w:rPr>
                <w:rFonts w:ascii="Arial" w:cs="Arial" w:eastAsia="Arial" w:hAnsi="Arial"/>
                <w:sz w:val="18"/>
                <w:szCs w:val="18"/>
                <w:color w:val="auto"/>
              </w:rPr>
              <w:t>4</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20" w:type="dxa"/>
            <w:vAlign w:val="bottom"/>
            <w:shd w:val="clear" w:color="auto" w:fill="DBE5F1"/>
          </w:tcPr>
          <w:p>
            <w:pPr>
              <w:jc w:val="right"/>
              <w:ind w:right="135"/>
              <w:spacing w:after="0"/>
              <w:rPr>
                <w:sz w:val="20"/>
                <w:szCs w:val="20"/>
                <w:color w:val="auto"/>
              </w:rPr>
            </w:pPr>
            <w:r>
              <w:rPr>
                <w:rFonts w:ascii="Arial" w:cs="Arial" w:eastAsia="Arial" w:hAnsi="Arial"/>
                <w:sz w:val="18"/>
                <w:szCs w:val="18"/>
                <w:color w:val="auto"/>
              </w:rPr>
              <w:t>17</w:t>
            </w:r>
          </w:p>
        </w:tc>
        <w:tc>
          <w:tcPr>
            <w:tcW w:w="520" w:type="dxa"/>
            <w:vAlign w:val="bottom"/>
            <w:shd w:val="clear" w:color="auto" w:fill="DBE5F1"/>
          </w:tcPr>
          <w:p>
            <w:pPr>
              <w:spacing w:after="0"/>
              <w:rPr>
                <w:sz w:val="18"/>
                <w:szCs w:val="18"/>
                <w:color w:val="auto"/>
              </w:rPr>
            </w:pPr>
          </w:p>
        </w:tc>
        <w:tc>
          <w:tcPr>
            <w:tcW w:w="820" w:type="dxa"/>
            <w:vAlign w:val="bottom"/>
            <w:shd w:val="clear" w:color="auto" w:fill="DBE5F1"/>
          </w:tcPr>
          <w:p>
            <w:pPr>
              <w:jc w:val="right"/>
              <w:ind w:right="253"/>
              <w:spacing w:after="0"/>
              <w:rPr>
                <w:sz w:val="20"/>
                <w:szCs w:val="20"/>
                <w:color w:val="auto"/>
              </w:rPr>
            </w:pPr>
            <w:r>
              <w:rPr>
                <w:rFonts w:ascii="Arial" w:cs="Arial" w:eastAsia="Arial" w:hAnsi="Arial"/>
                <w:sz w:val="18"/>
                <w:szCs w:val="18"/>
                <w:color w:val="auto"/>
              </w:rPr>
              <w:t>8</w:t>
            </w:r>
          </w:p>
        </w:tc>
      </w:tr>
      <w:tr>
        <w:trPr>
          <w:trHeight w:val="216"/>
        </w:trPr>
        <w:tc>
          <w:tcPr>
            <w:tcW w:w="3040" w:type="dxa"/>
            <w:vAlign w:val="bottom"/>
            <w:tcBorders>
              <w:bottom w:val="single" w:sz="8" w:color="DBE5F1"/>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33</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DBE5F1"/>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63</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65</w:t>
            </w:r>
          </w:p>
        </w:tc>
      </w:tr>
      <w:tr>
        <w:trPr>
          <w:trHeight w:val="223"/>
        </w:trPr>
        <w:tc>
          <w:tcPr>
            <w:tcW w:w="304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BE5F1"/>
          </w:tcPr>
          <w:p>
            <w:pPr>
              <w:jc w:val="right"/>
              <w:ind w:right="135"/>
              <w:spacing w:after="0" w:line="182" w:lineRule="exact"/>
              <w:rPr>
                <w:sz w:val="20"/>
                <w:szCs w:val="20"/>
                <w:color w:val="auto"/>
              </w:rPr>
            </w:pPr>
            <w:r>
              <w:rPr>
                <w:rFonts w:ascii="Arial" w:cs="Arial" w:eastAsia="Arial" w:hAnsi="Arial"/>
                <w:sz w:val="18"/>
                <w:szCs w:val="18"/>
                <w:color w:val="auto"/>
              </w:rPr>
              <w:t>60</w:t>
            </w:r>
          </w:p>
        </w:tc>
        <w:tc>
          <w:tcPr>
            <w:tcW w:w="500" w:type="dxa"/>
            <w:vAlign w:val="bottom"/>
            <w:tcBorders>
              <w:bottom w:val="single" w:sz="8" w:color="auto"/>
            </w:tcBorders>
            <w:shd w:val="clear" w:color="auto" w:fill="DBE5F1"/>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BE5F1"/>
          </w:tcPr>
          <w:p>
            <w:pPr>
              <w:jc w:val="right"/>
              <w:ind w:right="233"/>
              <w:spacing w:after="0" w:line="182" w:lineRule="exact"/>
              <w:rPr>
                <w:sz w:val="20"/>
                <w:szCs w:val="20"/>
                <w:color w:val="auto"/>
              </w:rPr>
            </w:pPr>
            <w:r>
              <w:rPr>
                <w:rFonts w:ascii="Arial" w:cs="Arial" w:eastAsia="Arial" w:hAnsi="Arial"/>
                <w:sz w:val="18"/>
                <w:szCs w:val="18"/>
                <w:color w:val="auto"/>
              </w:rPr>
              <w:t>44</w:t>
            </w:r>
          </w:p>
        </w:tc>
        <w:tc>
          <w:tcPr>
            <w:tcW w:w="20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E5F1"/>
          </w:tcPr>
          <w:p>
            <w:pPr>
              <w:jc w:val="right"/>
              <w:ind w:right="135"/>
              <w:spacing w:after="0" w:line="182" w:lineRule="exact"/>
              <w:rPr>
                <w:sz w:val="20"/>
                <w:szCs w:val="20"/>
                <w:color w:val="auto"/>
              </w:rPr>
            </w:pPr>
            <w:r>
              <w:rPr>
                <w:rFonts w:ascii="Arial" w:cs="Arial" w:eastAsia="Arial" w:hAnsi="Arial"/>
                <w:sz w:val="18"/>
                <w:szCs w:val="18"/>
                <w:color w:val="auto"/>
              </w:rPr>
              <w:t>111</w:t>
            </w:r>
          </w:p>
        </w:tc>
        <w:tc>
          <w:tcPr>
            <w:tcW w:w="520" w:type="dxa"/>
            <w:vAlign w:val="bottom"/>
            <w:tcBorders>
              <w:bottom w:val="single" w:sz="8" w:color="auto"/>
            </w:tcBorders>
            <w:shd w:val="clear" w:color="auto" w:fill="DBE5F1"/>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E5F1"/>
          </w:tcPr>
          <w:p>
            <w:pPr>
              <w:jc w:val="right"/>
              <w:ind w:right="253"/>
              <w:spacing w:after="0" w:line="182" w:lineRule="exact"/>
              <w:rPr>
                <w:sz w:val="20"/>
                <w:szCs w:val="20"/>
                <w:color w:val="auto"/>
              </w:rPr>
            </w:pPr>
            <w:r>
              <w:rPr>
                <w:rFonts w:ascii="Arial" w:cs="Arial" w:eastAsia="Arial" w:hAnsi="Arial"/>
                <w:sz w:val="18"/>
                <w:szCs w:val="18"/>
                <w:color w:val="auto"/>
              </w:rPr>
              <w:t>83</w:t>
            </w:r>
          </w:p>
        </w:tc>
      </w:tr>
    </w:tbl>
    <w:p>
      <w:pPr>
        <w:spacing w:after="0" w:line="222" w:lineRule="exact"/>
        <w:rPr>
          <w:sz w:val="20"/>
          <w:szCs w:val="20"/>
          <w:color w:val="auto"/>
        </w:rPr>
      </w:pPr>
    </w:p>
    <w:p>
      <w:pPr>
        <w:ind w:right="280"/>
        <w:spacing w:after="0" w:line="274" w:lineRule="auto"/>
        <w:rPr>
          <w:sz w:val="20"/>
          <w:szCs w:val="20"/>
          <w:color w:val="auto"/>
        </w:rPr>
      </w:pPr>
      <w:r>
        <w:rPr>
          <w:rFonts w:ascii="Arial" w:cs="Arial" w:eastAsia="Arial" w:hAnsi="Arial"/>
          <w:sz w:val="21"/>
          <w:szCs w:val="21"/>
          <w:color w:val="auto"/>
        </w:rPr>
        <w:t>As of June 30, 2012, the total remaining unrecognized compensation cost related to non-vested stock options, net of forfeitures, was approximately $594 which will be recognized over a weighted average period of 2.79 years.</w:t>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During the three and six months ended June 30, 2012, we granted 65,000 and 95,000 stock options, respectively. During the three and six months ended June 30, 2011, we granted 5,000 stock options.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In applying the Black-Scholes methodology to the options granted, the Company used the following assumptions: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42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46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04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2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2011</w:t>
            </w:r>
          </w:p>
        </w:tc>
      </w:tr>
      <w:tr>
        <w:trPr>
          <w:trHeight w:val="210"/>
        </w:trPr>
        <w:tc>
          <w:tcPr>
            <w:tcW w:w="3040" w:type="dxa"/>
            <w:vAlign w:val="bottom"/>
            <w:shd w:val="clear" w:color="auto" w:fill="DBE5F1"/>
          </w:tcPr>
          <w:p>
            <w:pPr>
              <w:spacing w:after="0"/>
              <w:rPr>
                <w:sz w:val="20"/>
                <w:szCs w:val="20"/>
                <w:color w:val="auto"/>
              </w:rPr>
            </w:pPr>
            <w:r>
              <w:rPr>
                <w:rFonts w:ascii="Arial" w:cs="Arial" w:eastAsia="Arial" w:hAnsi="Arial"/>
                <w:sz w:val="18"/>
                <w:szCs w:val="18"/>
                <w:color w:val="auto"/>
              </w:rPr>
              <w:t>Risk-free interest rate, average</w:t>
            </w:r>
          </w:p>
        </w:tc>
        <w:tc>
          <w:tcPr>
            <w:tcW w:w="124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7"/>
              </w:rPr>
              <w:t>1.2%</w:t>
            </w:r>
          </w:p>
        </w:tc>
        <w:tc>
          <w:tcPr>
            <w:tcW w:w="118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92"/>
              </w:rPr>
              <w:t>2.5%</w:t>
            </w:r>
          </w:p>
        </w:tc>
        <w:tc>
          <w:tcPr>
            <w:tcW w:w="200" w:type="dxa"/>
            <w:vAlign w:val="bottom"/>
            <w:shd w:val="clear" w:color="auto" w:fill="DBE5F1"/>
          </w:tcPr>
          <w:p>
            <w:pPr>
              <w:spacing w:after="0"/>
              <w:rPr>
                <w:sz w:val="18"/>
                <w:szCs w:val="18"/>
                <w:color w:val="auto"/>
              </w:rPr>
            </w:pPr>
          </w:p>
        </w:tc>
        <w:tc>
          <w:tcPr>
            <w:tcW w:w="124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92"/>
              </w:rPr>
              <w:t>1.5%</w:t>
            </w:r>
          </w:p>
        </w:tc>
        <w:tc>
          <w:tcPr>
            <w:tcW w:w="122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92"/>
              </w:rPr>
              <w:t>2.5%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1240" w:type="dxa"/>
            <w:vAlign w:val="bottom"/>
          </w:tcPr>
          <w:p>
            <w:pPr>
              <w:jc w:val="right"/>
              <w:ind w:right="176"/>
              <w:spacing w:after="0"/>
              <w:rPr>
                <w:sz w:val="20"/>
                <w:szCs w:val="20"/>
                <w:color w:val="auto"/>
              </w:rPr>
            </w:pPr>
            <w:r>
              <w:rPr>
                <w:rFonts w:ascii="Arial" w:cs="Arial" w:eastAsia="Arial" w:hAnsi="Arial"/>
                <w:sz w:val="18"/>
                <w:szCs w:val="18"/>
                <w:color w:val="auto"/>
              </w:rPr>
              <w:t>7.02 years</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6.9 years</w:t>
            </w:r>
          </w:p>
        </w:tc>
        <w:tc>
          <w:tcPr>
            <w:tcW w:w="200" w:type="dxa"/>
            <w:vAlign w:val="bottom"/>
          </w:tcPr>
          <w:p>
            <w:pPr>
              <w:spacing w:after="0"/>
              <w:rPr>
                <w:sz w:val="18"/>
                <w:szCs w:val="18"/>
                <w:color w:val="auto"/>
              </w:rPr>
            </w:pPr>
          </w:p>
        </w:tc>
        <w:tc>
          <w:tcPr>
            <w:tcW w:w="1240" w:type="dxa"/>
            <w:vAlign w:val="bottom"/>
          </w:tcPr>
          <w:p>
            <w:pPr>
              <w:jc w:val="right"/>
              <w:ind w:right="176"/>
              <w:spacing w:after="0"/>
              <w:rPr>
                <w:sz w:val="20"/>
                <w:szCs w:val="20"/>
                <w:color w:val="auto"/>
              </w:rPr>
            </w:pPr>
            <w:r>
              <w:rPr>
                <w:rFonts w:ascii="Arial" w:cs="Arial" w:eastAsia="Arial" w:hAnsi="Arial"/>
                <w:sz w:val="18"/>
                <w:szCs w:val="18"/>
                <w:color w:val="auto"/>
              </w:rPr>
              <w:t>7.11 years</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6.9 years</w:t>
            </w:r>
          </w:p>
        </w:tc>
      </w:tr>
      <w:tr>
        <w:trPr>
          <w:trHeight w:val="216"/>
        </w:trPr>
        <w:tc>
          <w:tcPr>
            <w:tcW w:w="3040" w:type="dxa"/>
            <w:vAlign w:val="bottom"/>
            <w:shd w:val="clear" w:color="auto" w:fill="DBE5F1"/>
          </w:tcPr>
          <w:p>
            <w:pPr>
              <w:spacing w:after="0"/>
              <w:rPr>
                <w:sz w:val="20"/>
                <w:szCs w:val="20"/>
                <w:color w:val="auto"/>
              </w:rPr>
            </w:pPr>
            <w:r>
              <w:rPr>
                <w:rFonts w:ascii="Arial" w:cs="Arial" w:eastAsia="Arial" w:hAnsi="Arial"/>
                <w:sz w:val="18"/>
                <w:szCs w:val="18"/>
                <w:color w:val="auto"/>
              </w:rPr>
              <w:t>Expected price volatility, average</w:t>
            </w:r>
          </w:p>
        </w:tc>
        <w:tc>
          <w:tcPr>
            <w:tcW w:w="124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3"/>
              </w:rPr>
              <w:t>51.7%</w:t>
            </w:r>
          </w:p>
        </w:tc>
        <w:tc>
          <w:tcPr>
            <w:tcW w:w="11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0"/>
              </w:rPr>
              <w:t>52.5%</w:t>
            </w:r>
          </w:p>
        </w:tc>
        <w:tc>
          <w:tcPr>
            <w:tcW w:w="1440" w:type="dxa"/>
            <w:vAlign w:val="bottom"/>
            <w:gridSpan w:val="2"/>
            <w:shd w:val="clear" w:color="auto" w:fill="DBE5F1"/>
          </w:tcPr>
          <w:p>
            <w:pPr>
              <w:jc w:val="center"/>
              <w:ind w:left="96"/>
              <w:spacing w:after="0"/>
              <w:rPr>
                <w:sz w:val="20"/>
                <w:szCs w:val="20"/>
                <w:color w:val="auto"/>
              </w:rPr>
            </w:pPr>
            <w:r>
              <w:rPr>
                <w:rFonts w:ascii="Arial" w:cs="Arial" w:eastAsia="Arial" w:hAnsi="Arial"/>
                <w:sz w:val="18"/>
                <w:szCs w:val="18"/>
                <w:color w:val="auto"/>
                <w:w w:val="90"/>
              </w:rPr>
              <w:t>51.6%</w:t>
            </w:r>
          </w:p>
        </w:tc>
        <w:tc>
          <w:tcPr>
            <w:tcW w:w="12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0"/>
              </w:rPr>
              <w:t>52.5%</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440" w:type="dxa"/>
            <w:vAlign w:val="bottom"/>
            <w:gridSpan w:val="2"/>
          </w:tcPr>
          <w:p>
            <w:pPr>
              <w:jc w:val="center"/>
              <w:ind w:left="96"/>
              <w:spacing w:after="0"/>
              <w:rPr>
                <w:sz w:val="20"/>
                <w:szCs w:val="20"/>
                <w:color w:val="auto"/>
              </w:rPr>
            </w:pPr>
            <w:r>
              <w:rPr>
                <w:rFonts w:ascii="Arial" w:cs="Arial" w:eastAsia="Arial" w:hAnsi="Arial"/>
                <w:sz w:val="18"/>
                <w:szCs w:val="18"/>
                <w:color w:val="auto"/>
                <w:w w:val="92"/>
              </w:rPr>
              <w:t>0.0%</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Shareholders’ Equity</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summarizes the change in shareholders’ equity during the three and six months ended June 30, 2012 and 2011,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3"/>
              </w:rPr>
              <w:t>Three months ended June 30,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w w:val="96"/>
              </w:rPr>
              <w:t>Six months ended June 30,</w:t>
            </w:r>
          </w:p>
        </w:tc>
      </w:tr>
      <w:tr>
        <w:trPr>
          <w:trHeight w:val="201"/>
        </w:trPr>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r>
      <w:tr>
        <w:trPr>
          <w:trHeight w:val="223"/>
        </w:trPr>
        <w:tc>
          <w:tcPr>
            <w:tcW w:w="3280" w:type="dxa"/>
            <w:vAlign w:val="bottom"/>
            <w:shd w:val="clear" w:color="auto" w:fill="DBE5F1"/>
          </w:tcPr>
          <w:p>
            <w:pPr>
              <w:spacing w:after="0"/>
              <w:rPr>
                <w:sz w:val="20"/>
                <w:szCs w:val="20"/>
                <w:color w:val="auto"/>
              </w:rPr>
            </w:pPr>
            <w:r>
              <w:rPr>
                <w:rFonts w:ascii="Arial" w:cs="Arial" w:eastAsia="Arial" w:hAnsi="Arial"/>
                <w:sz w:val="18"/>
                <w:szCs w:val="18"/>
                <w:color w:val="auto"/>
              </w:rPr>
              <w:t>Balance at the beginning of the period</w:t>
            </w: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194"/>
              <w:spacing w:after="0"/>
              <w:rPr>
                <w:sz w:val="20"/>
                <w:szCs w:val="20"/>
                <w:color w:val="auto"/>
              </w:rPr>
            </w:pPr>
            <w:r>
              <w:rPr>
                <w:rFonts w:ascii="Arial" w:cs="Arial" w:eastAsia="Arial" w:hAnsi="Arial"/>
                <w:sz w:val="18"/>
                <w:szCs w:val="18"/>
                <w:color w:val="auto"/>
              </w:rPr>
              <w:t>40,168</w:t>
            </w:r>
          </w:p>
        </w:tc>
        <w:tc>
          <w:tcPr>
            <w:tcW w:w="40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E5F1"/>
          </w:tcPr>
          <w:p>
            <w:pPr>
              <w:jc w:val="right"/>
              <w:ind w:right="213"/>
              <w:spacing w:after="0"/>
              <w:rPr>
                <w:sz w:val="20"/>
                <w:szCs w:val="20"/>
                <w:color w:val="auto"/>
              </w:rPr>
            </w:pPr>
            <w:r>
              <w:rPr>
                <w:rFonts w:ascii="Arial" w:cs="Arial" w:eastAsia="Arial" w:hAnsi="Arial"/>
                <w:sz w:val="18"/>
                <w:szCs w:val="18"/>
                <w:color w:val="auto"/>
              </w:rPr>
              <w:t>32,607</w:t>
            </w:r>
          </w:p>
        </w:tc>
        <w:tc>
          <w:tcPr>
            <w:tcW w:w="50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74"/>
              <w:spacing w:after="0"/>
              <w:rPr>
                <w:sz w:val="20"/>
                <w:szCs w:val="20"/>
                <w:color w:val="auto"/>
              </w:rPr>
            </w:pPr>
            <w:r>
              <w:rPr>
                <w:rFonts w:ascii="Arial" w:cs="Arial" w:eastAsia="Arial" w:hAnsi="Arial"/>
                <w:sz w:val="18"/>
                <w:szCs w:val="18"/>
                <w:color w:val="auto"/>
              </w:rPr>
              <w:t>39,664</w:t>
            </w:r>
          </w:p>
        </w:tc>
        <w:tc>
          <w:tcPr>
            <w:tcW w:w="42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E5F1"/>
          </w:tcPr>
          <w:p>
            <w:pPr>
              <w:jc w:val="right"/>
              <w:ind w:right="253"/>
              <w:spacing w:after="0"/>
              <w:rPr>
                <w:sz w:val="20"/>
                <w:szCs w:val="20"/>
                <w:color w:val="auto"/>
              </w:rPr>
            </w:pPr>
            <w:r>
              <w:rPr>
                <w:rFonts w:ascii="Arial" w:cs="Arial" w:eastAsia="Arial" w:hAnsi="Arial"/>
                <w:sz w:val="18"/>
                <w:szCs w:val="18"/>
                <w:color w:val="auto"/>
              </w:rPr>
              <w:t>31,735</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280" w:type="dxa"/>
            <w:vAlign w:val="bottom"/>
          </w:tcPr>
          <w:p>
            <w:pPr>
              <w:spacing w:after="0"/>
              <w:rPr>
                <w:sz w:val="19"/>
                <w:szCs w:val="19"/>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1,321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19"/>
                <w:szCs w:val="19"/>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2,133</w:t>
            </w:r>
          </w:p>
        </w:tc>
      </w:tr>
      <w:tr>
        <w:trPr>
          <w:trHeight w:val="230"/>
        </w:trPr>
        <w:tc>
          <w:tcPr>
            <w:tcW w:w="3280" w:type="dxa"/>
            <w:vAlign w:val="bottom"/>
            <w:shd w:val="clear" w:color="auto" w:fill="DBE5F1"/>
          </w:tcPr>
          <w:p>
            <w:pPr>
              <w:spacing w:after="0"/>
              <w:rPr>
                <w:sz w:val="20"/>
                <w:szCs w:val="20"/>
                <w:color w:val="auto"/>
              </w:rPr>
            </w:pPr>
            <w:r>
              <w:rPr>
                <w:rFonts w:ascii="Arial" w:cs="Arial" w:eastAsia="Arial" w:hAnsi="Arial"/>
                <w:sz w:val="18"/>
                <w:szCs w:val="18"/>
                <w:color w:val="auto"/>
              </w:rPr>
              <w:t>Treasury stock purchased</w:t>
            </w:r>
          </w:p>
        </w:tc>
        <w:tc>
          <w:tcPr>
            <w:tcW w:w="280" w:type="dxa"/>
            <w:vAlign w:val="bottom"/>
            <w:shd w:val="clear" w:color="auto" w:fill="DBE5F1"/>
          </w:tcPr>
          <w:p>
            <w:pPr>
              <w:spacing w:after="0"/>
              <w:rPr>
                <w:sz w:val="19"/>
                <w:szCs w:val="19"/>
                <w:color w:val="auto"/>
              </w:rPr>
            </w:pPr>
          </w:p>
        </w:tc>
        <w:tc>
          <w:tcPr>
            <w:tcW w:w="880" w:type="dxa"/>
            <w:vAlign w:val="bottom"/>
            <w:shd w:val="clear" w:color="auto" w:fill="DBE5F1"/>
          </w:tcPr>
          <w:p>
            <w:pPr>
              <w:jc w:val="right"/>
              <w:ind w:right="154"/>
              <w:spacing w:after="0"/>
              <w:rPr>
                <w:sz w:val="20"/>
                <w:szCs w:val="20"/>
                <w:color w:val="auto"/>
              </w:rPr>
            </w:pPr>
            <w:r>
              <w:rPr>
                <w:rFonts w:ascii="Arial" w:cs="Arial" w:eastAsia="Arial" w:hAnsi="Arial"/>
                <w:sz w:val="18"/>
                <w:szCs w:val="18"/>
                <w:color w:val="auto"/>
              </w:rPr>
              <w:t>(92)</w:t>
            </w:r>
          </w:p>
        </w:tc>
        <w:tc>
          <w:tcPr>
            <w:tcW w:w="400" w:type="dxa"/>
            <w:vAlign w:val="bottom"/>
            <w:shd w:val="clear" w:color="auto" w:fill="DBE5F1"/>
          </w:tcPr>
          <w:p>
            <w:pPr>
              <w:spacing w:after="0"/>
              <w:rPr>
                <w:sz w:val="19"/>
                <w:szCs w:val="19"/>
                <w:color w:val="auto"/>
              </w:rPr>
            </w:pPr>
          </w:p>
        </w:tc>
        <w:tc>
          <w:tcPr>
            <w:tcW w:w="900" w:type="dxa"/>
            <w:vAlign w:val="bottom"/>
            <w:shd w:val="clear" w:color="auto" w:fill="DBE5F1"/>
          </w:tcPr>
          <w:p>
            <w:pPr>
              <w:jc w:val="right"/>
              <w:ind w:right="213"/>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840" w:type="dxa"/>
            <w:vAlign w:val="bottom"/>
            <w:shd w:val="clear" w:color="auto" w:fill="DBE5F1"/>
          </w:tcPr>
          <w:p>
            <w:pPr>
              <w:jc w:val="right"/>
              <w:ind w:right="134"/>
              <w:spacing w:after="0"/>
              <w:rPr>
                <w:sz w:val="20"/>
                <w:szCs w:val="20"/>
                <w:color w:val="auto"/>
              </w:rPr>
            </w:pPr>
            <w:r>
              <w:rPr>
                <w:rFonts w:ascii="Arial" w:cs="Arial" w:eastAsia="Arial" w:hAnsi="Arial"/>
                <w:sz w:val="18"/>
                <w:szCs w:val="18"/>
                <w:color w:val="auto"/>
              </w:rPr>
              <w:t>(92)</w:t>
            </w:r>
          </w:p>
        </w:tc>
        <w:tc>
          <w:tcPr>
            <w:tcW w:w="420" w:type="dxa"/>
            <w:vAlign w:val="bottom"/>
            <w:shd w:val="clear" w:color="auto" w:fill="DBE5F1"/>
          </w:tcPr>
          <w:p>
            <w:pPr>
              <w:spacing w:after="0"/>
              <w:rPr>
                <w:sz w:val="19"/>
                <w:szCs w:val="19"/>
                <w:color w:val="auto"/>
              </w:rPr>
            </w:pPr>
          </w:p>
        </w:tc>
        <w:tc>
          <w:tcPr>
            <w:tcW w:w="940" w:type="dxa"/>
            <w:vAlign w:val="bottom"/>
            <w:shd w:val="clear" w:color="auto" w:fill="DBE5F1"/>
          </w:tcPr>
          <w:p>
            <w:pPr>
              <w:jc w:val="right"/>
              <w:ind w:right="253"/>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9"/>
                <w:szCs w:val="19"/>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83</w:t>
            </w:r>
          </w:p>
        </w:tc>
      </w:tr>
      <w:tr>
        <w:trPr>
          <w:trHeight w:val="243"/>
        </w:trPr>
        <w:tc>
          <w:tcPr>
            <w:tcW w:w="3280" w:type="dxa"/>
            <w:vAlign w:val="bottom"/>
            <w:shd w:val="clear" w:color="auto" w:fill="DBE5F1"/>
          </w:tcPr>
          <w:p>
            <w:pPr>
              <w:spacing w:after="0"/>
              <w:rPr>
                <w:sz w:val="20"/>
                <w:szCs w:val="20"/>
                <w:color w:val="auto"/>
              </w:rPr>
            </w:pPr>
            <w:r>
              <w:rPr>
                <w:rFonts w:ascii="Arial" w:cs="Arial" w:eastAsia="Arial" w:hAnsi="Arial"/>
                <w:sz w:val="18"/>
                <w:szCs w:val="18"/>
                <w:color w:val="auto"/>
              </w:rPr>
              <w:t>Exercise of stock options</w:t>
            </w:r>
          </w:p>
        </w:tc>
        <w:tc>
          <w:tcPr>
            <w:tcW w:w="28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94"/>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shd w:val="clear" w:color="auto" w:fill="DBE5F1"/>
          </w:tcPr>
          <w:p>
            <w:pPr>
              <w:spacing w:after="0"/>
              <w:rPr>
                <w:sz w:val="21"/>
                <w:szCs w:val="21"/>
                <w:color w:val="auto"/>
              </w:rPr>
            </w:pPr>
          </w:p>
        </w:tc>
        <w:tc>
          <w:tcPr>
            <w:tcW w:w="900" w:type="dxa"/>
            <w:vAlign w:val="bottom"/>
            <w:tcBorders>
              <w:bottom w:val="single" w:sz="8" w:color="auto"/>
            </w:tcBorders>
            <w:shd w:val="clear" w:color="auto" w:fill="DBE5F1"/>
          </w:tcPr>
          <w:p>
            <w:pPr>
              <w:jc w:val="right"/>
              <w:ind w:right="213"/>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DBE5F1"/>
          </w:tcPr>
          <w:p>
            <w:pPr>
              <w:spacing w:after="0"/>
              <w:rPr>
                <w:sz w:val="21"/>
                <w:szCs w:val="21"/>
                <w:color w:val="auto"/>
              </w:rPr>
            </w:pPr>
          </w:p>
        </w:tc>
        <w:tc>
          <w:tcPr>
            <w:tcW w:w="300" w:type="dxa"/>
            <w:vAlign w:val="bottom"/>
            <w:tcBorders>
              <w:bottom w:val="single" w:sz="8" w:color="auto"/>
            </w:tcBorders>
            <w:shd w:val="clear" w:color="auto" w:fill="DBE5F1"/>
          </w:tcPr>
          <w:p>
            <w:pPr>
              <w:spacing w:after="0"/>
              <w:rPr>
                <w:sz w:val="21"/>
                <w:szCs w:val="21"/>
                <w:color w:val="auto"/>
              </w:rPr>
            </w:pPr>
          </w:p>
        </w:tc>
        <w:tc>
          <w:tcPr>
            <w:tcW w:w="840" w:type="dxa"/>
            <w:vAlign w:val="bottom"/>
            <w:tcBorders>
              <w:bottom w:val="single" w:sz="8" w:color="auto"/>
            </w:tcBorders>
            <w:shd w:val="clear" w:color="auto" w:fill="DBE5F1"/>
          </w:tcPr>
          <w:p>
            <w:pPr>
              <w:jc w:val="right"/>
              <w:ind w:right="174"/>
              <w:spacing w:after="0"/>
              <w:rPr>
                <w:sz w:val="20"/>
                <w:szCs w:val="20"/>
                <w:color w:val="auto"/>
              </w:rPr>
            </w:pPr>
            <w:r>
              <w:rPr>
                <w:rFonts w:ascii="Arial" w:cs="Arial" w:eastAsia="Arial" w:hAnsi="Arial"/>
                <w:sz w:val="18"/>
                <w:szCs w:val="18"/>
                <w:color w:val="auto"/>
              </w:rPr>
              <w:t>81</w:t>
            </w:r>
          </w:p>
        </w:tc>
        <w:tc>
          <w:tcPr>
            <w:tcW w:w="420" w:type="dxa"/>
            <w:vAlign w:val="bottom"/>
            <w:tcBorders>
              <w:bottom w:val="single" w:sz="8" w:color="auto"/>
            </w:tcBorders>
            <w:shd w:val="clear" w:color="auto" w:fill="DBE5F1"/>
          </w:tcPr>
          <w:p>
            <w:pPr>
              <w:spacing w:after="0"/>
              <w:rPr>
                <w:sz w:val="21"/>
                <w:szCs w:val="21"/>
                <w:color w:val="auto"/>
              </w:rPr>
            </w:pPr>
          </w:p>
        </w:tc>
        <w:tc>
          <w:tcPr>
            <w:tcW w:w="940" w:type="dxa"/>
            <w:vAlign w:val="bottom"/>
            <w:tcBorders>
              <w:bottom w:val="single" w:sz="8" w:color="auto"/>
            </w:tcBorders>
            <w:shd w:val="clear" w:color="auto" w:fill="DBE5F1"/>
          </w:tcPr>
          <w:p>
            <w:pPr>
              <w:jc w:val="right"/>
              <w:ind w:right="253"/>
              <w:spacing w:after="0"/>
              <w:rPr>
                <w:sz w:val="20"/>
                <w:szCs w:val="20"/>
                <w:color w:val="auto"/>
              </w:rPr>
            </w:pPr>
            <w:r>
              <w:rPr>
                <w:rFonts w:ascii="Arial" w:cs="Arial" w:eastAsia="Arial" w:hAnsi="Arial"/>
                <w:sz w:val="18"/>
                <w:szCs w:val="18"/>
                <w:color w:val="auto"/>
              </w:rPr>
              <w:t>717</w:t>
            </w:r>
          </w:p>
        </w:tc>
      </w:tr>
      <w:tr>
        <w:trPr>
          <w:trHeight w:val="183"/>
        </w:trPr>
        <w:tc>
          <w:tcPr>
            <w:tcW w:w="3280" w:type="dxa"/>
            <w:vAlign w:val="bottom"/>
          </w:tcPr>
          <w:p>
            <w:pPr>
              <w:spacing w:after="0" w:line="182" w:lineRule="exact"/>
              <w:rPr>
                <w:sz w:val="20"/>
                <w:szCs w:val="20"/>
                <w:color w:val="auto"/>
              </w:rPr>
            </w:pPr>
            <w:r>
              <w:rPr>
                <w:rFonts w:ascii="Arial" w:cs="Arial" w:eastAsia="Arial" w:hAnsi="Arial"/>
                <w:sz w:val="18"/>
                <w:szCs w:val="18"/>
                <w:color w:val="auto"/>
              </w:rPr>
              <w:t>Balance at end of the period</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4"/>
              <w:spacing w:after="0" w:line="182" w:lineRule="exact"/>
              <w:rPr>
                <w:sz w:val="20"/>
                <w:szCs w:val="20"/>
                <w:color w:val="auto"/>
              </w:rPr>
            </w:pPr>
            <w:r>
              <w:rPr>
                <w:rFonts w:ascii="Arial" w:cs="Arial" w:eastAsia="Arial" w:hAnsi="Arial"/>
                <w:sz w:val="18"/>
                <w:szCs w:val="18"/>
                <w:color w:val="auto"/>
              </w:rPr>
              <w:t>40,792</w:t>
            </w:r>
          </w:p>
        </w:tc>
        <w:tc>
          <w:tcPr>
            <w:tcW w:w="4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3"/>
              <w:spacing w:after="0" w:line="182" w:lineRule="exact"/>
              <w:rPr>
                <w:sz w:val="20"/>
                <w:szCs w:val="20"/>
                <w:color w:val="auto"/>
              </w:rPr>
            </w:pPr>
            <w:r>
              <w:rPr>
                <w:rFonts w:ascii="Arial" w:cs="Arial" w:eastAsia="Arial" w:hAnsi="Arial"/>
                <w:sz w:val="18"/>
                <w:szCs w:val="18"/>
                <w:color w:val="auto"/>
              </w:rPr>
              <w:t>34,668</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4"/>
              <w:spacing w:after="0" w:line="182" w:lineRule="exact"/>
              <w:rPr>
                <w:sz w:val="20"/>
                <w:szCs w:val="20"/>
                <w:color w:val="auto"/>
              </w:rPr>
            </w:pPr>
            <w:r>
              <w:rPr>
                <w:rFonts w:ascii="Arial" w:cs="Arial" w:eastAsia="Arial" w:hAnsi="Arial"/>
                <w:sz w:val="18"/>
                <w:szCs w:val="18"/>
                <w:color w:val="auto"/>
              </w:rPr>
              <w:t>40,792</w:t>
            </w:r>
          </w:p>
        </w:tc>
        <w:tc>
          <w:tcPr>
            <w:tcW w:w="4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3"/>
              <w:spacing w:after="0" w:line="182" w:lineRule="exact"/>
              <w:rPr>
                <w:sz w:val="20"/>
                <w:szCs w:val="20"/>
                <w:color w:val="auto"/>
              </w:rPr>
            </w:pPr>
            <w:r>
              <w:rPr>
                <w:rFonts w:ascii="Arial" w:cs="Arial" w:eastAsia="Arial" w:hAnsi="Arial"/>
                <w:sz w:val="18"/>
                <w:szCs w:val="18"/>
                <w:color w:val="auto"/>
              </w:rPr>
              <w:t>34,668</w:t>
            </w:r>
          </w:p>
        </w:tc>
      </w:tr>
      <w:tr>
        <w:trPr>
          <w:trHeight w:val="20"/>
        </w:trPr>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20"/>
          </w:cols>
          <w:pgMar w:left="240" w:top="112" w:right="339" w:bottom="1440" w:gutter="0" w:footer="0" w:header="0"/>
        </w:sectPr>
      </w:pPr>
    </w:p>
    <w:bookmarkStart w:id="11" w:name="page12"/>
    <w:bookmarkEnd w:id="11"/>
    <w:p>
      <w:pPr>
        <w:jc w:val="center"/>
        <w:ind w:left="260" w:right="2160"/>
        <w:spacing w:after="0" w:line="243" w:lineRule="auto"/>
        <w:rPr>
          <w:sz w:val="20"/>
          <w:szCs w:val="20"/>
          <w:color w:val="auto"/>
        </w:rPr>
      </w:pPr>
      <w:r>
        <w:rPr>
          <w:rFonts w:ascii="Arial" w:cs="Arial" w:eastAsia="Arial" w:hAnsi="Arial"/>
          <w:sz w:val="22"/>
          <w:szCs w:val="22"/>
          <w:b w:val="1"/>
          <w:bCs w:val="1"/>
          <w:color w:val="auto"/>
        </w:rPr>
        <w:t>CLEARONE COMMUNICATIONS, INC. NOTES TO CONDENSED CONSOLIDATED FINANCIAL STATEMENTS (Unaudited – 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Proceeds from Litigation</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During the six months ended June 30, 2012, $250 was received as a settlement of amounts due from a defendant in our litigation related to the “Theft of Intellectual Property and Related Cases” described in detail in in Note 8 – Commitments and Contingencies of the Notes to the Consolidated Financial Statements in our Form 10-K for the year ended December 31, 2011.</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185"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The Company’s forecasted effective tax rate at June 30, 2012 is 37.4%, a 2.8 percentage-point increase from the 34.6% effective tax rate recorded at December 31, 2011. The increase is primarily attributable to the expiration of the U.S. research and development credit on December 31, 2011. The effective tax rate recorded for the quarter ending June 30, 2012 is 48.6%. The difference between the forecasted effective tax rate and the rate recorded is primarily due to discrete items related to uncertain tax positions. The reserve for uncertain tax positions increased by approximately $123 during the quarter ended June 30, 2012 as a result of derecognition of tax benefits recognized in a prior period.</w:t>
      </w:r>
    </w:p>
    <w:p>
      <w:pPr>
        <w:spacing w:after="0" w:line="204" w:lineRule="exact"/>
        <w:rPr>
          <w:sz w:val="20"/>
          <w:szCs w:val="20"/>
          <w:color w:val="auto"/>
        </w:rPr>
      </w:pPr>
    </w:p>
    <w:p>
      <w:pPr>
        <w:ind w:right="1020"/>
        <w:spacing w:after="0" w:line="251" w:lineRule="auto"/>
        <w:rPr>
          <w:sz w:val="20"/>
          <w:szCs w:val="20"/>
          <w:color w:val="auto"/>
        </w:rPr>
      </w:pPr>
      <w:r>
        <w:rPr>
          <w:rFonts w:ascii="Arial" w:cs="Arial" w:eastAsia="Arial" w:hAnsi="Arial"/>
          <w:sz w:val="22"/>
          <w:szCs w:val="22"/>
          <w:color w:val="auto"/>
        </w:rPr>
        <w:t>Accrued liabilities as of June 30, 2012 and December 31, 2011 include accrued income taxes payable of $294 and $300,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Commitments and Contingencies</w:t>
      </w:r>
    </w:p>
    <w:p>
      <w:pPr>
        <w:spacing w:after="0" w:line="172" w:lineRule="exact"/>
        <w:rPr>
          <w:sz w:val="20"/>
          <w:szCs w:val="20"/>
          <w:color w:val="auto"/>
        </w:rPr>
      </w:pPr>
    </w:p>
    <w:p>
      <w:pPr>
        <w:ind w:right="560"/>
        <w:spacing w:after="0" w:line="258" w:lineRule="auto"/>
        <w:rPr>
          <w:sz w:val="20"/>
          <w:szCs w:val="20"/>
          <w:color w:val="auto"/>
        </w:rPr>
      </w:pPr>
      <w:r>
        <w:rPr>
          <w:rFonts w:ascii="Arial" w:cs="Arial" w:eastAsia="Arial" w:hAnsi="Arial"/>
          <w:sz w:val="21"/>
          <w:szCs w:val="21"/>
          <w:color w:val="auto"/>
        </w:rPr>
        <w:t>The Company entered in to a consulting arrangement for a period of 12 months for transition related work with respect to our VCON acquisition. The consulting arrangement provides for a fixed fee of approximately $180 with additional maximum incentive-based fees of approximately $20 associated with accomplishing specific milestones.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Subsequent Events</w:t>
      </w:r>
    </w:p>
    <w:p>
      <w:pPr>
        <w:spacing w:after="0" w:line="239"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The Company evaluated its consolidated financial statements as of and for the three months ended June 30, 2012 for subsequent events through the date the financial statements were issued. The Company is not aware of any subsequent event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ind w:right="94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2011. All subsequent forward-looking statements attributable to us or persons acting on our behalf are expressly qualified in their entirety by these cautionary</w:t>
      </w:r>
    </w:p>
    <w:p>
      <w:pPr>
        <w:spacing w:after="0" w:line="222" w:lineRule="exact"/>
        <w:rPr>
          <w:sz w:val="20"/>
          <w:szCs w:val="20"/>
          <w:color w:val="auto"/>
        </w:rPr>
      </w:pPr>
    </w:p>
    <w:p>
      <w:pPr>
        <w:ind w:right="580"/>
        <w:spacing w:after="0" w:line="237" w:lineRule="auto"/>
        <w:rPr>
          <w:sz w:val="20"/>
          <w:szCs w:val="20"/>
          <w:color w:val="auto"/>
        </w:rPr>
      </w:pPr>
      <w:r>
        <w:rPr>
          <w:rFonts w:ascii="Arial" w:cs="Arial" w:eastAsia="Arial" w:hAnsi="Arial"/>
          <w:sz w:val="22"/>
          <w:szCs w:val="22"/>
          <w:i w:val="1"/>
          <w:iCs w:val="1"/>
          <w:color w:val="auto"/>
        </w:rPr>
        <w:t>statements. Additional factors that may have a direct bearing on our operating results are discussed in Part I, Item 1A “Risk Factors” in our Annual Report on Form 10-K for the year ended December 31,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226" w:lineRule="exact"/>
        <w:rPr>
          <w:sz w:val="20"/>
          <w:szCs w:val="20"/>
          <w:color w:val="auto"/>
        </w:rPr>
      </w:pPr>
    </w:p>
    <w:p>
      <w:pPr>
        <w:ind w:right="80"/>
        <w:spacing w:after="0" w:line="225" w:lineRule="auto"/>
        <w:rPr>
          <w:sz w:val="20"/>
          <w:szCs w:val="20"/>
          <w:color w:val="auto"/>
        </w:rPr>
      </w:pPr>
      <w:r>
        <w:rPr>
          <w:rFonts w:ascii="Arial" w:cs="Arial" w:eastAsia="Arial" w:hAnsi="Arial"/>
          <w:sz w:val="21"/>
          <w:szCs w:val="21"/>
          <w:color w:val="auto"/>
        </w:rPr>
        <w:t>We are a global communications solutions company that develops and sells conferencing, collaboration, and streaming multimedia systems for audio, video, and web applications. The reliability, flexibility and performance of our advanced and comprehensive solutions enhance the quality of life through better communication, education, and entertainment.</w:t>
      </w:r>
    </w:p>
    <w:p>
      <w:pPr>
        <w:spacing w:after="0" w:line="131" w:lineRule="exact"/>
        <w:rPr>
          <w:sz w:val="20"/>
          <w:szCs w:val="20"/>
          <w:color w:val="auto"/>
        </w:rPr>
      </w:pPr>
    </w:p>
    <w:p>
      <w:pPr>
        <w:spacing w:after="0" w:line="203" w:lineRule="auto"/>
        <w:rPr>
          <w:sz w:val="20"/>
          <w:szCs w:val="20"/>
          <w:color w:val="auto"/>
        </w:rPr>
      </w:pPr>
      <w:r>
        <w:rPr>
          <w:rFonts w:ascii="Arial" w:cs="Arial" w:eastAsia="Arial" w:hAnsi="Arial"/>
          <w:sz w:val="22"/>
          <w:szCs w:val="22"/>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organizations. Our conferencing solutions save organizations time and money by creating a natural environment for collaboration.</w:t>
      </w:r>
    </w:p>
    <w:p>
      <w:pPr>
        <w:spacing w:after="0" w:line="134"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NetStreams® DigilinX, the ClearOne brand for residential multimedia streaming and control, and VIEW™, the ClearOne brand for commercial multimedia streaming and control, deliver a superior IP A/V experience by streaming high definition audio and video (multimedia) and control over TCP/IP LAN networks.</w:t>
      </w:r>
    </w:p>
    <w:p>
      <w:pPr>
        <w:spacing w:after="0" w:line="134" w:lineRule="exact"/>
        <w:rPr>
          <w:sz w:val="20"/>
          <w:szCs w:val="20"/>
          <w:color w:val="auto"/>
        </w:rPr>
      </w:pPr>
    </w:p>
    <w:p>
      <w:pPr>
        <w:ind w:right="480"/>
        <w:spacing w:after="0" w:line="237" w:lineRule="auto"/>
        <w:rPr>
          <w:sz w:val="20"/>
          <w:szCs w:val="20"/>
          <w:color w:val="auto"/>
        </w:rPr>
      </w:pPr>
      <w:r>
        <w:rPr>
          <w:rFonts w:ascii="Arial" w:cs="Arial" w:eastAsia="Arial" w:hAnsi="Arial"/>
          <w:sz w:val="21"/>
          <w:szCs w:val="21"/>
          <w:color w:val="auto"/>
        </w:rPr>
        <w:t>NetStreams' technology is used in a wide variety of applications including digital signage, corporate video streaming, network operations centers, distance education, and in venues for hospitality and entertainment, as well as casinos.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3" w:lineRule="exact"/>
        <w:rPr>
          <w:sz w:val="20"/>
          <w:szCs w:val="20"/>
          <w:color w:val="auto"/>
        </w:rPr>
      </w:pPr>
    </w:p>
    <w:p>
      <w:pPr>
        <w:ind w:right="100"/>
        <w:spacing w:after="0" w:line="203" w:lineRule="auto"/>
        <w:rPr>
          <w:sz w:val="20"/>
          <w:szCs w:val="20"/>
          <w:color w:val="auto"/>
        </w:rPr>
      </w:pPr>
      <w:r>
        <w:rPr>
          <w:rFonts w:ascii="Arial" w:cs="Arial" w:eastAsia="Arial" w:hAnsi="Arial"/>
          <w:sz w:val="22"/>
          <w:szCs w:val="22"/>
          <w:color w:val="auto"/>
        </w:rPr>
        <w:t xml:space="preserve">ClearOne’s products, designed for commercial and residential use, offer outstanding levels of performance, functionality, simplicity, reliability, and scalability. By combining audio and or video content, meta-data and control signals into one stream over existing Internet Protocol networks, in harmony with industry standards, ClearOne's newly patented StreamNet® solutions enable the </w:t>
      </w:r>
      <w:r>
        <w:rPr>
          <w:rFonts w:ascii="Arial" w:cs="Arial" w:eastAsia="Arial" w:hAnsi="Arial"/>
          <w:sz w:val="22"/>
          <w:szCs w:val="22"/>
          <w:b w:val="1"/>
          <w:bCs w:val="1"/>
          <w:i w:val="1"/>
          <w:iCs w:val="1"/>
          <w:color w:val="auto"/>
        </w:rPr>
        <w:t>Power of AV over IP</w:t>
      </w:r>
      <w:r>
        <w:rPr>
          <w:rFonts w:ascii="Arial" w:cs="Arial" w:eastAsia="Arial" w:hAnsi="Arial"/>
          <w:sz w:val="22"/>
          <w:szCs w:val="22"/>
          <w:color w:val="auto"/>
        </w:rPr>
        <w:t>™ for bourgeoning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134"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On September 2, 2011, we acquired the business of Oregon based MagicBox, Inc., a developer and marketer of a variety of hardware and software solutions to deliver digital content and information to digital displays. This acquisition significantly broadens ClearOne’s current StreamNet offerings and expands its digital signage product portfolio with tools for content and playlist creation and management. The MagicBox content management and its database integration software complement ClearOne’s StreamNet systems. The StreamNet and MagicBox technologies are an excellent fit to deliver on the challenging requirements for any digital signage provider to distribute content over a local area network while maintaining content and scheduling alignment. As a result of this acquisition and the combination of StreamNet and Magicbox technologies, we are the only company to offer complete end-to-end digital signage content management, IP streaming, and control solutions.</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On February 16, 2012, we acquired the business of Israel based VCON Video Conferencing, Ltd (“VCON”) for approximately $4.6 million in cash. The acquisition presents us with new global market opportunities and will facilitate accelerated product development. VCON is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complimentary technology opportunities allowing us to enter new growth markets.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Our business goals are to:</w:t>
      </w:r>
    </w:p>
    <w:p>
      <w:pPr>
        <w:ind w:left="660" w:right="400" w:hanging="328"/>
        <w:spacing w:after="0" w:line="230" w:lineRule="auto"/>
        <w:tabs>
          <w:tab w:leader="none" w:pos="633" w:val="left"/>
        </w:tabs>
        <w:numPr>
          <w:ilvl w:val="0"/>
          <w:numId w:val="5"/>
        </w:numPr>
        <w:rPr>
          <w:rFonts w:ascii="Arial" w:cs="Arial" w:eastAsia="Arial" w:hAnsi="Arial"/>
          <w:sz w:val="22"/>
          <w:szCs w:val="22"/>
          <w:color w:val="auto"/>
        </w:rPr>
      </w:pPr>
      <w:r>
        <w:rPr>
          <w:rFonts w:ascii="Arial" w:cs="Arial" w:eastAsia="Arial" w:hAnsi="Arial"/>
          <w:sz w:val="22"/>
          <w:szCs w:val="22"/>
          <w:color w:val="auto"/>
        </w:rPr>
        <w:t>Leverage on the streaming, digital signage and video conference technologies we acquired recently to enter new growth markets;</w:t>
      </w:r>
    </w:p>
    <w:p>
      <w:pPr>
        <w:spacing w:after="0" w:line="1" w:lineRule="exact"/>
        <w:rPr>
          <w:rFonts w:ascii="Arial" w:cs="Arial" w:eastAsia="Arial" w:hAnsi="Arial"/>
          <w:sz w:val="22"/>
          <w:szCs w:val="22"/>
          <w:color w:val="auto"/>
        </w:rPr>
      </w:pPr>
    </w:p>
    <w:p>
      <w:pPr>
        <w:ind w:left="660" w:right="960" w:hanging="328"/>
        <w:spacing w:after="0" w:line="230" w:lineRule="auto"/>
        <w:tabs>
          <w:tab w:leader="none" w:pos="633" w:val="left"/>
        </w:tabs>
        <w:numPr>
          <w:ilvl w:val="0"/>
          <w:numId w:val="5"/>
        </w:numPr>
        <w:rPr>
          <w:rFonts w:ascii="Arial" w:cs="Arial" w:eastAsia="Arial" w:hAnsi="Arial"/>
          <w:sz w:val="22"/>
          <w:szCs w:val="22"/>
          <w:color w:val="auto"/>
        </w:rPr>
      </w:pPr>
      <w:r>
        <w:rPr>
          <w:rFonts w:ascii="Arial" w:cs="Arial" w:eastAsia="Arial" w:hAnsi="Arial"/>
          <w:sz w:val="22"/>
          <w:szCs w:val="22"/>
          <w:color w:val="auto"/>
        </w:rPr>
        <w:t>Maintain our global market share leadership of professional audio conferencing products for large businesses and organizations;</w:t>
      </w:r>
    </w:p>
    <w:p>
      <w:pPr>
        <w:spacing w:after="0" w:line="1" w:lineRule="exact"/>
        <w:rPr>
          <w:rFonts w:ascii="Arial" w:cs="Arial" w:eastAsia="Arial" w:hAnsi="Arial"/>
          <w:sz w:val="22"/>
          <w:szCs w:val="22"/>
          <w:color w:val="auto"/>
        </w:rPr>
      </w:pPr>
    </w:p>
    <w:p>
      <w:pPr>
        <w:ind w:left="620" w:hanging="288"/>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Focus on the small and medium business (SMB) market with scaled, lower cost and less complex products and solutions;</w:t>
      </w:r>
    </w:p>
    <w:p>
      <w:pPr>
        <w:spacing w:after="0" w:line="24" w:lineRule="exact"/>
        <w:rPr>
          <w:rFonts w:ascii="Arial" w:cs="Arial" w:eastAsia="Arial" w:hAnsi="Arial"/>
          <w:sz w:val="19"/>
          <w:szCs w:val="19"/>
          <w:color w:val="auto"/>
        </w:rPr>
      </w:pPr>
    </w:p>
    <w:p>
      <w:pPr>
        <w:ind w:left="660" w:right="780" w:hanging="328"/>
        <w:spacing w:after="0" w:line="230" w:lineRule="auto"/>
        <w:tabs>
          <w:tab w:leader="none" w:pos="633" w:val="left"/>
        </w:tabs>
        <w:numPr>
          <w:ilvl w:val="0"/>
          <w:numId w:val="5"/>
        </w:numPr>
        <w:rPr>
          <w:rFonts w:ascii="Arial" w:cs="Arial" w:eastAsia="Arial" w:hAnsi="Arial"/>
          <w:sz w:val="22"/>
          <w:szCs w:val="22"/>
          <w:color w:val="auto"/>
        </w:rPr>
      </w:pPr>
      <w:r>
        <w:rPr>
          <w:rFonts w:ascii="Arial" w:cs="Arial" w:eastAsia="Arial" w:hAnsi="Arial"/>
          <w:sz w:val="22"/>
          <w:szCs w:val="22"/>
          <w:color w:val="auto"/>
        </w:rPr>
        <w:t>Capitalize on the growing adoption of unified communications and introduce new products by entering Information Technology channels;</w:t>
      </w:r>
    </w:p>
    <w:p>
      <w:pPr>
        <w:spacing w:after="0" w:line="1" w:lineRule="exact"/>
        <w:rPr>
          <w:rFonts w:ascii="Arial" w:cs="Arial" w:eastAsia="Arial" w:hAnsi="Arial"/>
          <w:sz w:val="22"/>
          <w:szCs w:val="22"/>
          <w:color w:val="auto"/>
        </w:rPr>
      </w:pPr>
    </w:p>
    <w:p>
      <w:pPr>
        <w:ind w:left="660" w:right="40" w:hanging="328"/>
        <w:spacing w:after="0" w:line="230" w:lineRule="auto"/>
        <w:tabs>
          <w:tab w:leader="none" w:pos="633" w:val="left"/>
        </w:tabs>
        <w:numPr>
          <w:ilvl w:val="0"/>
          <w:numId w:val="5"/>
        </w:numPr>
        <w:rPr>
          <w:rFonts w:ascii="Arial" w:cs="Arial" w:eastAsia="Arial" w:hAnsi="Arial"/>
          <w:sz w:val="22"/>
          <w:szCs w:val="22"/>
          <w:color w:val="auto"/>
        </w:rPr>
      </w:pPr>
      <w:r>
        <w:rPr>
          <w:rFonts w:ascii="Arial" w:cs="Arial" w:eastAsia="Arial" w:hAnsi="Arial"/>
          <w:sz w:val="22"/>
          <w:szCs w:val="22"/>
          <w:color w:val="auto"/>
        </w:rPr>
        <w:t>Partner with large enterprise communications providers worldwide to bring value added products to their solution portfolios and channels;</w:t>
      </w:r>
    </w:p>
    <w:p>
      <w:pPr>
        <w:spacing w:after="0" w:line="1" w:lineRule="exact"/>
        <w:rPr>
          <w:rFonts w:ascii="Arial" w:cs="Arial" w:eastAsia="Arial" w:hAnsi="Arial"/>
          <w:sz w:val="22"/>
          <w:szCs w:val="22"/>
          <w:color w:val="auto"/>
        </w:rPr>
      </w:pPr>
    </w:p>
    <w:p>
      <w:pPr>
        <w:ind w:left="660" w:right="92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Capitalize on emerging market opportunities as audio video, information technology, unified communications and traditional digital signage converge to meet enterprise and commercial multimedia needs; and</w:t>
      </w: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Expand and strengthen sales channels.</w:t>
      </w:r>
    </w:p>
    <w:p>
      <w:pPr>
        <w:spacing w:after="0" w:line="175"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We will continue to improve our existing high-quality products and develop new products for the bourgeoning conferencing and collaboration, and multimedia streaming markets and focus on strategic initiatives to achieve our business goals.</w:t>
      </w:r>
    </w:p>
    <w:p>
      <w:pPr>
        <w:spacing w:after="0" w:line="132"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Our revenues were $11.7 million and $21.8 million during the three and six months ended June 30, 2012, respectively, compared to $11.9 million and $22.6 million during the three and six months ended June 30, 2011, respectively. Revenues decreased by 2% and 3% during the three and six months ended June 30, 2012, respectively, over the comparable periods of 2011. Our gross profit decreased by $63,000 and $257,000 during the three and six months ended June 30, 2012, respectively, compared to the three and six months ended June 30, 2011. Net income also decreased by $746,000 and $1.1 million during the three and six months ended June 30, 2012, respectively, compared to the three and six months ended June 30, 2011. Net income declined due to reduced revenue and added costs due to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We expect the recent acquisitions and new product introductions to start contributing to revenue in the near future. The prospects of growth in both revenues and profits in the near future would depend on the strength of the global economy and the penetration level of our new products including products added through acquisitions. We continue to closely monitor the global economic events and continue our existing measures to control costs and invest in strategic products and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 detailed discussion of our results of operations follows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 months ended June 30, 2012, and 2011, and six months ended June 30, 2012, and 2011</w:t>
      </w:r>
    </w:p>
    <w:p>
      <w:pPr>
        <w:spacing w:after="0" w:line="268" w:lineRule="exact"/>
        <w:rPr>
          <w:sz w:val="20"/>
          <w:szCs w:val="20"/>
          <w:color w:val="auto"/>
        </w:rPr>
      </w:pPr>
    </w:p>
    <w:p>
      <w:pPr>
        <w:ind w:right="460"/>
        <w:spacing w:after="0" w:line="258" w:lineRule="auto"/>
        <w:rPr>
          <w:sz w:val="20"/>
          <w:szCs w:val="20"/>
          <w:color w:val="auto"/>
        </w:rPr>
      </w:pPr>
      <w:r>
        <w:rPr>
          <w:rFonts w:ascii="Arial" w:cs="Arial" w:eastAsia="Arial" w:hAnsi="Arial"/>
          <w:sz w:val="21"/>
          <w:szCs w:val="21"/>
          <w:color w:val="auto"/>
        </w:rPr>
        <w:t>The following table sets forth certain items from our unaudited condensed consolidated statements of operations (dollars in thousands) for the three months ended June 30, 2012 and 2011 respectively, and the six months ended June 30, 2012 and 2011, respectively, together with the percentage of total revenue which each such item represents: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tcBorders>
              <w:bottom w:val="single" w:sz="8" w:color="auto"/>
            </w:tcBorders>
          </w:tcPr>
          <w:p>
            <w:pPr>
              <w:spacing w:after="0"/>
              <w:rPr>
                <w:sz w:val="14"/>
                <w:szCs w:val="14"/>
                <w:color w:val="auto"/>
              </w:rPr>
            </w:pPr>
          </w:p>
        </w:tc>
      </w:tr>
      <w:tr>
        <w:trPr>
          <w:trHeight w:val="119"/>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jc w:val="right"/>
              <w:ind w:right="61"/>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jc w:val="right"/>
              <w:ind w:right="81"/>
              <w:spacing w:after="0" w:line="119" w:lineRule="exact"/>
              <w:rPr>
                <w:sz w:val="20"/>
                <w:szCs w:val="20"/>
                <w:color w:val="auto"/>
              </w:rPr>
            </w:pPr>
            <w:r>
              <w:rPr>
                <w:rFonts w:ascii="Arial" w:cs="Arial" w:eastAsia="Arial" w:hAnsi="Arial"/>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jc w:val="right"/>
              <w:ind w:right="41"/>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r>
      <w:tr>
        <w:trPr>
          <w:trHeight w:val="171"/>
        </w:trPr>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7"/>
                <w:szCs w:val="17"/>
                <w:b w:val="1"/>
                <w:bCs w:val="1"/>
                <w:color w:val="auto"/>
                <w:vertAlign w:val="subscript"/>
              </w:rPr>
              <w:t>2012</w:t>
            </w:r>
            <w:r>
              <w:rPr>
                <w:rFonts w:ascii="Arial" w:cs="Arial" w:eastAsia="Arial" w:hAnsi="Arial"/>
                <w:sz w:val="11"/>
                <w:szCs w:val="11"/>
                <w:b w:val="1"/>
                <w:bCs w:val="1"/>
                <w:color w:val="auto"/>
              </w:rPr>
              <w:t xml:space="preserve"> Revenue</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5"/>
              </w:rPr>
              <w:t>Revenue</w:t>
            </w: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line="151" w:lineRule="exact"/>
              <w:rPr>
                <w:sz w:val="20"/>
                <w:szCs w:val="20"/>
                <w:color w:val="auto"/>
              </w:rPr>
            </w:pPr>
            <w:r>
              <w:rPr>
                <w:rFonts w:ascii="Arial" w:cs="Arial" w:eastAsia="Arial" w:hAnsi="Arial"/>
                <w:sz w:val="17"/>
                <w:szCs w:val="17"/>
                <w:b w:val="1"/>
                <w:bCs w:val="1"/>
                <w:color w:val="auto"/>
                <w:vertAlign w:val="subscript"/>
              </w:rPr>
              <w:t>2011</w:t>
            </w:r>
            <w:r>
              <w:rPr>
                <w:rFonts w:ascii="Arial" w:cs="Arial" w:eastAsia="Arial" w:hAnsi="Arial"/>
                <w:sz w:val="11"/>
                <w:szCs w:val="11"/>
                <w:b w:val="1"/>
                <w:bCs w:val="1"/>
                <w:color w:val="auto"/>
              </w:rPr>
              <w:t xml:space="preserve"> Revenue Change†</w:t>
            </w:r>
          </w:p>
        </w:tc>
      </w:tr>
      <w:tr>
        <w:trPr>
          <w:trHeight w:val="210"/>
        </w:trPr>
        <w:tc>
          <w:tcPr>
            <w:tcW w:w="2100" w:type="dxa"/>
            <w:vAlign w:val="bottom"/>
            <w:shd w:val="clear" w:color="auto" w:fill="DBE5F1"/>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w w:val="89"/>
              </w:rPr>
              <w:t>11,655</w:t>
            </w:r>
          </w:p>
        </w:tc>
        <w:tc>
          <w:tcPr>
            <w:tcW w:w="56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BE5F1"/>
          </w:tcPr>
          <w:p>
            <w:pPr>
              <w:jc w:val="right"/>
              <w:spacing w:after="0"/>
              <w:rPr>
                <w:sz w:val="20"/>
                <w:szCs w:val="20"/>
                <w:color w:val="auto"/>
              </w:rPr>
            </w:pPr>
            <w:r>
              <w:rPr>
                <w:rFonts w:ascii="Arial" w:cs="Arial" w:eastAsia="Arial" w:hAnsi="Arial"/>
                <w:sz w:val="16"/>
                <w:szCs w:val="16"/>
                <w:color w:val="auto"/>
                <w:w w:val="93"/>
              </w:rPr>
              <w:t>11,890</w:t>
            </w:r>
          </w:p>
        </w:tc>
        <w:tc>
          <w:tcPr>
            <w:tcW w:w="62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100%</w:t>
            </w:r>
          </w:p>
        </w:tc>
        <w:tc>
          <w:tcPr>
            <w:tcW w:w="700" w:type="dxa"/>
            <w:vAlign w:val="bottom"/>
            <w:shd w:val="clear" w:color="auto" w:fill="DBE5F1"/>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gridSpan w:val="2"/>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DBE5F1"/>
          </w:tcPr>
          <w:p>
            <w:pPr>
              <w:jc w:val="right"/>
              <w:spacing w:after="0"/>
              <w:rPr>
                <w:sz w:val="20"/>
                <w:szCs w:val="20"/>
                <w:color w:val="auto"/>
              </w:rPr>
            </w:pPr>
            <w:r>
              <w:rPr>
                <w:rFonts w:ascii="Arial" w:cs="Arial" w:eastAsia="Arial" w:hAnsi="Arial"/>
                <w:sz w:val="16"/>
                <w:szCs w:val="16"/>
                <w:color w:val="auto"/>
                <w:w w:val="89"/>
              </w:rPr>
              <w:t>21,809</w:t>
            </w:r>
          </w:p>
        </w:tc>
        <w:tc>
          <w:tcPr>
            <w:tcW w:w="5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w w:val="93"/>
              </w:rPr>
              <w:t>22,591</w:t>
            </w:r>
          </w:p>
        </w:tc>
        <w:tc>
          <w:tcPr>
            <w:tcW w:w="5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100%</w:t>
            </w:r>
          </w:p>
        </w:tc>
        <w:tc>
          <w:tcPr>
            <w:tcW w:w="60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-3%</w:t>
            </w:r>
          </w:p>
        </w:tc>
      </w:tr>
      <w:tr>
        <w:trPr>
          <w:trHeight w:val="210"/>
        </w:trPr>
        <w:tc>
          <w:tcPr>
            <w:tcW w:w="2100" w:type="dxa"/>
            <w:vAlign w:val="bottom"/>
            <w:tcBorders>
              <w:bottom w:val="single" w:sz="8" w:color="DBE5F1"/>
            </w:tcBorders>
          </w:tcPr>
          <w:p>
            <w:pPr>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4,562</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DBE5F1"/>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8,608</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9,133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r>
      <w:tr>
        <w:trPr>
          <w:trHeight w:val="203"/>
        </w:trPr>
        <w:tc>
          <w:tcPr>
            <w:tcW w:w="2100" w:type="dxa"/>
            <w:vAlign w:val="bottom"/>
            <w:shd w:val="clear" w:color="auto" w:fill="DBE5F1"/>
          </w:tcPr>
          <w:p>
            <w:pPr>
              <w:ind w:left="1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DBE5F1"/>
          </w:tcPr>
          <w:p>
            <w:pPr>
              <w:spacing w:after="0"/>
              <w:rPr>
                <w:sz w:val="17"/>
                <w:szCs w:val="17"/>
                <w:color w:val="auto"/>
              </w:rPr>
            </w:pPr>
          </w:p>
        </w:tc>
        <w:tc>
          <w:tcPr>
            <w:tcW w:w="54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7,093</w:t>
            </w:r>
          </w:p>
        </w:tc>
        <w:tc>
          <w:tcPr>
            <w:tcW w:w="56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61%</w:t>
            </w:r>
          </w:p>
        </w:tc>
        <w:tc>
          <w:tcPr>
            <w:tcW w:w="140" w:type="dxa"/>
            <w:vAlign w:val="bottom"/>
            <w:shd w:val="clear" w:color="auto" w:fill="DBE5F1"/>
          </w:tcPr>
          <w:p>
            <w:pPr>
              <w:spacing w:after="0"/>
              <w:rPr>
                <w:sz w:val="17"/>
                <w:szCs w:val="17"/>
                <w:color w:val="auto"/>
              </w:rPr>
            </w:pPr>
          </w:p>
        </w:tc>
        <w:tc>
          <w:tcPr>
            <w:tcW w:w="5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7,156</w:t>
            </w:r>
          </w:p>
        </w:tc>
        <w:tc>
          <w:tcPr>
            <w:tcW w:w="62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60%</w:t>
            </w:r>
          </w:p>
        </w:tc>
        <w:tc>
          <w:tcPr>
            <w:tcW w:w="700" w:type="dxa"/>
            <w:vAlign w:val="bottom"/>
            <w:shd w:val="clear" w:color="auto" w:fill="DBE5F1"/>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540" w:type="dxa"/>
            <w:vAlign w:val="bottom"/>
            <w:shd w:val="clear" w:color="auto" w:fill="DBE5F1"/>
          </w:tcPr>
          <w:p>
            <w:pPr>
              <w:jc w:val="right"/>
              <w:spacing w:after="0"/>
              <w:rPr>
                <w:sz w:val="20"/>
                <w:szCs w:val="20"/>
                <w:color w:val="auto"/>
              </w:rPr>
            </w:pPr>
            <w:r>
              <w:rPr>
                <w:rFonts w:ascii="Arial" w:cs="Arial" w:eastAsia="Arial" w:hAnsi="Arial"/>
                <w:sz w:val="16"/>
                <w:szCs w:val="16"/>
                <w:color w:val="auto"/>
                <w:w w:val="89"/>
              </w:rPr>
              <w:t>13,201</w:t>
            </w:r>
          </w:p>
        </w:tc>
        <w:tc>
          <w:tcPr>
            <w:tcW w:w="5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61%</w:t>
            </w:r>
          </w:p>
        </w:tc>
        <w:tc>
          <w:tcPr>
            <w:tcW w:w="160" w:type="dxa"/>
            <w:vAlign w:val="bottom"/>
            <w:shd w:val="clear" w:color="auto" w:fill="DBE5F1"/>
          </w:tcPr>
          <w:p>
            <w:pPr>
              <w:spacing w:after="0"/>
              <w:rPr>
                <w:sz w:val="17"/>
                <w:szCs w:val="17"/>
                <w:color w:val="auto"/>
              </w:rPr>
            </w:pPr>
          </w:p>
        </w:tc>
        <w:tc>
          <w:tcPr>
            <w:tcW w:w="56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w w:val="93"/>
              </w:rPr>
              <w:t>13,458</w:t>
            </w:r>
          </w:p>
        </w:tc>
        <w:tc>
          <w:tcPr>
            <w:tcW w:w="5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60%</w:t>
            </w:r>
          </w:p>
        </w:tc>
        <w:tc>
          <w:tcPr>
            <w:tcW w:w="60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-2%</w:t>
            </w: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2,254</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2,106</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4,388</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4,089</w:t>
            </w: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193"/>
        </w:trPr>
        <w:tc>
          <w:tcPr>
            <w:tcW w:w="2100" w:type="dxa"/>
            <w:vAlign w:val="bottom"/>
            <w:shd w:val="clear" w:color="auto" w:fill="DBE5F1"/>
          </w:tcPr>
          <w:p>
            <w:pPr>
              <w:spacing w:after="0"/>
              <w:rPr>
                <w:sz w:val="20"/>
                <w:szCs w:val="20"/>
                <w:color w:val="auto"/>
              </w:rPr>
            </w:pPr>
            <w:r>
              <w:rPr>
                <w:rFonts w:ascii="Arial" w:cs="Arial" w:eastAsia="Arial" w:hAnsi="Arial"/>
                <w:sz w:val="16"/>
                <w:szCs w:val="16"/>
                <w:color w:val="auto"/>
              </w:rPr>
              <w:t>Research and product</w:t>
            </w:r>
          </w:p>
        </w:tc>
        <w:tc>
          <w:tcPr>
            <w:tcW w:w="14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62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600" w:type="dxa"/>
            <w:vAlign w:val="bottom"/>
            <w:shd w:val="clear" w:color="auto" w:fill="DBE5F1"/>
          </w:tcPr>
          <w:p>
            <w:pPr>
              <w:spacing w:after="0"/>
              <w:rPr>
                <w:sz w:val="16"/>
                <w:szCs w:val="16"/>
                <w:color w:val="auto"/>
              </w:rPr>
            </w:pPr>
          </w:p>
        </w:tc>
      </w:tr>
      <w:tr>
        <w:trPr>
          <w:trHeight w:val="212"/>
        </w:trPr>
        <w:tc>
          <w:tcPr>
            <w:tcW w:w="2100" w:type="dxa"/>
            <w:vAlign w:val="bottom"/>
            <w:shd w:val="clear" w:color="auto" w:fill="DBE5F1"/>
          </w:tcPr>
          <w:p>
            <w:pPr>
              <w:spacing w:after="0"/>
              <w:rPr>
                <w:sz w:val="20"/>
                <w:szCs w:val="20"/>
                <w:color w:val="auto"/>
              </w:rPr>
            </w:pPr>
            <w:r>
              <w:rPr>
                <w:rFonts w:ascii="Arial" w:cs="Arial" w:eastAsia="Arial" w:hAnsi="Arial"/>
                <w:sz w:val="16"/>
                <w:szCs w:val="16"/>
                <w:color w:val="auto"/>
              </w:rPr>
              <w:t>development</w:t>
            </w:r>
          </w:p>
        </w:tc>
        <w:tc>
          <w:tcPr>
            <w:tcW w:w="140" w:type="dxa"/>
            <w:vAlign w:val="bottom"/>
            <w:shd w:val="clear" w:color="auto" w:fill="DBE5F1"/>
          </w:tcPr>
          <w:p>
            <w:pPr>
              <w:spacing w:after="0"/>
              <w:rPr>
                <w:sz w:val="18"/>
                <w:szCs w:val="18"/>
                <w:color w:val="auto"/>
              </w:rPr>
            </w:pPr>
          </w:p>
        </w:tc>
        <w:tc>
          <w:tcPr>
            <w:tcW w:w="54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2,029</w:t>
            </w:r>
          </w:p>
        </w:tc>
        <w:tc>
          <w:tcPr>
            <w:tcW w:w="56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17%</w:t>
            </w:r>
          </w:p>
        </w:tc>
        <w:tc>
          <w:tcPr>
            <w:tcW w:w="140" w:type="dxa"/>
            <w:vAlign w:val="bottom"/>
            <w:shd w:val="clear" w:color="auto" w:fill="DBE5F1"/>
          </w:tcPr>
          <w:p>
            <w:pPr>
              <w:spacing w:after="0"/>
              <w:rPr>
                <w:sz w:val="18"/>
                <w:szCs w:val="18"/>
                <w:color w:val="auto"/>
              </w:rPr>
            </w:pPr>
          </w:p>
        </w:tc>
        <w:tc>
          <w:tcPr>
            <w:tcW w:w="5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1,816</w:t>
            </w:r>
          </w:p>
        </w:tc>
        <w:tc>
          <w:tcPr>
            <w:tcW w:w="62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15%</w:t>
            </w:r>
          </w:p>
        </w:tc>
        <w:tc>
          <w:tcPr>
            <w:tcW w:w="700" w:type="dxa"/>
            <w:vAlign w:val="bottom"/>
            <w:shd w:val="clear" w:color="auto" w:fill="DBE5F1"/>
          </w:tcPr>
          <w:p>
            <w:pPr>
              <w:jc w:val="right"/>
              <w:ind w:right="40"/>
              <w:spacing w:after="0"/>
              <w:rPr>
                <w:sz w:val="20"/>
                <w:szCs w:val="20"/>
                <w:color w:val="auto"/>
              </w:rPr>
            </w:pPr>
            <w:r>
              <w:rPr>
                <w:rFonts w:ascii="Arial" w:cs="Arial" w:eastAsia="Arial" w:hAnsi="Arial"/>
                <w:sz w:val="16"/>
                <w:szCs w:val="16"/>
                <w:color w:val="auto"/>
              </w:rPr>
              <w:t>-12%</w:t>
            </w:r>
          </w:p>
        </w:tc>
        <w:tc>
          <w:tcPr>
            <w:tcW w:w="4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540" w:type="dxa"/>
            <w:vAlign w:val="bottom"/>
            <w:shd w:val="clear" w:color="auto" w:fill="DBE5F1"/>
          </w:tcPr>
          <w:p>
            <w:pPr>
              <w:jc w:val="right"/>
              <w:spacing w:after="0"/>
              <w:rPr>
                <w:sz w:val="20"/>
                <w:szCs w:val="20"/>
                <w:color w:val="auto"/>
              </w:rPr>
            </w:pPr>
            <w:r>
              <w:rPr>
                <w:rFonts w:ascii="Arial" w:cs="Arial" w:eastAsia="Arial" w:hAnsi="Arial"/>
                <w:sz w:val="16"/>
                <w:szCs w:val="16"/>
                <w:color w:val="auto"/>
              </w:rPr>
              <w:t>4,037</w:t>
            </w:r>
          </w:p>
        </w:tc>
        <w:tc>
          <w:tcPr>
            <w:tcW w:w="5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19%</w:t>
            </w:r>
          </w:p>
        </w:tc>
        <w:tc>
          <w:tcPr>
            <w:tcW w:w="160" w:type="dxa"/>
            <w:vAlign w:val="bottom"/>
            <w:shd w:val="clear" w:color="auto" w:fill="DBE5F1"/>
          </w:tcPr>
          <w:p>
            <w:pPr>
              <w:spacing w:after="0"/>
              <w:rPr>
                <w:sz w:val="18"/>
                <w:szCs w:val="18"/>
                <w:color w:val="auto"/>
              </w:rPr>
            </w:pPr>
          </w:p>
        </w:tc>
        <w:tc>
          <w:tcPr>
            <w:tcW w:w="56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3,453</w:t>
            </w:r>
          </w:p>
        </w:tc>
        <w:tc>
          <w:tcPr>
            <w:tcW w:w="5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15%</w:t>
            </w:r>
          </w:p>
        </w:tc>
        <w:tc>
          <w:tcPr>
            <w:tcW w:w="60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-17%</w:t>
            </w: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1,686</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1,361</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3,191</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2,833</w:t>
            </w: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203"/>
        </w:trPr>
        <w:tc>
          <w:tcPr>
            <w:tcW w:w="21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6"/>
                <w:szCs w:val="16"/>
                <w:color w:val="auto"/>
              </w:rPr>
              <w:t>Proceeds from litigation</w:t>
            </w:r>
          </w:p>
        </w:tc>
        <w:tc>
          <w:tcPr>
            <w:tcW w:w="140" w:type="dxa"/>
            <w:vAlign w:val="bottom"/>
            <w:tcBorders>
              <w:bottom w:val="single" w:sz="8" w:color="auto"/>
            </w:tcBorders>
            <w:shd w:val="clear" w:color="auto" w:fill="DBE5F1"/>
          </w:tcPr>
          <w:p>
            <w:pPr>
              <w:spacing w:after="0"/>
              <w:rPr>
                <w:sz w:val="17"/>
                <w:szCs w:val="17"/>
                <w:color w:val="auto"/>
              </w:rPr>
            </w:pPr>
          </w:p>
        </w:tc>
        <w:tc>
          <w:tcPr>
            <w:tcW w:w="540" w:type="dxa"/>
            <w:vAlign w:val="bottom"/>
            <w:tcBorders>
              <w:bottom w:val="single" w:sz="8" w:color="auto"/>
            </w:tcBorders>
            <w:shd w:val="clear" w:color="auto" w:fill="DBE5F1"/>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DBE5F1"/>
          </w:tcPr>
          <w:p>
            <w:pPr>
              <w:jc w:val="right"/>
              <w:ind w:right="10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BE5F1"/>
          </w:tcPr>
          <w:p>
            <w:pPr>
              <w:spacing w:after="0"/>
              <w:rPr>
                <w:sz w:val="17"/>
                <w:szCs w:val="17"/>
                <w:color w:val="auto"/>
              </w:rPr>
            </w:pPr>
          </w:p>
        </w:tc>
        <w:tc>
          <w:tcPr>
            <w:tcW w:w="5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DBE5F1"/>
          </w:tcPr>
          <w:p>
            <w:pPr>
              <w:jc w:val="right"/>
              <w:ind w:right="10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spacing w:after="0"/>
              <w:rPr>
                <w:sz w:val="17"/>
                <w:szCs w:val="17"/>
                <w:color w:val="auto"/>
              </w:rPr>
            </w:pPr>
          </w:p>
        </w:tc>
        <w:tc>
          <w:tcPr>
            <w:tcW w:w="5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color w:val="auto"/>
              </w:rPr>
              <w:t>(250)</w:t>
            </w:r>
          </w:p>
        </w:tc>
        <w:tc>
          <w:tcPr>
            <w:tcW w:w="580" w:type="dxa"/>
            <w:vAlign w:val="bottom"/>
            <w:tcBorders>
              <w:bottom w:val="single" w:sz="8" w:color="auto"/>
            </w:tcBorders>
            <w:shd w:val="clear" w:color="auto" w:fill="DBE5F1"/>
          </w:tcPr>
          <w:p>
            <w:pPr>
              <w:jc w:val="right"/>
              <w:ind w:right="1"/>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DBE5F1"/>
          </w:tcPr>
          <w:p>
            <w:pPr>
              <w:spacing w:after="0"/>
              <w:rPr>
                <w:sz w:val="17"/>
                <w:szCs w:val="17"/>
                <w:color w:val="auto"/>
              </w:rPr>
            </w:pPr>
          </w:p>
        </w:tc>
        <w:tc>
          <w:tcPr>
            <w:tcW w:w="560" w:type="dxa"/>
            <w:vAlign w:val="bottom"/>
            <w:tcBorders>
              <w:bottom w:val="single" w:sz="8" w:color="auto"/>
            </w:tcBorders>
            <w:shd w:val="clear" w:color="auto" w:fill="DBE5F1"/>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BE5F1"/>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E5F1"/>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210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1,124</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1,873</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1,835</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3,083</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03"/>
        </w:trPr>
        <w:tc>
          <w:tcPr>
            <w:tcW w:w="21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auto"/>
            </w:tcBorders>
            <w:shd w:val="clear" w:color="auto" w:fill="DBE5F1"/>
          </w:tcPr>
          <w:p>
            <w:pPr>
              <w:spacing w:after="0"/>
              <w:rPr>
                <w:sz w:val="17"/>
                <w:szCs w:val="17"/>
                <w:color w:val="auto"/>
              </w:rPr>
            </w:pPr>
          </w:p>
        </w:tc>
        <w:tc>
          <w:tcPr>
            <w:tcW w:w="5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shd w:val="clear" w:color="auto" w:fill="DBE5F1"/>
          </w:tcPr>
          <w:p>
            <w:pPr>
              <w:jc w:val="right"/>
              <w:ind w:right="21"/>
              <w:spacing w:after="0"/>
              <w:rPr>
                <w:sz w:val="20"/>
                <w:szCs w:val="20"/>
                <w:color w:val="auto"/>
              </w:rPr>
            </w:pPr>
            <w:r>
              <w:rPr>
                <w:rFonts w:ascii="Arial" w:cs="Arial" w:eastAsia="Arial" w:hAnsi="Arial"/>
                <w:sz w:val="16"/>
                <w:szCs w:val="16"/>
                <w:color w:val="auto"/>
              </w:rPr>
              <w:t>0%</w:t>
            </w:r>
          </w:p>
        </w:tc>
        <w:tc>
          <w:tcPr>
            <w:tcW w:w="140" w:type="dxa"/>
            <w:vAlign w:val="bottom"/>
            <w:tcBorders>
              <w:bottom w:val="single" w:sz="8" w:color="auto"/>
            </w:tcBorders>
            <w:shd w:val="clear" w:color="auto" w:fill="DBE5F1"/>
          </w:tcPr>
          <w:p>
            <w:pPr>
              <w:spacing w:after="0"/>
              <w:rPr>
                <w:sz w:val="17"/>
                <w:szCs w:val="17"/>
                <w:color w:val="auto"/>
              </w:rPr>
            </w:pPr>
          </w:p>
        </w:tc>
        <w:tc>
          <w:tcPr>
            <w:tcW w:w="5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color w:val="auto"/>
              </w:rPr>
              <w:t>7</w:t>
            </w:r>
          </w:p>
        </w:tc>
        <w:tc>
          <w:tcPr>
            <w:tcW w:w="620" w:type="dxa"/>
            <w:vAlign w:val="bottom"/>
            <w:tcBorders>
              <w:bottom w:val="single" w:sz="8" w:color="auto"/>
            </w:tcBorders>
            <w:shd w:val="clear" w:color="auto" w:fill="DBE5F1"/>
          </w:tcPr>
          <w:p>
            <w:pPr>
              <w:jc w:val="right"/>
              <w:ind w:right="21"/>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auto"/>
            </w:tcBorders>
            <w:shd w:val="clear" w:color="auto" w:fill="DBE5F1"/>
          </w:tcPr>
          <w:p>
            <w:pPr>
              <w:jc w:val="right"/>
              <w:ind w:right="40"/>
              <w:spacing w:after="0"/>
              <w:rPr>
                <w:sz w:val="20"/>
                <w:szCs w:val="20"/>
                <w:color w:val="auto"/>
              </w:rPr>
            </w:pPr>
            <w:r>
              <w:rPr>
                <w:rFonts w:ascii="Arial" w:cs="Arial" w:eastAsia="Arial" w:hAnsi="Arial"/>
                <w:sz w:val="16"/>
                <w:szCs w:val="16"/>
                <w:color w:val="auto"/>
              </w:rPr>
              <w:t>-171%</w:t>
            </w:r>
          </w:p>
        </w:tc>
        <w:tc>
          <w:tcPr>
            <w:tcW w:w="4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spacing w:after="0"/>
              <w:rPr>
                <w:sz w:val="17"/>
                <w:szCs w:val="17"/>
                <w:color w:val="auto"/>
              </w:rPr>
            </w:pPr>
          </w:p>
        </w:tc>
        <w:tc>
          <w:tcPr>
            <w:tcW w:w="5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color w:val="auto"/>
              </w:rPr>
              <w:t>11</w:t>
            </w:r>
          </w:p>
        </w:tc>
        <w:tc>
          <w:tcPr>
            <w:tcW w:w="580" w:type="dxa"/>
            <w:vAlign w:val="bottom"/>
            <w:tcBorders>
              <w:bottom w:val="single" w:sz="8" w:color="auto"/>
            </w:tcBorders>
            <w:shd w:val="clear" w:color="auto" w:fill="DBE5F1"/>
          </w:tcPr>
          <w:p>
            <w:pPr>
              <w:jc w:val="right"/>
              <w:ind w:right="1"/>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auto"/>
            </w:tcBorders>
            <w:shd w:val="clear" w:color="auto" w:fill="DBE5F1"/>
          </w:tcPr>
          <w:p>
            <w:pPr>
              <w:spacing w:after="0"/>
              <w:rPr>
                <w:sz w:val="17"/>
                <w:szCs w:val="17"/>
                <w:color w:val="auto"/>
              </w:rPr>
            </w:pPr>
          </w:p>
        </w:tc>
        <w:tc>
          <w:tcPr>
            <w:tcW w:w="560" w:type="dxa"/>
            <w:vAlign w:val="bottom"/>
            <w:tcBorders>
              <w:bottom w:val="single" w:sz="8" w:color="auto"/>
            </w:tcBorders>
            <w:shd w:val="clear" w:color="auto" w:fill="DBE5F1"/>
          </w:tcPr>
          <w:p>
            <w:pPr>
              <w:jc w:val="right"/>
              <w:ind w:right="1"/>
              <w:spacing w:after="0"/>
              <w:rPr>
                <w:sz w:val="20"/>
                <w:szCs w:val="20"/>
                <w:color w:val="auto"/>
              </w:rPr>
            </w:pPr>
            <w:r>
              <w:rPr>
                <w:rFonts w:ascii="Arial" w:cs="Arial" w:eastAsia="Arial" w:hAnsi="Arial"/>
                <w:sz w:val="16"/>
                <w:szCs w:val="16"/>
                <w:color w:val="auto"/>
              </w:rPr>
              <w:t>18</w:t>
            </w:r>
          </w:p>
        </w:tc>
        <w:tc>
          <w:tcPr>
            <w:tcW w:w="5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color w:val="auto"/>
              </w:rPr>
              <w:t>0%</w:t>
            </w:r>
          </w:p>
        </w:tc>
        <w:tc>
          <w:tcPr>
            <w:tcW w:w="600" w:type="dxa"/>
            <w:vAlign w:val="bottom"/>
            <w:tcBorders>
              <w:bottom w:val="single" w:sz="8" w:color="auto"/>
            </w:tcBorders>
            <w:shd w:val="clear" w:color="auto" w:fill="DBE5F1"/>
          </w:tcPr>
          <w:p>
            <w:pPr>
              <w:jc w:val="right"/>
              <w:ind w:right="39"/>
              <w:spacing w:after="0"/>
              <w:rPr>
                <w:sz w:val="20"/>
                <w:szCs w:val="20"/>
                <w:color w:val="auto"/>
              </w:rPr>
            </w:pPr>
            <w:r>
              <w:rPr>
                <w:rFonts w:ascii="Arial" w:cs="Arial" w:eastAsia="Arial" w:hAnsi="Arial"/>
                <w:sz w:val="16"/>
                <w:szCs w:val="16"/>
                <w:color w:val="auto"/>
              </w:rPr>
              <w:t>-39%</w:t>
            </w:r>
          </w:p>
        </w:tc>
      </w:tr>
      <w:tr>
        <w:trPr>
          <w:trHeight w:val="210"/>
        </w:trPr>
        <w:tc>
          <w:tcPr>
            <w:tcW w:w="2100" w:type="dxa"/>
            <w:vAlign w:val="bottom"/>
          </w:tcPr>
          <w:p>
            <w:pPr>
              <w:ind w:left="180"/>
              <w:spacing w:after="0"/>
              <w:rPr>
                <w:sz w:val="20"/>
                <w:szCs w:val="20"/>
                <w:color w:val="auto"/>
              </w:rPr>
            </w:pPr>
            <w:r>
              <w:rPr>
                <w:rFonts w:ascii="Arial" w:cs="Arial" w:eastAsia="Arial" w:hAnsi="Arial"/>
                <w:sz w:val="16"/>
                <w:szCs w:val="16"/>
                <w:color w:val="auto"/>
                <w:w w:val="94"/>
              </w:rPr>
              <w:t>Income before income taxes</w:t>
            </w: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1,119</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1,880</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1,846</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3,101</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03"/>
        </w:trPr>
        <w:tc>
          <w:tcPr>
            <w:tcW w:w="2100" w:type="dxa"/>
            <w:vAlign w:val="bottom"/>
            <w:shd w:val="clear" w:color="auto" w:fill="DBE5F1"/>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DBE5F1"/>
          </w:tcPr>
          <w:p>
            <w:pPr>
              <w:spacing w:after="0"/>
              <w:rPr>
                <w:sz w:val="17"/>
                <w:szCs w:val="17"/>
                <w:color w:val="auto"/>
              </w:rPr>
            </w:pPr>
          </w:p>
        </w:tc>
        <w:tc>
          <w:tcPr>
            <w:tcW w:w="540" w:type="dxa"/>
            <w:vAlign w:val="bottom"/>
            <w:shd w:val="clear" w:color="auto" w:fill="DBE5F1"/>
          </w:tcPr>
          <w:p>
            <w:pPr>
              <w:jc w:val="right"/>
              <w:spacing w:after="0"/>
              <w:rPr>
                <w:sz w:val="20"/>
                <w:szCs w:val="20"/>
                <w:color w:val="auto"/>
              </w:rPr>
            </w:pPr>
            <w:r>
              <w:rPr>
                <w:rFonts w:ascii="Arial" w:cs="Arial" w:eastAsia="Arial" w:hAnsi="Arial"/>
                <w:sz w:val="16"/>
                <w:szCs w:val="16"/>
                <w:color w:val="auto"/>
              </w:rPr>
              <w:t>(544)</w:t>
            </w:r>
          </w:p>
        </w:tc>
        <w:tc>
          <w:tcPr>
            <w:tcW w:w="56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-5%</w:t>
            </w:r>
          </w:p>
        </w:tc>
        <w:tc>
          <w:tcPr>
            <w:tcW w:w="140" w:type="dxa"/>
            <w:vAlign w:val="bottom"/>
            <w:shd w:val="clear" w:color="auto" w:fill="DBE5F1"/>
          </w:tcPr>
          <w:p>
            <w:pPr>
              <w:spacing w:after="0"/>
              <w:rPr>
                <w:sz w:val="17"/>
                <w:szCs w:val="17"/>
                <w:color w:val="auto"/>
              </w:rPr>
            </w:pPr>
          </w:p>
        </w:tc>
        <w:tc>
          <w:tcPr>
            <w:tcW w:w="5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(559)</w:t>
            </w:r>
          </w:p>
        </w:tc>
        <w:tc>
          <w:tcPr>
            <w:tcW w:w="62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-5%</w:t>
            </w:r>
          </w:p>
        </w:tc>
        <w:tc>
          <w:tcPr>
            <w:tcW w:w="700" w:type="dxa"/>
            <w:vAlign w:val="bottom"/>
            <w:shd w:val="clear" w:color="auto" w:fill="DBE5F1"/>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540" w:type="dxa"/>
            <w:vAlign w:val="bottom"/>
            <w:shd w:val="clear" w:color="auto" w:fill="DBE5F1"/>
          </w:tcPr>
          <w:p>
            <w:pPr>
              <w:jc w:val="right"/>
              <w:spacing w:after="0"/>
              <w:rPr>
                <w:sz w:val="20"/>
                <w:szCs w:val="20"/>
                <w:color w:val="auto"/>
              </w:rPr>
            </w:pPr>
            <w:r>
              <w:rPr>
                <w:rFonts w:ascii="Arial" w:cs="Arial" w:eastAsia="Arial" w:hAnsi="Arial"/>
                <w:sz w:val="16"/>
                <w:szCs w:val="16"/>
                <w:color w:val="auto"/>
              </w:rPr>
              <w:t>(818)</w:t>
            </w:r>
          </w:p>
        </w:tc>
        <w:tc>
          <w:tcPr>
            <w:tcW w:w="5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-4%</w:t>
            </w:r>
          </w:p>
        </w:tc>
        <w:tc>
          <w:tcPr>
            <w:tcW w:w="160" w:type="dxa"/>
            <w:vAlign w:val="bottom"/>
            <w:shd w:val="clear" w:color="auto" w:fill="DBE5F1"/>
          </w:tcPr>
          <w:p>
            <w:pPr>
              <w:spacing w:after="0"/>
              <w:rPr>
                <w:sz w:val="17"/>
                <w:szCs w:val="17"/>
                <w:color w:val="auto"/>
              </w:rPr>
            </w:pPr>
          </w:p>
        </w:tc>
        <w:tc>
          <w:tcPr>
            <w:tcW w:w="1680" w:type="dxa"/>
            <w:vAlign w:val="bottom"/>
            <w:gridSpan w:val="3"/>
            <w:shd w:val="clear" w:color="auto" w:fill="DBE5F1"/>
          </w:tcPr>
          <w:p>
            <w:pPr>
              <w:jc w:val="right"/>
              <w:ind w:right="39"/>
              <w:spacing w:after="0"/>
              <w:rPr>
                <w:sz w:val="20"/>
                <w:szCs w:val="20"/>
                <w:color w:val="auto"/>
              </w:rPr>
            </w:pPr>
            <w:r>
              <w:rPr>
                <w:rFonts w:ascii="Arial" w:cs="Arial" w:eastAsia="Arial" w:hAnsi="Arial"/>
                <w:sz w:val="16"/>
                <w:szCs w:val="16"/>
                <w:color w:val="auto"/>
              </w:rPr>
              <w:t>(968)   -4%   -15%</w:t>
            </w:r>
          </w:p>
        </w:tc>
      </w:tr>
      <w:tr>
        <w:trPr>
          <w:trHeight w:val="20"/>
        </w:trPr>
        <w:tc>
          <w:tcPr>
            <w:tcW w:w="2100" w:type="dxa"/>
            <w:vAlign w:val="bottom"/>
            <w:shd w:val="clear" w:color="auto" w:fill="DBE5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Borders>
              <w:bottom w:val="single" w:sz="8" w:color="auto"/>
            </w:tcBorders>
            <w:shd w:val="clear" w:color="auto" w:fill="DBE5F1"/>
          </w:tcPr>
          <w:p>
            <w:pPr>
              <w:spacing w:after="0" w:line="20" w:lineRule="exact"/>
              <w:rPr>
                <w:sz w:val="1"/>
                <w:szCs w:val="1"/>
                <w:color w:val="auto"/>
              </w:rPr>
            </w:pPr>
          </w:p>
        </w:tc>
        <w:tc>
          <w:tcPr>
            <w:tcW w:w="40" w:type="dxa"/>
            <w:vAlign w:val="bottom"/>
            <w:shd w:val="clear" w:color="auto" w:fill="DBE5F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DBE5F1"/>
          </w:tcPr>
          <w:p>
            <w:pPr>
              <w:spacing w:after="0" w:line="20" w:lineRule="exact"/>
              <w:rPr>
                <w:sz w:val="1"/>
                <w:szCs w:val="1"/>
                <w:color w:val="auto"/>
              </w:rPr>
            </w:pPr>
          </w:p>
        </w:tc>
      </w:tr>
      <w:tr>
        <w:trPr>
          <w:trHeight w:val="163"/>
        </w:trPr>
        <w:tc>
          <w:tcPr>
            <w:tcW w:w="2100" w:type="dxa"/>
            <w:vAlign w:val="bottom"/>
          </w:tcPr>
          <w:p>
            <w:pPr>
              <w:ind w:left="180"/>
              <w:spacing w:after="0" w:line="163" w:lineRule="exact"/>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ind w:right="1"/>
              <w:spacing w:after="0" w:line="163" w:lineRule="exact"/>
              <w:rPr>
                <w:sz w:val="20"/>
                <w:szCs w:val="20"/>
                <w:color w:val="auto"/>
              </w:rPr>
            </w:pPr>
            <w:r>
              <w:rPr>
                <w:rFonts w:ascii="Arial" w:cs="Arial" w:eastAsia="Arial" w:hAnsi="Arial"/>
                <w:sz w:val="16"/>
                <w:szCs w:val="16"/>
                <w:color w:val="auto"/>
              </w:rPr>
              <w:t>575</w:t>
            </w:r>
          </w:p>
        </w:tc>
        <w:tc>
          <w:tcPr>
            <w:tcW w:w="560" w:type="dxa"/>
            <w:vAlign w:val="bottom"/>
          </w:tcPr>
          <w:p>
            <w:pPr>
              <w:jc w:val="right"/>
              <w:ind w:right="21"/>
              <w:spacing w:after="0" w:line="163" w:lineRule="exact"/>
              <w:rPr>
                <w:sz w:val="20"/>
                <w:szCs w:val="20"/>
                <w:color w:val="auto"/>
              </w:rPr>
            </w:pPr>
            <w:r>
              <w:rPr>
                <w:rFonts w:ascii="Arial" w:cs="Arial" w:eastAsia="Arial" w:hAnsi="Arial"/>
                <w:sz w:val="16"/>
                <w:szCs w:val="16"/>
                <w:color w:val="auto"/>
              </w:rPr>
              <w:t>5%</w:t>
            </w:r>
          </w:p>
        </w:tc>
        <w:tc>
          <w:tcPr>
            <w:tcW w:w="1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3" w:lineRule="exact"/>
              <w:rPr>
                <w:sz w:val="20"/>
                <w:szCs w:val="20"/>
                <w:color w:val="auto"/>
              </w:rPr>
            </w:pPr>
            <w:r>
              <w:rPr>
                <w:rFonts w:ascii="Arial" w:cs="Arial" w:eastAsia="Arial" w:hAnsi="Arial"/>
                <w:sz w:val="16"/>
                <w:szCs w:val="16"/>
                <w:color w:val="auto"/>
              </w:rPr>
              <w:t>1,321</w:t>
            </w:r>
          </w:p>
        </w:tc>
        <w:tc>
          <w:tcPr>
            <w:tcW w:w="620" w:type="dxa"/>
            <w:vAlign w:val="bottom"/>
          </w:tcPr>
          <w:p>
            <w:pPr>
              <w:jc w:val="right"/>
              <w:ind w:right="21"/>
              <w:spacing w:after="0" w:line="163" w:lineRule="exact"/>
              <w:rPr>
                <w:sz w:val="20"/>
                <w:szCs w:val="20"/>
                <w:color w:val="auto"/>
              </w:rPr>
            </w:pPr>
            <w:r>
              <w:rPr>
                <w:rFonts w:ascii="Arial" w:cs="Arial" w:eastAsia="Arial" w:hAnsi="Arial"/>
                <w:sz w:val="16"/>
                <w:szCs w:val="16"/>
                <w:color w:val="auto"/>
              </w:rPr>
              <w:t>11%</w:t>
            </w:r>
          </w:p>
        </w:tc>
        <w:tc>
          <w:tcPr>
            <w:tcW w:w="700" w:type="dxa"/>
            <w:vAlign w:val="bottom"/>
          </w:tcPr>
          <w:p>
            <w:pPr>
              <w:jc w:val="right"/>
              <w:ind w:right="40"/>
              <w:spacing w:after="0" w:line="163" w:lineRule="exact"/>
              <w:rPr>
                <w:sz w:val="20"/>
                <w:szCs w:val="20"/>
                <w:color w:val="auto"/>
              </w:rPr>
            </w:pPr>
            <w:r>
              <w:rPr>
                <w:rFonts w:ascii="Arial" w:cs="Arial" w:eastAsia="Arial" w:hAnsi="Arial"/>
                <w:sz w:val="16"/>
                <w:szCs w:val="16"/>
                <w:color w:val="auto"/>
              </w:rPr>
              <w:t>-56%</w:t>
            </w:r>
          </w:p>
        </w:tc>
        <w:tc>
          <w:tcPr>
            <w:tcW w:w="140" w:type="dxa"/>
            <w:vAlign w:val="bottom"/>
            <w:gridSpan w:val="2"/>
          </w:tcPr>
          <w:p>
            <w:pPr>
              <w:jc w:val="right"/>
              <w:ind w:right="20"/>
              <w:spacing w:after="0" w:line="16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63" w:lineRule="exact"/>
              <w:rPr>
                <w:sz w:val="20"/>
                <w:szCs w:val="20"/>
                <w:color w:val="auto"/>
              </w:rPr>
            </w:pPr>
            <w:r>
              <w:rPr>
                <w:rFonts w:ascii="Arial" w:cs="Arial" w:eastAsia="Arial" w:hAnsi="Arial"/>
                <w:sz w:val="16"/>
                <w:szCs w:val="16"/>
                <w:color w:val="auto"/>
              </w:rPr>
              <w:t>1,028</w:t>
            </w:r>
          </w:p>
        </w:tc>
        <w:tc>
          <w:tcPr>
            <w:tcW w:w="580" w:type="dxa"/>
            <w:vAlign w:val="bottom"/>
          </w:tcPr>
          <w:p>
            <w:pPr>
              <w:jc w:val="right"/>
              <w:ind w:right="1"/>
              <w:spacing w:after="0" w:line="163" w:lineRule="exact"/>
              <w:rPr>
                <w:sz w:val="20"/>
                <w:szCs w:val="20"/>
                <w:color w:val="auto"/>
              </w:rPr>
            </w:pPr>
            <w:r>
              <w:rPr>
                <w:rFonts w:ascii="Arial" w:cs="Arial" w:eastAsia="Arial" w:hAnsi="Arial"/>
                <w:sz w:val="16"/>
                <w:szCs w:val="16"/>
                <w:color w:val="auto"/>
              </w:rPr>
              <w:t>5%</w:t>
            </w:r>
          </w:p>
        </w:tc>
        <w:tc>
          <w:tcPr>
            <w:tcW w:w="16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
              <w:spacing w:after="0" w:line="163" w:lineRule="exact"/>
              <w:rPr>
                <w:sz w:val="20"/>
                <w:szCs w:val="20"/>
                <w:color w:val="auto"/>
              </w:rPr>
            </w:pPr>
            <w:r>
              <w:rPr>
                <w:rFonts w:ascii="Arial" w:cs="Arial" w:eastAsia="Arial" w:hAnsi="Arial"/>
                <w:sz w:val="16"/>
                <w:szCs w:val="16"/>
                <w:color w:val="auto"/>
              </w:rPr>
              <w:t>2,133</w:t>
            </w:r>
          </w:p>
        </w:tc>
        <w:tc>
          <w:tcPr>
            <w:tcW w:w="520" w:type="dxa"/>
            <w:vAlign w:val="bottom"/>
          </w:tcPr>
          <w:p>
            <w:pPr>
              <w:jc w:val="right"/>
              <w:spacing w:after="0" w:line="163" w:lineRule="exact"/>
              <w:rPr>
                <w:sz w:val="20"/>
                <w:szCs w:val="20"/>
                <w:color w:val="auto"/>
              </w:rPr>
            </w:pPr>
            <w:r>
              <w:rPr>
                <w:rFonts w:ascii="Arial" w:cs="Arial" w:eastAsia="Arial" w:hAnsi="Arial"/>
                <w:sz w:val="16"/>
                <w:szCs w:val="16"/>
                <w:color w:val="auto"/>
              </w:rPr>
              <w:t>9%</w:t>
            </w:r>
          </w:p>
        </w:tc>
        <w:tc>
          <w:tcPr>
            <w:tcW w:w="600" w:type="dxa"/>
            <w:vAlign w:val="bottom"/>
          </w:tcPr>
          <w:p>
            <w:pPr>
              <w:jc w:val="right"/>
              <w:ind w:right="39"/>
              <w:spacing w:after="0" w:line="163" w:lineRule="exact"/>
              <w:rPr>
                <w:sz w:val="20"/>
                <w:szCs w:val="20"/>
                <w:color w:val="auto"/>
              </w:rPr>
            </w:pPr>
            <w:r>
              <w:rPr>
                <w:rFonts w:ascii="Arial" w:cs="Arial" w:eastAsia="Arial" w:hAnsi="Arial"/>
                <w:sz w:val="16"/>
                <w:szCs w:val="16"/>
                <w:color w:val="auto"/>
              </w:rPr>
              <w:t>-52%</w:t>
            </w:r>
          </w:p>
        </w:tc>
      </w:tr>
      <w:tr>
        <w:trPr>
          <w:trHeight w:val="20"/>
        </w:trPr>
        <w:tc>
          <w:tcPr>
            <w:tcW w:w="2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-154940</wp:posOffset>
            </wp:positionV>
            <wp:extent cx="4039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ind w:right="20" w:firstLine="8"/>
        <w:spacing w:after="0" w:line="237" w:lineRule="auto"/>
        <w:tabs>
          <w:tab w:leader="none" w:pos="162" w:val="left"/>
        </w:tabs>
        <w:numPr>
          <w:ilvl w:val="0"/>
          <w:numId w:val="6"/>
        </w:numPr>
        <w:rPr>
          <w:rFonts w:ascii="Arial" w:cs="Arial" w:eastAsia="Arial" w:hAnsi="Arial"/>
          <w:sz w:val="22"/>
          <w:szCs w:val="22"/>
          <w:color w:val="auto"/>
        </w:rPr>
      </w:pPr>
      <w:r>
        <w:rPr>
          <w:rFonts w:ascii="Arial" w:cs="Arial" w:eastAsia="Arial" w:hAnsi="Arial"/>
          <w:sz w:val="22"/>
          <w:szCs w:val="22"/>
          <w:color w:val="auto"/>
        </w:rPr>
        <w:t>Change represents percentage change over the previous period. A positive number indicates a change favorable to the net income. A negative number indicates a change unfavorable to the net income.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Revenue</w:t>
      </w:r>
    </w:p>
    <w:p>
      <w:pPr>
        <w:spacing w:after="0" w:line="233"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Revenue for the three months ended June 30, 2012 (“2012 Q2”) decreased by approximately 2% over the three months ended June 30, 2011 (“2011 Q2”). The revenues decreased due to reduced demand across all the regions except EMEA, which had a modest growth. All product categories with the exception of premium conferencing suffered decline in revenues.</w:t>
      </w:r>
    </w:p>
    <w:p>
      <w:pPr>
        <w:spacing w:after="0" w:line="161"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Revenue for the six months ended June 30, 2012 (“2012 H1”) decreased by approximately 3% over the six months ended June 30, 2011 (“2011 H1”). The revenues decreased due to reduced demand across all the regions and all the product categories with the exception of premium conferencing.</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decline in revenues were partially offset by additional revenues from video conferencing and digital signage products.</w:t>
      </w: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During 2012 Q2 and 2011 Q2, the net change in deferred revenue was net recognition of revenue of $371,000 and $811,000, respectively. During 2012 H1 and 2011 H1, the net change in deferred revenue was net deferral of $48,000 and net recognition of revenue of $553,000, respectively. See “Critical Accounting Policies and Estimates” under “Revenue and Associated Allowance for Revenue Adjustments and Doubtful Accounts” below for a detailed discussion of deferred revenue.</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Costs of Goods Sold and Gross Profit</w:t>
      </w:r>
    </w:p>
    <w:p>
      <w:pPr>
        <w:spacing w:after="0" w:line="233"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12"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Our gross profit margin (GPM), which is gross profit as a percentage of revenue, was 61% and 60% in 2012 Q2 and 2011 Q2, respectively. GPM for 2012 H1 was 61% compared to 60% during 2011 H1.</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Operating Expenses</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2012 Q2 operating expenses were approximately $6.0 million, an increase of approximately $686,000 from $5.3 million in 2011 Q2, or an increase of 13%. 2012 H1 operating expenses excluding litigation proceeds of $250,000 were approximately $11.6 million, an increase of approximately $1.2 million from $10.4 million in 2011 H1, or an increase of 12%. The litigation proceeds of $250,000 represent the receipt of a settlement of amounts due from a defendant in our litigation related to the “Theft of Intellectual Property and Related Cases” described in detail in in Note 8 – Commitments and Contingencies of the Notes to the Consolidated Financial Statements in our Form 10-K for the year ended December 31, 2011..</w:t>
      </w:r>
    </w:p>
    <w:p>
      <w:pPr>
        <w:spacing w:after="0" w:line="178"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i w:val="1"/>
          <w:iCs w:val="1"/>
          <w:color w:val="auto"/>
        </w:rPr>
        <w:t xml:space="preserve">Sales and Marketing (“S&amp;M”) Expenses. </w:t>
      </w:r>
      <w:r>
        <w:rPr>
          <w:rFonts w:ascii="Arial" w:cs="Arial" w:eastAsia="Arial" w:hAnsi="Arial"/>
          <w:sz w:val="19"/>
          <w:szCs w:val="19"/>
          <w:color w:val="auto"/>
        </w:rPr>
        <w:t>S&amp;M expenses include selling, customer service, and marketing expenses such as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employee-related costs, allocations of overhead expenses, trade shows, and other advertising and selling expenses.</w:t>
      </w:r>
    </w:p>
    <w:p>
      <w:pPr>
        <w:spacing w:after="0" w:line="132" w:lineRule="exact"/>
        <w:rPr>
          <w:sz w:val="20"/>
          <w:szCs w:val="20"/>
          <w:color w:val="auto"/>
        </w:rPr>
      </w:pPr>
    </w:p>
    <w:p>
      <w:pPr>
        <w:ind w:right="280"/>
        <w:spacing w:after="0" w:line="252" w:lineRule="auto"/>
        <w:rPr>
          <w:sz w:val="20"/>
          <w:szCs w:val="20"/>
          <w:color w:val="auto"/>
        </w:rPr>
      </w:pPr>
      <w:r>
        <w:rPr>
          <w:rFonts w:ascii="Arial" w:cs="Arial" w:eastAsia="Arial" w:hAnsi="Arial"/>
          <w:sz w:val="21"/>
          <w:szCs w:val="21"/>
          <w:color w:val="auto"/>
        </w:rPr>
        <w:t>S&amp;M expenses during 2012 Q2 and 2012 H1 increased by approximately $148,000 and $299,000, respectively or 7%, when compared to previous periods. The increase in S&amp;M expenses during 2012 Q2 and 2012 H1 was primarily due to increased employee-related costs resulting from added headcount in connection with recent acquisitions and increased marketing expenses partially offset by decreases in commission paid to independent sales agents.</w:t>
      </w:r>
    </w:p>
    <w:p>
      <w:pPr>
        <w:spacing w:after="0" w:line="201"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i w:val="1"/>
          <w:iCs w:val="1"/>
          <w:color w:val="auto"/>
        </w:rPr>
        <w:t xml:space="preserve">Research and Development (“R&amp;D”) Expenses. </w:t>
      </w:r>
      <w:r>
        <w:rPr>
          <w:rFonts w:ascii="Arial" w:cs="Arial" w:eastAsia="Arial" w:hAnsi="Arial"/>
          <w:sz w:val="19"/>
          <w:szCs w:val="19"/>
          <w:color w:val="auto"/>
        </w:rPr>
        <w:t>R&amp;D expenses include research and development and product line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employee-related costs, outside services, expensed materials and depreciation, and an allocation of overhead expenses.</w:t>
      </w:r>
    </w:p>
    <w:p>
      <w:pPr>
        <w:spacing w:after="0" w:line="132"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R&amp;D expenses during 2012 Q2 increased by $213,000, or 12%, compared to R&amp;D expenses during 2011 Q2. The increase was primarily due to increases in employee-related costs due to recent acquisitions, partially offset by decreases in project related costs.</w:t>
      </w:r>
    </w:p>
    <w:p>
      <w:pPr>
        <w:spacing w:after="0" w:line="132"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R&amp;D expenses during 2012 H1 increased by $584,000, or 17%, compared to R&amp;D expenses during 2011 H1. The increase was primarily due to increases in employee-related costs due to recent acquisitions, and other hires partially offset by decreases in software and subscription costs.</w:t>
      </w:r>
    </w:p>
    <w:p>
      <w:pPr>
        <w:spacing w:after="0" w:line="213"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General and Administrative (“G&amp;A”) Expenses. </w:t>
      </w:r>
      <w:r>
        <w:rPr>
          <w:rFonts w:ascii="Arial" w:cs="Arial" w:eastAsia="Arial" w:hAnsi="Arial"/>
          <w:sz w:val="22"/>
          <w:szCs w:val="22"/>
          <w:color w:val="auto"/>
        </w:rPr>
        <w:t>G&amp;A expenses include employee-related costs, professional service fees,</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allocations of overhead expenses, litigation costs, and corporate administrative costs, including finance, information technology and human resources.</w:t>
      </w:r>
    </w:p>
    <w:p>
      <w:pPr>
        <w:spacing w:after="0" w:line="21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G&amp;A expenses during 2012 Q2 increased by $325,000, or 24%, compared to expenses during 2011 Q2. The increase was primarily due to increased costs associated with the recently acquired operations of VCON, increase in amortization of intangibles, and increased employee-related costs partially offset by a reduction in bad debts.</w:t>
      </w:r>
    </w:p>
    <w:p>
      <w:pPr>
        <w:spacing w:after="0" w:line="21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G&amp;A expenses during 2012 H1 increased by $358,000, or 13%, compared to expenses during 2011 H1. The increase was primarily due to increased costs associated with the recently acquired operations of VCON, an increase in amortization of intangibles and bank fees, partially offset by reduction in legal expenses, bad debts, recruitment costs and consulting expenses.</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We continue to incur high legal expenses due to various litigation issues explained in detail in our Form 10-K for the year ended December 31, 2011.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Other income (expense), net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Other income (expense), net, includes interest income, interest expense, and currency gain (loss).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Provision for income taxes</w:t>
      </w:r>
    </w:p>
    <w:p>
      <w:pPr>
        <w:spacing w:after="0" w:line="233"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During 2012 Q2, we accrued income taxes at the expected annualized rate of 37.4% as compared to annualized rate of 33.5% in 2011 Q2. The increase in the expected annualized rate in 2012 Q2 was primarily due to the expiration of federal R&amp;D credit on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As of June 30, 2012, our cash and cash equivalents were approximately $10.4 million, a decrease of $6.3 million compared to cash and cash equivalents of approximately $16.7 million as of December 31, 2011.</w:t>
      </w:r>
    </w:p>
    <w:p>
      <w:pPr>
        <w:spacing w:after="0" w:line="200"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Net cash used in operating activities was $1.4 million in 2012 H1, a decrease of approximately $1.9 million compared to $496,000 cash provided by operating activities in 2011 H1. The decrease was primarily due to increases in inventories, an increase in payments for accounts payable and income taxes offset by increased inflows from accounts receivables.</w:t>
      </w:r>
    </w:p>
    <w:p>
      <w:pPr>
        <w:spacing w:after="0" w:line="194" w:lineRule="exact"/>
        <w:rPr>
          <w:sz w:val="20"/>
          <w:szCs w:val="20"/>
          <w:color w:val="auto"/>
        </w:rPr>
      </w:pPr>
    </w:p>
    <w:p>
      <w:pPr>
        <w:ind w:right="80"/>
        <w:spacing w:after="0"/>
        <w:rPr>
          <w:sz w:val="20"/>
          <w:szCs w:val="20"/>
          <w:color w:val="auto"/>
        </w:rPr>
      </w:pPr>
      <w:r>
        <w:rPr>
          <w:rFonts w:ascii="Arial" w:cs="Arial" w:eastAsia="Arial" w:hAnsi="Arial"/>
          <w:sz w:val="22"/>
          <w:szCs w:val="22"/>
          <w:color w:val="auto"/>
        </w:rPr>
        <w:t>Net cash used in investing activities in 2012 H1 was approximately $4.8 million, which consisted of the acquisition of the business of VCON for $4.6 million and $202,000 towards purchases of equipment. Net cash used in investing activities in 2011 H1 consisted of the purchase of equipment of approximately $248,000.</w:t>
      </w:r>
    </w:p>
    <w:p>
      <w:pPr>
        <w:spacing w:after="0" w:line="213"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Net cash used in financing activities in 2012 H1 was approximately $11,000, which consisted of the acquisition of outstanding stock totaling $92,000 offset by $81,000 proceeds received on exercise of stock options. In 2011 H1, net cash provided by financing activities amounted to $717,000 through proceeds received on the exercise of stock options.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As of June 30, 2012 our working capital was $30.0 million as compared to $32.7 million as of December 31, 2011.</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in the near future for selective investments in technological, marketing or product manufacturing capabilities to broaden our product offerings, and for acquisitions that may strategically fit our business and are accretive to our business performance. However, no assurance can be given that changes will not occur that would consume available capital resources at a rate more rapidly than anticipated and we may need or want to raise additional capital through debt or equity financing to fund our operations within this period of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Our significant accounting policies are described in Note 2 of the Notes to the Consolidated Financial Statements included in our Annual Report on Form 10-K for the year ended December 31, 2011and Note 1 to the Condensed Consolidated Financial Statements attached herewith.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Revenue and Associated Allowances for Revenue Adjustments and Doubtful Accounts</w:t>
      </w:r>
    </w:p>
    <w:p>
      <w:pPr>
        <w:spacing w:after="0" w:line="98"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194"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as described below. In a small number of cases, the distributors are also permitted to return the products for other business reasons.</w:t>
      </w:r>
    </w:p>
    <w:p>
      <w:pPr>
        <w:spacing w:after="0" w:line="208"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of revenue and associated cost of goods sold is calculated and recorded based upon the actual channel inventory reported at quarter-end. Further, with respect to distributors and other channel partners not reporting channel inventory, the revenue and associated cost of goods sold are deferred until we receive payment for the product sales made to such distributors or channel partners.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accuracy of the deferred revenue and costs depends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12"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The amounts of deferred cost of goods sold were included in consigned inventory. The following table details the amount of deferred revenue, cost of goods sold, and gross profit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w w:val="97"/>
              </w:rPr>
              <w:t>As of</w:t>
            </w:r>
          </w:p>
        </w:tc>
        <w:tc>
          <w:tcPr>
            <w:tcW w:w="940" w:type="dxa"/>
            <w:vAlign w:val="bottom"/>
            <w:tcBorders>
              <w:bottom w:val="single" w:sz="8" w:color="auto"/>
            </w:tcBorders>
          </w:tcPr>
          <w:p>
            <w:pPr>
              <w:spacing w:after="0"/>
              <w:rPr>
                <w:sz w:val="14"/>
                <w:szCs w:val="14"/>
                <w:color w:val="auto"/>
              </w:rPr>
            </w:pPr>
          </w:p>
        </w:tc>
      </w:tr>
      <w:tr>
        <w:trPr>
          <w:trHeight w:val="196"/>
        </w:trPr>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June 30, 2012</w:t>
            </w:r>
          </w:p>
        </w:tc>
        <w:tc>
          <w:tcPr>
            <w:tcW w:w="1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3420" w:type="dxa"/>
            <w:vAlign w:val="bottom"/>
            <w:shd w:val="clear" w:color="auto" w:fill="DBE5F1"/>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3,451</w:t>
            </w:r>
          </w:p>
        </w:tc>
        <w:tc>
          <w:tcPr>
            <w:tcW w:w="900" w:type="dxa"/>
            <w:vAlign w:val="bottom"/>
            <w:gridSpan w:val="3"/>
            <w:shd w:val="clear" w:color="auto" w:fill="DBE5F1"/>
          </w:tcPr>
          <w:p>
            <w:pPr>
              <w:jc w:val="right"/>
              <w:ind w:right="279"/>
              <w:spacing w:after="0"/>
              <w:rPr>
                <w:sz w:val="20"/>
                <w:szCs w:val="20"/>
                <w:color w:val="auto"/>
              </w:rPr>
            </w:pPr>
            <w:r>
              <w:rPr>
                <w:rFonts w:ascii="Arial" w:cs="Arial" w:eastAsia="Arial" w:hAnsi="Arial"/>
                <w:sz w:val="18"/>
                <w:szCs w:val="18"/>
                <w:color w:val="auto"/>
              </w:rPr>
              <w:t>$</w:t>
            </w:r>
          </w:p>
        </w:tc>
        <w:tc>
          <w:tcPr>
            <w:tcW w:w="940" w:type="dxa"/>
            <w:vAlign w:val="bottom"/>
            <w:shd w:val="clear" w:color="auto" w:fill="DBE5F1"/>
          </w:tcPr>
          <w:p>
            <w:pPr>
              <w:jc w:val="right"/>
              <w:ind w:right="70"/>
              <w:spacing w:after="0"/>
              <w:rPr>
                <w:sz w:val="20"/>
                <w:szCs w:val="20"/>
                <w:color w:val="auto"/>
              </w:rPr>
            </w:pPr>
            <w:r>
              <w:rPr>
                <w:rFonts w:ascii="Arial" w:cs="Arial" w:eastAsia="Arial" w:hAnsi="Arial"/>
                <w:sz w:val="18"/>
                <w:szCs w:val="18"/>
                <w:color w:val="auto"/>
              </w:rPr>
              <w:t>3,404</w:t>
            </w:r>
          </w:p>
        </w:tc>
      </w:tr>
      <w:tr>
        <w:trPr>
          <w:trHeight w:val="216"/>
        </w:trPr>
        <w:tc>
          <w:tcPr>
            <w:tcW w:w="3420" w:type="dxa"/>
            <w:vAlign w:val="bottom"/>
            <w:tcBorders>
              <w:bottom w:val="single" w:sz="8" w:color="DBE5F1"/>
            </w:tcBorders>
          </w:tcPr>
          <w:p>
            <w:pPr>
              <w:spacing w:after="0"/>
              <w:rPr>
                <w:sz w:val="20"/>
                <w:szCs w:val="20"/>
                <w:color w:val="auto"/>
              </w:rPr>
            </w:pPr>
            <w:r>
              <w:rPr>
                <w:rFonts w:ascii="Arial" w:cs="Arial" w:eastAsia="Arial" w:hAnsi="Arial"/>
                <w:sz w:val="18"/>
                <w:szCs w:val="18"/>
                <w:color w:val="auto"/>
              </w:rPr>
              <w:t>Deferred cost of goods sold</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DBE5F1"/>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1,199</w:t>
            </w:r>
          </w:p>
        </w:tc>
      </w:tr>
      <w:tr>
        <w:trPr>
          <w:trHeight w:val="223"/>
        </w:trPr>
        <w:tc>
          <w:tcPr>
            <w:tcW w:w="3420" w:type="dxa"/>
            <w:vAlign w:val="bottom"/>
            <w:tcBorders>
              <w:bottom w:val="single" w:sz="8" w:color="DBE5F1"/>
            </w:tcBorders>
            <w:shd w:val="clear" w:color="auto" w:fill="DBE5F1"/>
          </w:tcPr>
          <w:p>
            <w:pPr>
              <w:spacing w:after="0" w:line="182" w:lineRule="exact"/>
              <w:rPr>
                <w:sz w:val="20"/>
                <w:szCs w:val="20"/>
                <w:color w:val="auto"/>
              </w:rPr>
            </w:pPr>
            <w:r>
              <w:rPr>
                <w:rFonts w:ascii="Arial" w:cs="Arial" w:eastAsia="Arial" w:hAnsi="Arial"/>
                <w:sz w:val="18"/>
                <w:szCs w:val="18"/>
                <w:color w:val="auto"/>
              </w:rPr>
              <w:t>Deferred gross profit</w:t>
            </w:r>
          </w:p>
        </w:tc>
        <w:tc>
          <w:tcPr>
            <w:tcW w:w="28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2,204</w:t>
            </w:r>
          </w:p>
        </w:tc>
        <w:tc>
          <w:tcPr>
            <w:tcW w:w="140" w:type="dxa"/>
            <w:vAlign w:val="bottom"/>
            <w:tcBorders>
              <w:bottom w:val="single" w:sz="8" w:color="auto"/>
            </w:tcBorders>
            <w:shd w:val="clear" w:color="auto" w:fill="DBE5F1"/>
          </w:tcPr>
          <w:p>
            <w:pPr>
              <w:spacing w:after="0"/>
              <w:rPr>
                <w:sz w:val="19"/>
                <w:szCs w:val="19"/>
                <w:color w:val="auto"/>
              </w:rPr>
            </w:pPr>
          </w:p>
        </w:tc>
        <w:tc>
          <w:tcPr>
            <w:tcW w:w="180" w:type="dxa"/>
            <w:vAlign w:val="bottom"/>
            <w:tcBorders>
              <w:bottom w:val="single" w:sz="8" w:color="DBE5F1"/>
            </w:tcBorders>
            <w:shd w:val="clear" w:color="auto" w:fill="DBE5F1"/>
          </w:tcPr>
          <w:p>
            <w:pPr>
              <w:spacing w:after="0"/>
              <w:rPr>
                <w:sz w:val="19"/>
                <w:szCs w:val="19"/>
                <w:color w:val="auto"/>
              </w:rPr>
            </w:pPr>
          </w:p>
        </w:tc>
        <w:tc>
          <w:tcPr>
            <w:tcW w:w="580" w:type="dxa"/>
            <w:vAlign w:val="bottom"/>
            <w:tcBorders>
              <w:bottom w:val="single" w:sz="8" w:color="auto"/>
            </w:tcBorders>
            <w:shd w:val="clear" w:color="auto" w:fill="DBE5F1"/>
          </w:tcPr>
          <w:p>
            <w:pPr>
              <w:jc w:val="right"/>
              <w:ind w:right="279"/>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E5F1"/>
          </w:tcPr>
          <w:p>
            <w:pPr>
              <w:jc w:val="right"/>
              <w:ind w:right="70"/>
              <w:spacing w:after="0" w:line="182" w:lineRule="exact"/>
              <w:rPr>
                <w:sz w:val="20"/>
                <w:szCs w:val="20"/>
                <w:color w:val="auto"/>
              </w:rPr>
            </w:pPr>
            <w:r>
              <w:rPr>
                <w:rFonts w:ascii="Arial" w:cs="Arial" w:eastAsia="Arial" w:hAnsi="Arial"/>
                <w:sz w:val="18"/>
                <w:szCs w:val="18"/>
                <w:color w:val="auto"/>
              </w:rPr>
              <w:t>2,205</w:t>
            </w:r>
          </w:p>
        </w:tc>
      </w:tr>
    </w:tbl>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Impairment of Goodwill and Intangible Assets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allocated the purchase price of our acquisition of NetStreams, Inc. and the business of Magic Box, Inc. on the basis of well-established valuation techniques performed by qualified experts. The purchase price towards the acquisition of the business of VCON Video Conferencing, Ltd. has been allocated on a provisional basis pending full valuation. Goodwill is measured as the excess of the fair value of acquisition consideration over the sum of the fair values of tangible and identifiable intangible assets acquired less liabilities assumed. We intend to perform impairment tests of goodwill and intangible assets with an indefinite useful life, on an annual basis in the fourth fiscal quarter, or sooner if a triggering event occurs suggesting possible impairment of the values of these assets. As of June 30, 2012, $1.9 million and $759,000 have been recorded as goodwill and intangible assets with an indefinite useful life, respectively. In response to changes in industry, technology and competitive circumstances we may be required to exit or dispose of the acquired businesses, which could result in an impairment of goodwill and intangible assets.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Impairment of Long-Lived Assets</w:t>
      </w:r>
    </w:p>
    <w:p>
      <w:pPr>
        <w:spacing w:after="0" w:line="98"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Accounting for Income Taxes</w:t>
      </w:r>
    </w:p>
    <w:p>
      <w:pPr>
        <w:spacing w:after="0" w:line="9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June 30, 2012 is $1.2 million.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Lower-of-Cost or Market Adjustments and Reserves for Excess and Obsolete Inventory</w:t>
      </w:r>
    </w:p>
    <w:p>
      <w:pPr>
        <w:spacing w:after="0" w:line="98"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34"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The reserve against slow-moving or obsolete inventory is established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reserves, and our gross profit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Share-Based Compensation</w:t>
      </w:r>
    </w:p>
    <w:p>
      <w:pPr>
        <w:spacing w:after="0" w:line="98"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In December 2004, the FASB issued guidelines now contained under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 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7"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An evaluation of the effectiveness of our disclosure controls and procedures (as defined in Rules 13a-15(e) and 15d-15(e) of the Exchange Act) as of June 30, 2012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June 30, 2012 to ensure that information required to be disclosed by us in reports we file or submit under the Exchange Act is recorded, processed, summarized and reported as specified in the SEC’s rules and forms.</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There was no change in our internal control over financial reporting during the quarter ended June 30, 2012 that materially affected, or that we believe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following is an update to the status of the legal proceedings and commitments and contingencies reported in our Form 10-K for the year ended December 31, 2011 under Part I, Item 3. Legal Proceedings and Note 8 - Commitments and Contingencies of the Notes to Consolidated Financial Statements (Part II, Item 8) and our Form 10-Q for the period ended March 31, 2012 under Part II, Item 1. 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Former Officer Indemnification: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u w:val="single" w:color="auto"/>
          <w:color w:val="auto"/>
        </w:rPr>
        <w:t>Flood:</w:t>
      </w:r>
      <w:r>
        <w:rPr>
          <w:rFonts w:ascii="Arial" w:cs="Arial" w:eastAsia="Arial" w:hAnsi="Arial"/>
          <w:sz w:val="22"/>
          <w:szCs w:val="22"/>
          <w:color w:val="auto"/>
        </w:rPr>
        <w:t xml:space="preserve"> As previously reported, on April 4, 2011, the Tenth Circuit Court of Appeals in Denver affirmed Frances Flood’s conviction, but has allowed her to assert in a collateral proceeding her claim that she received ineffective assistance of counsel because her trial counsel allegedly labored under actual conflicts of interest. On June 5, 2012, Judge Benson denied Flood’s motion to vacate and set aside her conviction based on this theory.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Also, still pending in the Federal District Court for the District of Utah is our counterclaim for approximately $2,948,000 seeking to enforce Flood’s August 2003 promise to repay all advanced expenses if it was ultimately adjudged that she did not meet the requisite standard of conduct.</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Strohm:</w:t>
      </w:r>
      <w:r>
        <w:rPr>
          <w:rFonts w:ascii="Arial" w:cs="Arial" w:eastAsia="Arial" w:hAnsi="Arial"/>
          <w:sz w:val="19"/>
          <w:szCs w:val="19"/>
          <w:color w:val="auto"/>
        </w:rPr>
        <w:t xml:space="preserve"> As previously reported, on June 8, 2011, the Third Judicial District Court in Salt Lake City, Utah, entered Judgment in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Susie Strohm’s lawsuit against us for $973,000 in fees and expenses in the criminal case, plus $362,000 in interest at 18% through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February 1, 2011, which amounts were paid by us under protest to Dorsey on February 1, 2011. The Judgment also included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$865,000 in civil case fees and expenses plus interest. We have posted a cash bond to cover the civil case fees and interest pending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our appeal. On August 4, 2011, the Utah Supreme Court decided that it would hear our appeal. Susie Strohm’s counsel appealed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well. Appellate briefs were fully submitted on March 22, 2012, and the Utah Supreme Court has scheduled oral argument for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September 6, 2012.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Theft of Intellectual Property and Related Cases: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previously reported, in December 2011, we reached a settlement with Biamp, resulting in payment to us of $3,860,000, including by release of sum of $3,702,000 to us from the supersedeas bonds posted by Biamp with the Third Judicial District Court, Salt Lake County, State of Utah, and an additional payment. In February 2012, we reached a settlement with a Wideband defendant resulting in payment to us of $250,000.</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In August 2007, we filed a motion for a preliminary injunction in the United States District Court, District of Utah, seeking to enjoin Wideband Solutions, Inc. from licensing certain technology we believe constituted our intellectual property and trade secrets to Harman Music Group, Inc. (“Harman”).</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1" w:name="page22"/>
    <w:bookmarkEnd w:id="21"/>
    <w:p>
      <w:pPr>
        <w:jc w:val="center"/>
        <w:ind w:right="-99"/>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On September 13, 2007, the court in the Trade Secret Case granted ClearOne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brought claims related to the theft and misuse of ClearOne’s confidential and trade secret information. Harman asserted a counterclaim for bad-faith initiation of litigation. In August 2012, this case was settled pursuant to a Confidential Settlement Agreement that resolved the case to the satisfaction of all parties.</w:t>
      </w:r>
    </w:p>
    <w:p>
      <w:pPr>
        <w:spacing w:after="0" w:line="21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Donald Bowers filed appeals in January and February 2012 challenging $236,000 of the $294,000 in the attorney fees awarded against him, and briefing of that appeal is expected to be complete in August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The DialHD Georgia Action:</w:t>
      </w:r>
    </w:p>
    <w:p>
      <w:pPr>
        <w:spacing w:after="0" w:line="233"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On July 27, 2012, the Superior Court of Columbia County in the State of Georgia awarded sanctions against Donald Bowers, and requested we submit a calculation of our fees and costs. On August 3, 2012, we submitted our calculation, requesting $81,000 in costs and attorney fees. The Court has not ruled on this request.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39"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table below summarizes information about our purchases of our equity securities registered pursuant to Section 12 of the Exchange Act of 1934, as amended, during the quarterly period ended June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Maximum Approximate Dollar</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32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4"/>
              </w:rPr>
              <w:t>Total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Average Price</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Value of Shares that May Yet Be</w:t>
            </w:r>
          </w:p>
        </w:tc>
        <w:tc>
          <w:tcPr>
            <w:tcW w:w="0" w:type="dxa"/>
            <w:vAlign w:val="bottom"/>
          </w:tcPr>
          <w:p>
            <w:pPr>
              <w:spacing w:after="0"/>
              <w:rPr>
                <w:sz w:val="1"/>
                <w:szCs w:val="1"/>
                <w:color w:val="auto"/>
              </w:rPr>
            </w:pPr>
          </w:p>
        </w:tc>
      </w:tr>
      <w:tr>
        <w:trPr>
          <w:trHeight w:val="149"/>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Paid Per Share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85"/>
        </w:trPr>
        <w:tc>
          <w:tcPr>
            <w:tcW w:w="2840" w:type="dxa"/>
            <w:vAlign w:val="bottom"/>
            <w:vMerge w:val="continue"/>
          </w:tcPr>
          <w:p>
            <w:pPr>
              <w:spacing w:after="0"/>
              <w:rPr>
                <w:sz w:val="16"/>
                <w:szCs w:val="16"/>
                <w:color w:val="auto"/>
              </w:rPr>
            </w:pPr>
          </w:p>
        </w:tc>
        <w:tc>
          <w:tcPr>
            <w:tcW w:w="1320" w:type="dxa"/>
            <w:vAlign w:val="bottom"/>
          </w:tcPr>
          <w:p>
            <w:pPr>
              <w:jc w:val="center"/>
              <w:ind w:left="18"/>
              <w:spacing w:after="0"/>
              <w:rPr>
                <w:sz w:val="20"/>
                <w:szCs w:val="20"/>
                <w:color w:val="auto"/>
              </w:rPr>
            </w:pPr>
            <w:r>
              <w:rPr>
                <w:rFonts w:ascii="Arial" w:cs="Arial" w:eastAsia="Arial" w:hAnsi="Arial"/>
                <w:sz w:val="14"/>
                <w:szCs w:val="14"/>
                <w:b w:val="1"/>
                <w:bCs w:val="1"/>
                <w:color w:val="auto"/>
              </w:rPr>
              <w:t>(1)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Program (in millions)</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shd w:val="clear" w:color="auto" w:fill="DBE5F1"/>
          </w:tcPr>
          <w:p>
            <w:pPr>
              <w:spacing w:after="0"/>
              <w:rPr>
                <w:sz w:val="20"/>
                <w:szCs w:val="20"/>
                <w:color w:val="auto"/>
              </w:rPr>
            </w:pPr>
            <w:r>
              <w:rPr>
                <w:rFonts w:ascii="Arial" w:cs="Arial" w:eastAsia="Arial" w:hAnsi="Arial"/>
                <w:sz w:val="18"/>
                <w:szCs w:val="18"/>
                <w:color w:val="auto"/>
                <w:w w:val="99"/>
              </w:rPr>
              <w:t>April 1, 2012 through April 30, 2012</w:t>
            </w:r>
          </w:p>
        </w:tc>
        <w:tc>
          <w:tcPr>
            <w:tcW w:w="132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DBE5F1"/>
          </w:tcPr>
          <w:p>
            <w:pPr>
              <w:spacing w:after="0"/>
              <w:rPr>
                <w:sz w:val="18"/>
                <w:szCs w:val="18"/>
                <w:color w:val="auto"/>
              </w:rPr>
            </w:pPr>
          </w:p>
        </w:tc>
        <w:tc>
          <w:tcPr>
            <w:tcW w:w="2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May 1, 2012 through May 31, 2012</w:t>
            </w:r>
          </w:p>
        </w:tc>
        <w:tc>
          <w:tcPr>
            <w:tcW w:w="1320" w:type="dxa"/>
            <w:vAlign w:val="bottom"/>
          </w:tcPr>
          <w:p>
            <w:pPr>
              <w:jc w:val="right"/>
              <w:spacing w:after="0"/>
              <w:rPr>
                <w:sz w:val="20"/>
                <w:szCs w:val="20"/>
                <w:color w:val="auto"/>
              </w:rPr>
            </w:pPr>
            <w:r>
              <w:rPr>
                <w:rFonts w:ascii="Arial" w:cs="Arial" w:eastAsia="Arial" w:hAnsi="Arial"/>
                <w:sz w:val="18"/>
                <w:szCs w:val="18"/>
                <w:color w:val="auto"/>
              </w:rPr>
              <w:t>1,199</w:t>
            </w: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1,199</w:t>
            </w:r>
          </w:p>
        </w:tc>
        <w:tc>
          <w:tcPr>
            <w:tcW w:w="2200" w:type="dxa"/>
            <w:vAlign w:val="bottom"/>
          </w:tcPr>
          <w:p>
            <w:pPr>
              <w:jc w:val="right"/>
              <w:spacing w:after="0"/>
              <w:rPr>
                <w:sz w:val="20"/>
                <w:szCs w:val="20"/>
                <w:color w:val="auto"/>
              </w:rPr>
            </w:pPr>
            <w:r>
              <w:rPr>
                <w:rFonts w:ascii="Arial" w:cs="Arial" w:eastAsia="Arial" w:hAnsi="Arial"/>
                <w:sz w:val="18"/>
                <w:szCs w:val="18"/>
                <w:color w:val="auto"/>
              </w:rPr>
              <w:t>$1,995,252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DBE5F1"/>
          </w:tcPr>
          <w:p>
            <w:pPr>
              <w:spacing w:after="0"/>
              <w:rPr>
                <w:sz w:val="20"/>
                <w:szCs w:val="20"/>
                <w:color w:val="auto"/>
              </w:rPr>
            </w:pPr>
            <w:r>
              <w:rPr>
                <w:rFonts w:ascii="Arial" w:cs="Arial" w:eastAsia="Arial" w:hAnsi="Arial"/>
                <w:sz w:val="18"/>
                <w:szCs w:val="18"/>
                <w:color w:val="auto"/>
                <w:w w:val="97"/>
              </w:rPr>
              <w:t>June 1, 2012 through June 30, 2012</w:t>
            </w:r>
          </w:p>
        </w:tc>
        <w:tc>
          <w:tcPr>
            <w:tcW w:w="13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21,615</w:t>
            </w:r>
          </w:p>
        </w:tc>
        <w:tc>
          <w:tcPr>
            <w:tcW w:w="10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$4.04</w:t>
            </w:r>
          </w:p>
        </w:tc>
        <w:tc>
          <w:tcPr>
            <w:tcW w:w="1420" w:type="dxa"/>
            <w:vAlign w:val="bottom"/>
            <w:gridSpan w:val="2"/>
            <w:shd w:val="clear" w:color="auto" w:fill="DBE5F1"/>
          </w:tcPr>
          <w:p>
            <w:pPr>
              <w:jc w:val="right"/>
              <w:ind w:right="80"/>
              <w:spacing w:after="0"/>
              <w:rPr>
                <w:sz w:val="20"/>
                <w:szCs w:val="20"/>
                <w:color w:val="auto"/>
              </w:rPr>
            </w:pPr>
            <w:r>
              <w:rPr>
                <w:rFonts w:ascii="Arial" w:cs="Arial" w:eastAsia="Arial" w:hAnsi="Arial"/>
                <w:sz w:val="18"/>
                <w:szCs w:val="18"/>
                <w:color w:val="auto"/>
              </w:rPr>
              <w:t>21,615</w:t>
            </w:r>
          </w:p>
        </w:tc>
        <w:tc>
          <w:tcPr>
            <w:tcW w:w="2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$1,907,948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40" w:type="dxa"/>
            <w:vAlign w:val="bottom"/>
            <w:tcBorders>
              <w:top w:val="single" w:sz="8" w:color="auto"/>
            </w:tcBorders>
          </w:tcPr>
          <w:p>
            <w:pPr>
              <w:ind w:left="128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22,814</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22,814</w:t>
            </w: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124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24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firstLine="8"/>
        <w:spacing w:after="0" w:line="243" w:lineRule="auto"/>
        <w:tabs>
          <w:tab w:leader="none" w:pos="36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May 2012, our Board of Directors authorized a stock repurchase program. Under the program, we are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w:t>
      </w:r>
    </w:p>
    <w:p>
      <w:pPr>
        <w:spacing w:after="0" w:line="213" w:lineRule="exact"/>
        <w:rPr>
          <w:rFonts w:ascii="Arial" w:cs="Arial" w:eastAsia="Arial" w:hAnsi="Arial"/>
          <w:sz w:val="21"/>
          <w:szCs w:val="21"/>
          <w:color w:val="auto"/>
        </w:rPr>
      </w:pPr>
    </w:p>
    <w:p>
      <w:pPr>
        <w:ind w:left="360" w:hanging="352"/>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price paid per share of common stock includes the related transaction costs.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20"/>
          </w:cols>
          <w:pgMar w:left="24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20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type w:val="continuous"/>
        </w:sectPr>
      </w:pPr>
    </w:p>
    <w:bookmarkStart w:id="22" w:name="page23"/>
    <w:bookmarkEnd w:id="22"/>
    <w:p>
      <w:pPr>
        <w:ind w:left="374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4500" w:type="dxa"/>
            <w:vAlign w:val="bottom"/>
            <w:gridSpan w:val="4"/>
          </w:tcPr>
          <w:p>
            <w:pPr>
              <w:ind w:left="520"/>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500" w:type="dxa"/>
            <w:vAlign w:val="bottom"/>
            <w:gridSpan w:val="4"/>
          </w:tcPr>
          <w:p>
            <w:pPr>
              <w:ind w:left="5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500" w:type="dxa"/>
            <w:vAlign w:val="bottom"/>
            <w:gridSpan w:val="4"/>
          </w:tcPr>
          <w:p>
            <w:pPr>
              <w:ind w:left="5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500" w:type="dxa"/>
            <w:vAlign w:val="bottom"/>
            <w:gridSpan w:val="4"/>
          </w:tcPr>
          <w:p>
            <w:pPr>
              <w:ind w:left="520"/>
              <w:spacing w:after="0"/>
              <w:rPr>
                <w:sz w:val="20"/>
                <w:szCs w:val="20"/>
                <w:color w:val="auto"/>
              </w:rPr>
            </w:pPr>
            <w:r>
              <w:rPr>
                <w:rFonts w:ascii="Arial" w:cs="Arial" w:eastAsia="Arial" w:hAnsi="Arial"/>
                <w:sz w:val="18"/>
                <w:szCs w:val="18"/>
                <w:color w:val="auto"/>
                <w:w w:val="99"/>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500" w:type="dxa"/>
            <w:vAlign w:val="bottom"/>
            <w:gridSpan w:val="4"/>
          </w:tcPr>
          <w:p>
            <w:pPr>
              <w:ind w:left="520"/>
              <w:spacing w:after="0"/>
              <w:rPr>
                <w:sz w:val="20"/>
                <w:szCs w:val="20"/>
                <w:color w:val="auto"/>
              </w:rPr>
            </w:pPr>
            <w:r>
              <w:rPr>
                <w:rFonts w:ascii="Arial" w:cs="Arial" w:eastAsia="Arial" w:hAnsi="Arial"/>
                <w:sz w:val="18"/>
                <w:szCs w:val="18"/>
                <w:color w:val="auto"/>
              </w:rPr>
              <w:t>XBRL Taxonomy Extension Definitions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500" w:type="dxa"/>
            <w:vAlign w:val="bottom"/>
            <w:gridSpan w:val="4"/>
          </w:tcPr>
          <w:p>
            <w:pPr>
              <w:ind w:left="5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500" w:type="dxa"/>
            <w:vAlign w:val="bottom"/>
            <w:gridSpan w:val="4"/>
          </w:tcPr>
          <w:p>
            <w:pPr>
              <w:ind w:left="520"/>
              <w:spacing w:after="0"/>
              <w:rPr>
                <w:sz w:val="20"/>
                <w:szCs w:val="20"/>
                <w:color w:val="auto"/>
              </w:rPr>
            </w:pPr>
            <w:r>
              <w:rPr>
                <w:rFonts w:ascii="Arial" w:cs="Arial" w:eastAsia="Arial" w:hAnsi="Arial"/>
                <w:sz w:val="18"/>
                <w:szCs w:val="18"/>
                <w:color w:val="auto"/>
                <w:w w:val="96"/>
              </w:rPr>
              <w:t>XBRL Taxonomy Extension Presentation Linkbase*</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8" w:lineRule="exact"/>
        <w:rPr>
          <w:sz w:val="20"/>
          <w:szCs w:val="20"/>
          <w:color w:val="auto"/>
        </w:rPr>
      </w:pPr>
    </w:p>
    <w:p>
      <w:pPr>
        <w:ind w:right="340" w:firstLine="8"/>
        <w:spacing w:after="0" w:line="237" w:lineRule="auto"/>
        <w:tabs>
          <w:tab w:leader="none" w:pos="162" w:val="left"/>
        </w:tabs>
        <w:numPr>
          <w:ilvl w:val="0"/>
          <w:numId w:val="8"/>
        </w:numPr>
        <w:rPr>
          <w:rFonts w:ascii="Arial" w:cs="Arial" w:eastAsia="Arial" w:hAnsi="Arial"/>
          <w:sz w:val="22"/>
          <w:szCs w:val="22"/>
          <w:color w:val="auto"/>
        </w:rPr>
      </w:pPr>
      <w:r>
        <w:rPr>
          <w:rFonts w:ascii="Arial" w:cs="Arial" w:eastAsia="Arial" w:hAnsi="Arial"/>
          <w:sz w:val="22"/>
          <w:szCs w:val="22"/>
          <w:color w:val="auto"/>
        </w:rPr>
        <w:t>To be filed by an amendment to this Quarterly Report on Form 10-Q within 30 days in accordance with Rule 405(a)(2)(ii) of Regulation S-T.</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ClearOne Communications, Inc.,</w:t>
            </w:r>
          </w:p>
        </w:tc>
      </w:tr>
      <w:tr>
        <w:trPr>
          <w:trHeight w:val="230"/>
        </w:trPr>
        <w:tc>
          <w:tcPr>
            <w:tcW w:w="2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48"/>
        </w:trPr>
        <w:tc>
          <w:tcPr>
            <w:tcW w:w="2840" w:type="dxa"/>
            <w:vAlign w:val="bottom"/>
          </w:tcPr>
          <w:p>
            <w:pPr>
              <w:spacing w:after="0"/>
              <w:rPr>
                <w:sz w:val="20"/>
                <w:szCs w:val="20"/>
                <w:color w:val="auto"/>
              </w:rPr>
            </w:pPr>
            <w:r>
              <w:rPr>
                <w:rFonts w:ascii="Arial" w:cs="Arial" w:eastAsia="Arial" w:hAnsi="Arial"/>
                <w:sz w:val="18"/>
                <w:szCs w:val="18"/>
                <w:color w:val="auto"/>
              </w:rPr>
              <w:t>August 14, 2012</w:t>
            </w:r>
          </w:p>
        </w:tc>
        <w:tc>
          <w:tcPr>
            <w:tcW w:w="2220" w:type="dxa"/>
            <w:vAlign w:val="bottom"/>
          </w:tcPr>
          <w:p>
            <w:pPr>
              <w:ind w:left="166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Zeynep Hakimoglu</w:t>
            </w:r>
          </w:p>
        </w:tc>
      </w:tr>
      <w:tr>
        <w:trPr>
          <w:trHeight w:val="195"/>
        </w:trPr>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c>
          <w:tcPr>
            <w:tcW w:w="116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2840" w:type="dxa"/>
            <w:vAlign w:val="bottom"/>
          </w:tcPr>
          <w:p>
            <w:pPr>
              <w:spacing w:after="0"/>
              <w:rPr>
                <w:sz w:val="20"/>
                <w:szCs w:val="20"/>
                <w:color w:val="auto"/>
              </w:rPr>
            </w:pPr>
            <w:r>
              <w:rPr>
                <w:rFonts w:ascii="Arial" w:cs="Arial" w:eastAsia="Arial" w:hAnsi="Arial"/>
                <w:sz w:val="18"/>
                <w:szCs w:val="18"/>
                <w:color w:val="auto"/>
              </w:rPr>
              <w:t>August 14, 2012</w:t>
            </w:r>
          </w:p>
        </w:tc>
        <w:tc>
          <w:tcPr>
            <w:tcW w:w="2220" w:type="dxa"/>
            <w:vAlign w:val="bottom"/>
          </w:tcPr>
          <w:p>
            <w:pPr>
              <w:ind w:left="166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Narsi Narayanan</w:t>
            </w:r>
          </w:p>
        </w:tc>
      </w:tr>
      <w:tr>
        <w:trPr>
          <w:trHeight w:val="195"/>
        </w:trPr>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c>
          <w:tcPr>
            <w:tcW w:w="116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Arial" w:cs="Arial" w:eastAsia="Arial" w:hAnsi="Arial"/>
                <w:sz w:val="18"/>
                <w:szCs w:val="18"/>
                <w:color w:val="auto"/>
              </w:rPr>
              <w:t>Vice President of Finance</w:t>
            </w:r>
          </w:p>
        </w:tc>
      </w:tr>
      <w:tr>
        <w:trPr>
          <w:trHeight w:val="230"/>
        </w:trPr>
        <w:tc>
          <w:tcPr>
            <w:tcW w:w="2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200" w:lineRule="exact"/>
        <w:rPr>
          <w:sz w:val="20"/>
          <w:szCs w:val="20"/>
          <w:color w:val="auto"/>
        </w:rPr>
      </w:pPr>
    </w:p>
    <w:p>
      <w:pPr>
        <w:sectPr>
          <w:pgSz w:w="11900" w:h="16838" w:orient="portrait"/>
          <w:cols w:equalWidth="0" w:num="1">
            <w:col w:w="11280"/>
          </w:cols>
          <w:pgMar w:left="24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21</w:t>
      </w:r>
      <w:r>
        <w:rPr>
          <w:rFonts w:ascii="Arial" w:cs="Arial" w:eastAsia="Arial" w:hAnsi="Arial"/>
          <w:sz w:val="16"/>
          <w:szCs w:val="16"/>
          <w:color w:val="auto"/>
        </w:rPr>
        <w:t xml:space="preserve"> |</w:t>
      </w:r>
    </w:p>
    <w:p>
      <w:pPr>
        <w:sectPr>
          <w:pgSz w:w="11900" w:h="16838" w:orient="portrait"/>
          <w:cols w:equalWidth="0" w:num="1">
            <w:col w:w="11280"/>
          </w:cols>
          <w:pgMar w:left="240" w:top="111" w:right="37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Zeynep Hakimoglu, certify that:</w:t>
      </w:r>
    </w:p>
    <w:p>
      <w:pPr>
        <w:spacing w:after="0" w:line="98" w:lineRule="exact"/>
        <w:rPr>
          <w:sz w:val="20"/>
          <w:szCs w:val="20"/>
          <w:color w:val="auto"/>
        </w:rPr>
      </w:pPr>
    </w:p>
    <w:p>
      <w:pPr>
        <w:ind w:left="800" w:hanging="468"/>
        <w:spacing w:after="0"/>
        <w:tabs>
          <w:tab w:leader="none" w:pos="800" w:val="left"/>
        </w:tabs>
        <w:numPr>
          <w:ilvl w:val="0"/>
          <w:numId w:val="9"/>
        </w:numPr>
        <w:rPr>
          <w:rFonts w:ascii="Arial" w:cs="Arial" w:eastAsia="Arial" w:hAnsi="Arial"/>
          <w:sz w:val="22"/>
          <w:szCs w:val="22"/>
          <w:color w:val="auto"/>
        </w:rPr>
      </w:pPr>
      <w:r>
        <w:rPr>
          <w:rFonts w:ascii="Arial" w:cs="Arial" w:eastAsia="Arial" w:hAnsi="Arial"/>
          <w:sz w:val="22"/>
          <w:szCs w:val="22"/>
          <w:color w:val="auto"/>
        </w:rPr>
        <w:t>I have reviewed this quarterly report of ClearOne Communications, Inc. on Form 10-Q;</w:t>
      </w:r>
    </w:p>
    <w:p>
      <w:pPr>
        <w:spacing w:after="0" w:line="98" w:lineRule="exact"/>
        <w:rPr>
          <w:rFonts w:ascii="Arial" w:cs="Arial" w:eastAsia="Arial" w:hAnsi="Arial"/>
          <w:sz w:val="22"/>
          <w:szCs w:val="22"/>
          <w:color w:val="auto"/>
        </w:rPr>
      </w:pPr>
    </w:p>
    <w:p>
      <w:pPr>
        <w:ind w:left="820" w:right="20" w:hanging="488"/>
        <w:spacing w:after="0"/>
        <w:tabs>
          <w:tab w:leader="none" w:pos="793"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2"/>
          <w:szCs w:val="22"/>
          <w:color w:val="auto"/>
        </w:rPr>
      </w:pPr>
    </w:p>
    <w:p>
      <w:pPr>
        <w:ind w:left="820" w:hanging="488"/>
        <w:spacing w:after="0"/>
        <w:tabs>
          <w:tab w:leader="none" w:pos="793"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2"/>
          <w:szCs w:val="22"/>
          <w:color w:val="auto"/>
        </w:rPr>
      </w:pPr>
    </w:p>
    <w:p>
      <w:pPr>
        <w:ind w:left="820" w:right="220" w:hanging="488"/>
        <w:spacing w:after="0" w:line="258" w:lineRule="auto"/>
        <w:tabs>
          <w:tab w:leader="none" w:pos="793"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sz w:val="20"/>
          <w:szCs w:val="20"/>
          <w:color w:val="auto"/>
        </w:rPr>
      </w:pPr>
    </w:p>
    <w:p>
      <w:pPr>
        <w:ind w:left="820" w:right="40" w:hanging="488"/>
        <w:spacing w:after="0" w:line="297" w:lineRule="auto"/>
        <w:tabs>
          <w:tab w:leader="none" w:pos="793"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 w:lineRule="exact"/>
        <w:rPr>
          <w:rFonts w:ascii="Arial" w:cs="Arial" w:eastAsia="Arial" w:hAnsi="Arial"/>
          <w:sz w:val="19"/>
          <w:szCs w:val="19"/>
          <w:color w:val="auto"/>
        </w:rPr>
      </w:pPr>
    </w:p>
    <w:p>
      <w:pPr>
        <w:ind w:left="820" w:right="360" w:hanging="488"/>
        <w:spacing w:after="0" w:line="297" w:lineRule="auto"/>
        <w:tabs>
          <w:tab w:leader="none" w:pos="793"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Arial" w:cs="Arial" w:eastAsia="Arial" w:hAnsi="Arial"/>
          <w:sz w:val="19"/>
          <w:szCs w:val="19"/>
          <w:color w:val="auto"/>
        </w:rPr>
      </w:pPr>
    </w:p>
    <w:p>
      <w:pPr>
        <w:ind w:left="820" w:right="220" w:hanging="488"/>
        <w:spacing w:after="0"/>
        <w:tabs>
          <w:tab w:leader="none" w:pos="7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2"/>
          <w:szCs w:val="22"/>
          <w:color w:val="auto"/>
        </w:rPr>
      </w:pPr>
    </w:p>
    <w:p>
      <w:pPr>
        <w:ind w:left="820" w:right="340" w:hanging="488"/>
        <w:spacing w:after="0" w:line="297" w:lineRule="auto"/>
        <w:tabs>
          <w:tab w:leader="none" w:pos="793" w:val="left"/>
        </w:tabs>
        <w:numPr>
          <w:ilvl w:val="0"/>
          <w:numId w:val="1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6" w:lineRule="exact"/>
        <w:rPr>
          <w:sz w:val="20"/>
          <w:szCs w:val="20"/>
          <w:color w:val="auto"/>
        </w:rPr>
      </w:pPr>
    </w:p>
    <w:p>
      <w:pPr>
        <w:ind w:left="820" w:right="160" w:hanging="488"/>
        <w:spacing w:after="0"/>
        <w:tabs>
          <w:tab w:leader="none" w:pos="793"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sz w:val="20"/>
          <w:szCs w:val="20"/>
          <w:color w:val="auto"/>
        </w:rPr>
      </w:pPr>
    </w:p>
    <w:p>
      <w:pPr>
        <w:ind w:left="820" w:right="140" w:hanging="488"/>
        <w:spacing w:after="0"/>
        <w:tabs>
          <w:tab w:leader="none" w:pos="7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2"/>
          <w:szCs w:val="22"/>
          <w:color w:val="auto"/>
        </w:rPr>
      </w:pPr>
    </w:p>
    <w:p>
      <w:pPr>
        <w:ind w:left="820" w:right="600" w:hanging="488"/>
        <w:spacing w:after="0" w:line="251" w:lineRule="auto"/>
        <w:tabs>
          <w:tab w:leader="none" w:pos="7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8"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Narsi Narayanan, certify that:</w:t>
      </w:r>
    </w:p>
    <w:p>
      <w:pPr>
        <w:spacing w:after="0" w:line="85" w:lineRule="exact"/>
        <w:rPr>
          <w:sz w:val="20"/>
          <w:szCs w:val="20"/>
          <w:color w:val="auto"/>
        </w:rPr>
      </w:pPr>
    </w:p>
    <w:p>
      <w:pPr>
        <w:ind w:left="800" w:hanging="468"/>
        <w:spacing w:after="0"/>
        <w:tabs>
          <w:tab w:leader="none" w:pos="800" w:val="left"/>
        </w:tabs>
        <w:numPr>
          <w:ilvl w:val="0"/>
          <w:numId w:val="13"/>
        </w:numPr>
        <w:rPr>
          <w:rFonts w:ascii="Arial" w:cs="Arial" w:eastAsia="Arial" w:hAnsi="Arial"/>
          <w:sz w:val="20"/>
          <w:szCs w:val="20"/>
          <w:color w:val="auto"/>
        </w:rPr>
      </w:pPr>
      <w:r>
        <w:rPr>
          <w:rFonts w:ascii="Arial" w:cs="Arial" w:eastAsia="Arial" w:hAnsi="Arial"/>
          <w:sz w:val="22"/>
          <w:szCs w:val="22"/>
          <w:color w:val="auto"/>
        </w:rPr>
        <w:t>I have reviewed this quarterly report of ClearOne Communications, Inc. on Form 10-Q;</w:t>
      </w:r>
    </w:p>
    <w:p>
      <w:pPr>
        <w:spacing w:after="0" w:line="98" w:lineRule="exact"/>
        <w:rPr>
          <w:rFonts w:ascii="Arial" w:cs="Arial" w:eastAsia="Arial" w:hAnsi="Arial"/>
          <w:sz w:val="20"/>
          <w:szCs w:val="20"/>
          <w:color w:val="auto"/>
        </w:rPr>
      </w:pPr>
    </w:p>
    <w:p>
      <w:pPr>
        <w:ind w:left="820" w:right="20" w:hanging="488"/>
        <w:spacing w:after="0"/>
        <w:tabs>
          <w:tab w:leader="none" w:pos="793" w:val="left"/>
        </w:tabs>
        <w:numPr>
          <w:ilvl w:val="0"/>
          <w:numId w:val="13"/>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left="820" w:hanging="488"/>
        <w:spacing w:after="0"/>
        <w:tabs>
          <w:tab w:leader="none" w:pos="793" w:val="left"/>
        </w:tabs>
        <w:numPr>
          <w:ilvl w:val="0"/>
          <w:numId w:val="13"/>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ind w:left="820" w:right="220" w:hanging="488"/>
        <w:spacing w:after="0" w:line="258" w:lineRule="auto"/>
        <w:tabs>
          <w:tab w:leader="none" w:pos="793" w:val="left"/>
        </w:tabs>
        <w:numPr>
          <w:ilvl w:val="0"/>
          <w:numId w:val="13"/>
        </w:numPr>
        <w:rPr>
          <w:rFonts w:ascii="Arial" w:cs="Arial" w:eastAsia="Arial" w:hAnsi="Arial"/>
          <w:sz w:val="19"/>
          <w:szCs w:val="19"/>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sz w:val="20"/>
          <w:szCs w:val="20"/>
          <w:color w:val="auto"/>
        </w:rPr>
      </w:pPr>
    </w:p>
    <w:p>
      <w:pPr>
        <w:ind w:left="820" w:right="40" w:hanging="488"/>
        <w:spacing w:after="0" w:line="297" w:lineRule="auto"/>
        <w:tabs>
          <w:tab w:leader="none" w:pos="793" w:val="left"/>
        </w:tabs>
        <w:numPr>
          <w:ilvl w:val="0"/>
          <w:numId w:val="14"/>
        </w:numPr>
        <w:rPr>
          <w:rFonts w:ascii="Arial" w:cs="Arial" w:eastAsia="Arial" w:hAnsi="Arial"/>
          <w:sz w:val="18"/>
          <w:szCs w:val="18"/>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ind w:left="820" w:right="360" w:hanging="488"/>
        <w:spacing w:after="0" w:line="297" w:lineRule="auto"/>
        <w:tabs>
          <w:tab w:leader="none" w:pos="793" w:val="left"/>
        </w:tabs>
        <w:numPr>
          <w:ilvl w:val="0"/>
          <w:numId w:val="14"/>
        </w:numPr>
        <w:rPr>
          <w:rFonts w:ascii="Arial" w:cs="Arial" w:eastAsia="Arial" w:hAnsi="Arial"/>
          <w:sz w:val="18"/>
          <w:szCs w:val="18"/>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820" w:right="220" w:hanging="488"/>
        <w:spacing w:after="0"/>
        <w:tabs>
          <w:tab w:leader="none" w:pos="793" w:val="left"/>
        </w:tabs>
        <w:numPr>
          <w:ilvl w:val="0"/>
          <w:numId w:val="14"/>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ind w:left="820" w:right="340" w:hanging="488"/>
        <w:spacing w:after="0" w:line="297" w:lineRule="auto"/>
        <w:tabs>
          <w:tab w:leader="none" w:pos="793" w:val="left"/>
        </w:tabs>
        <w:numPr>
          <w:ilvl w:val="0"/>
          <w:numId w:val="14"/>
        </w:numPr>
        <w:rPr>
          <w:rFonts w:ascii="Arial" w:cs="Arial" w:eastAsia="Arial" w:hAnsi="Arial"/>
          <w:sz w:val="18"/>
          <w:szCs w:val="18"/>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 w:lineRule="exact"/>
        <w:rPr>
          <w:sz w:val="20"/>
          <w:szCs w:val="20"/>
          <w:color w:val="auto"/>
        </w:rPr>
      </w:pPr>
    </w:p>
    <w:p>
      <w:pPr>
        <w:ind w:left="820" w:right="160" w:hanging="488"/>
        <w:spacing w:after="0"/>
        <w:tabs>
          <w:tab w:leader="none" w:pos="793" w:val="left"/>
        </w:tabs>
        <w:numPr>
          <w:ilvl w:val="0"/>
          <w:numId w:val="15"/>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sz w:val="20"/>
          <w:szCs w:val="20"/>
          <w:color w:val="auto"/>
        </w:rPr>
      </w:pPr>
    </w:p>
    <w:p>
      <w:pPr>
        <w:ind w:left="820" w:right="140" w:hanging="488"/>
        <w:spacing w:after="0"/>
        <w:tabs>
          <w:tab w:leader="none" w:pos="793" w:val="left"/>
        </w:tabs>
        <w:numPr>
          <w:ilvl w:val="0"/>
          <w:numId w:val="16"/>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820" w:right="600" w:hanging="488"/>
        <w:spacing w:after="0" w:line="251" w:lineRule="auto"/>
        <w:tabs>
          <w:tab w:leader="none" w:pos="793" w:val="left"/>
        </w:tabs>
        <w:numPr>
          <w:ilvl w:val="0"/>
          <w:numId w:val="16"/>
        </w:numPr>
        <w:rPr>
          <w:rFonts w:ascii="Arial" w:cs="Arial" w:eastAsia="Arial" w:hAnsi="Arial"/>
          <w:sz w:val="20"/>
          <w:szCs w:val="20"/>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8"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 Zeynep Hakimoglu, certify, to my best knowledge and belief, pursuant to 18 U.S.C. Section 1350, as adopted pursuant to Section 906 of the Sarbanes-Oxley Act of 2002, that the Quarterly Report of ClearOne Communications, Inc. on Form 10-Q for the quarter ended June 30, 2012,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 Narsi Narayanan, certify, to my best knowledge and belief, pursuant to 18 U.S.C. Section 1350, as adopted pursuant to Section 906 of the Sarbanes-Oxley Act of 2002, that the Quarterly Report of ClearOne Communications, Inc. on Form 10-Q for the quarter ended June 30, 2012,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lvl w:ilvl="1">
      <w:lvlJc w:val="left"/>
      <w:lvlText w:val="%2)"/>
      <w:numFmt w:val="decimal"/>
      <w:start w:val="3"/>
    </w:lvl>
  </w:abstractNum>
  <w:abstractNum w:abstractNumId="3">
    <w:nsid w:val="4DB127F8"/>
    <w:multiLevelType w:val="hybridMultilevel"/>
    <w:lvl w:ilvl="0">
      <w:lvlJc w:val="left"/>
      <w:lvlText w:val="%1."/>
      <w:numFmt w:val="decimal"/>
      <w:start w:val="3"/>
    </w:lvl>
    <w:lvl w:ilvl="1">
      <w:lvlJc w:val="left"/>
      <w:lvlText w:val="%2"/>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2019-12-09T09:30:11Z</dcterms:created>
  <dcterms:modified xsi:type="dcterms:W3CDTF">2019-12-09T09:30:11Z</dcterms:modified>
</cp:coreProperties>
</file>