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8-K</w:t>
      </w:r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 PURSUANT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TO SECTION 13 OR 15(D) OF</w:t>
      </w: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June 8,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2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(Exact Name of Registrant as Specified in Its Charter)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Utah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2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(State or Other Jurisdiction of Incorporation)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tbl>
      <w:tblPr>
        <w:tblLayout w:type="fixed"/>
        <w:tblInd w:w="2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2000" w:type="dxa"/>
            <w:vAlign w:val="bottom"/>
            <w:gridSpan w:val="2"/>
          </w:tcPr>
          <w:p>
            <w:pPr>
              <w:jc w:val="right"/>
              <w:ind w:right="7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001-33660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87-0398877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70"/>
        </w:trPr>
        <w:tc>
          <w:tcPr>
            <w:tcW w:w="2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(Commission File Number)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(I.R.S. employer</w:t>
            </w:r>
          </w:p>
        </w:tc>
      </w:tr>
      <w:tr>
        <w:trPr>
          <w:trHeight w:val="182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identification number)</w:t>
            </w:r>
          </w:p>
        </w:tc>
      </w:tr>
      <w:tr>
        <w:trPr>
          <w:trHeight w:val="579"/>
        </w:trPr>
        <w:tc>
          <w:tcPr>
            <w:tcW w:w="24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5225 Wiley Post Way, Suite 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Salt Lake City, Utah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3"/>
              </w:rPr>
              <w:t>84116</w:t>
            </w:r>
          </w:p>
        </w:tc>
      </w:tr>
      <w:tr>
        <w:trPr>
          <w:trHeight w:val="20"/>
        </w:trPr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460" w:type="dxa"/>
            <w:vAlign w:val="bottom"/>
            <w:gridSpan w:val="4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(Address of principal executive offices)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9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(Zip Code)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(801) 975-7200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(Registrant’s Telephone Number, Including Area Code)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Not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(Former Name or Former Address, if Changed Since Last Report)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right="1359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[  ] Written communications pursuant to Rule 425 under the Securities Act (17 CFR 230.425)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[  ] Soliciting material pursuant to Rule 14a-12 under the Exchange Act (17 CFR 240.14a-12)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[  ] Pre-commencement communications pursuant to Rule 14d-2(b) under the Exchange Act (17 CFR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240.14d-2(b))</w:t>
      </w:r>
    </w:p>
    <w:p>
      <w:pPr>
        <w:ind w:left="500" w:right="1459" w:hanging="492"/>
        <w:spacing w:after="0" w:line="237" w:lineRule="auto"/>
        <w:tabs>
          <w:tab w:leader="none" w:pos="248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 Pre-commencement communication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370840</wp:posOffset>
            </wp:positionV>
            <wp:extent cx="5763260" cy="857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260" cy="85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220" w:right="1440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Item 5.07 Submission of Matters to a Vote of Security Holders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139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On June 8, 2011, the following matters were voted upon and approved by the Company’s shareholders at the Company’s Annual Meeting of Shareholders: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620" w:hanging="288"/>
        <w:spacing w:after="0"/>
        <w:tabs>
          <w:tab w:leader="none" w:pos="620" w:val="left"/>
        </w:tabs>
        <w:numPr>
          <w:ilvl w:val="0"/>
          <w:numId w:val="2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election of five members to the Board of Directors; and</w:t>
      </w:r>
    </w:p>
    <w:p>
      <w:pPr>
        <w:spacing w:after="0" w:line="8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660" w:right="1139" w:hanging="328"/>
        <w:spacing w:after="0" w:line="237" w:lineRule="auto"/>
        <w:tabs>
          <w:tab w:leader="none" w:pos="633" w:val="left"/>
        </w:tabs>
        <w:numPr>
          <w:ilvl w:val="0"/>
          <w:numId w:val="2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the ratification of the appointment of Jones Simkins, P.C. as the Company’s auditor and independent certified public accountants.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Election of Directors: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3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Nominee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87"/>
              </w:rPr>
              <w:t>Votes withheld</w:t>
            </w:r>
          </w:p>
        </w:tc>
      </w:tr>
      <w:tr>
        <w:trPr>
          <w:trHeight w:val="237"/>
        </w:trPr>
        <w:tc>
          <w:tcPr>
            <w:tcW w:w="3660" w:type="dxa"/>
            <w:vAlign w:val="bottom"/>
            <w:tcBorders>
              <w:top w:val="single" w:sz="8" w:color="auto"/>
            </w:tcBorders>
            <w:shd w:val="clear" w:color="auto" w:fill="B6DDE8"/>
          </w:tcPr>
          <w:p>
            <w:pPr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Brad R. Baldwin</w:t>
            </w:r>
          </w:p>
        </w:tc>
        <w:tc>
          <w:tcPr>
            <w:tcW w:w="320" w:type="dxa"/>
            <w:vAlign w:val="bottom"/>
            <w:shd w:val="clear" w:color="auto" w:fill="B6DD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B6DDE8"/>
          </w:tcPr>
          <w:p>
            <w:pPr>
              <w:jc w:val="right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3,373,363</w:t>
            </w:r>
          </w:p>
        </w:tc>
        <w:tc>
          <w:tcPr>
            <w:tcW w:w="220" w:type="dxa"/>
            <w:vAlign w:val="bottom"/>
            <w:shd w:val="clear" w:color="auto" w:fill="B6DD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shd w:val="clear" w:color="auto" w:fill="B6DDE8"/>
          </w:tcPr>
          <w:p>
            <w:pPr>
              <w:jc w:val="right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229,736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3"/>
        </w:trPr>
        <w:tc>
          <w:tcPr>
            <w:tcW w:w="366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Zeynep Hakimoglu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2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3,519,603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83,496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3"/>
        </w:trPr>
        <w:tc>
          <w:tcPr>
            <w:tcW w:w="3660" w:type="dxa"/>
            <w:vAlign w:val="bottom"/>
            <w:shd w:val="clear" w:color="auto" w:fill="B6DDE8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Larry R. Hendricks</w:t>
            </w:r>
          </w:p>
        </w:tc>
        <w:tc>
          <w:tcPr>
            <w:tcW w:w="1600" w:type="dxa"/>
            <w:vAlign w:val="bottom"/>
            <w:gridSpan w:val="3"/>
            <w:shd w:val="clear" w:color="auto" w:fill="B6DDE8"/>
          </w:tcPr>
          <w:p>
            <w:pPr>
              <w:jc w:val="right"/>
              <w:ind w:right="22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3,366,652</w:t>
            </w:r>
          </w:p>
        </w:tc>
        <w:tc>
          <w:tcPr>
            <w:tcW w:w="1720" w:type="dxa"/>
            <w:vAlign w:val="bottom"/>
            <w:shd w:val="clear" w:color="auto" w:fill="B6DDE8"/>
          </w:tcPr>
          <w:p>
            <w:pPr>
              <w:jc w:val="right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236,447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3"/>
        </w:trPr>
        <w:tc>
          <w:tcPr>
            <w:tcW w:w="3660" w:type="dxa"/>
            <w:vAlign w:val="bottom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 M. Huntsman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2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3,377,363</w:t>
            </w:r>
          </w:p>
        </w:tc>
        <w:tc>
          <w:tcPr>
            <w:tcW w:w="1720" w:type="dxa"/>
            <w:vAlign w:val="bottom"/>
          </w:tcPr>
          <w:p>
            <w:pPr>
              <w:jc w:val="right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225,736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3"/>
        </w:trPr>
        <w:tc>
          <w:tcPr>
            <w:tcW w:w="3660" w:type="dxa"/>
            <w:vAlign w:val="bottom"/>
            <w:shd w:val="clear" w:color="auto" w:fill="B6DDE8"/>
          </w:tcPr>
          <w:p>
            <w:pPr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E. Bryan Bagley</w:t>
            </w:r>
          </w:p>
        </w:tc>
        <w:tc>
          <w:tcPr>
            <w:tcW w:w="1600" w:type="dxa"/>
            <w:vAlign w:val="bottom"/>
            <w:gridSpan w:val="3"/>
            <w:shd w:val="clear" w:color="auto" w:fill="B6DDE8"/>
          </w:tcPr>
          <w:p>
            <w:pPr>
              <w:jc w:val="right"/>
              <w:ind w:right="22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3,376,313</w:t>
            </w:r>
          </w:p>
        </w:tc>
        <w:tc>
          <w:tcPr>
            <w:tcW w:w="1720" w:type="dxa"/>
            <w:vAlign w:val="bottom"/>
            <w:shd w:val="clear" w:color="auto" w:fill="B6DDE8"/>
          </w:tcPr>
          <w:p>
            <w:pPr>
              <w:jc w:val="right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226,786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right="1359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All five directors were re-elected to serve a term expiring at the 2011 Annual Meeting of Shareholders of the Company.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right="1139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Ratification of the appointment of Jones Simkins, P.C. as the Company’s auditor and independent certified public accountants: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188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Votes for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Votes against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Votes abstained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Broker Non-votes</w:t>
            </w:r>
          </w:p>
        </w:tc>
      </w:tr>
      <w:tr>
        <w:trPr>
          <w:trHeight w:val="237"/>
        </w:trPr>
        <w:tc>
          <w:tcPr>
            <w:tcW w:w="1620" w:type="dxa"/>
            <w:vAlign w:val="bottom"/>
            <w:tcBorders>
              <w:top w:val="single" w:sz="8" w:color="auto"/>
            </w:tcBorders>
            <w:shd w:val="clear" w:color="auto" w:fill="B6DDE8"/>
          </w:tcPr>
          <w:p>
            <w:pPr>
              <w:jc w:val="right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5,574,690</w:t>
            </w:r>
          </w:p>
        </w:tc>
        <w:tc>
          <w:tcPr>
            <w:tcW w:w="260" w:type="dxa"/>
            <w:vAlign w:val="bottom"/>
            <w:shd w:val="clear" w:color="auto" w:fill="B6DD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shd w:val="clear" w:color="auto" w:fill="B6DDE8"/>
          </w:tcPr>
          <w:p>
            <w:pPr>
              <w:jc w:val="right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193,732</w:t>
            </w:r>
          </w:p>
        </w:tc>
        <w:tc>
          <w:tcPr>
            <w:tcW w:w="260" w:type="dxa"/>
            <w:vAlign w:val="bottom"/>
            <w:shd w:val="clear" w:color="auto" w:fill="B6DD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shd w:val="clear" w:color="auto" w:fill="B6DDE8"/>
          </w:tcPr>
          <w:p>
            <w:pPr>
              <w:jc w:val="right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19,670</w:t>
            </w:r>
          </w:p>
        </w:tc>
        <w:tc>
          <w:tcPr>
            <w:tcW w:w="240" w:type="dxa"/>
            <w:vAlign w:val="bottom"/>
            <w:shd w:val="clear" w:color="auto" w:fill="B6DDE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shd w:val="clear" w:color="auto" w:fill="B6DDE8"/>
          </w:tcPr>
          <w:p>
            <w:pPr>
              <w:jc w:val="right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center"/>
        <w:ind w:right="11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SIGNATURES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1259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CLEARONE COMMUNICATIONS, INC.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Date: June 13, 2011</w:t>
            </w:r>
          </w:p>
        </w:tc>
        <w:tc>
          <w:tcPr>
            <w:tcW w:w="5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By:  /s/ Narsi Narayanan</w:t>
            </w:r>
          </w:p>
        </w:tc>
      </w:tr>
      <w:tr>
        <w:trPr>
          <w:trHeight w:val="242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</w:tcBorders>
          </w:tcPr>
          <w:p>
            <w:pPr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Narsi Narayanan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8"/>
              </w:rPr>
              <w:t>Vice President of Finance &amp; Corporate Secretary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219"/>
      </w:cols>
      <w:pgMar w:left="240" w:top="11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2019-12-10T09:53:37Z</dcterms:created>
  <dcterms:modified xsi:type="dcterms:W3CDTF">2019-12-10T09:53:37Z</dcterms:modified>
</cp:coreProperties>
</file>