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April 30, 2014</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ClearOne,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4"/>
              </w:rPr>
              <w:t>Utah</w:t>
            </w:r>
          </w:p>
        </w:tc>
        <w:tc>
          <w:tcPr>
            <w:tcW w:w="400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3661</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87-0398877</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400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(801) 975-7200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Zeynep Hakimoglu</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CEO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(801) 975-7200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W. Coffin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Seyfarth Shaw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700 Milam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Suite 1400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225-2300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offering to the public:</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 and “smaller reporting company” in Rule 12b-2 of the Exchange Act. (Check one):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Large Accelerated Filer</w:t>
            </w:r>
          </w:p>
        </w:tc>
        <w:tc>
          <w:tcPr>
            <w:tcW w:w="1960" w:type="dxa"/>
            <w:vAlign w:val="bottom"/>
          </w:tcPr>
          <w:p>
            <w:pPr>
              <w:jc w:val="right"/>
              <w:ind w:right="1399"/>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500"/>
              <w:spacing w:after="0"/>
              <w:rPr>
                <w:sz w:val="20"/>
                <w:szCs w:val="20"/>
                <w:color w:val="auto"/>
              </w:rPr>
            </w:pPr>
            <w:r>
              <w:rPr>
                <w:rFonts w:ascii="Arial" w:cs="Arial" w:eastAsia="Arial" w:hAnsi="Arial"/>
                <w:sz w:val="18"/>
                <w:szCs w:val="18"/>
                <w:color w:val="auto"/>
                <w:w w:val="99"/>
              </w:rPr>
              <w:t>Accelerated Filer</w:t>
            </w:r>
          </w:p>
        </w:tc>
        <w:tc>
          <w:tcPr>
            <w:tcW w:w="108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20" w:type="dxa"/>
            <w:vAlign w:val="bottom"/>
            <w:gridSpan w:val="2"/>
          </w:tcPr>
          <w:p>
            <w:pPr>
              <w:spacing w:after="0"/>
              <w:rPr>
                <w:sz w:val="20"/>
                <w:szCs w:val="20"/>
                <w:color w:val="auto"/>
              </w:rPr>
            </w:pPr>
            <w:r>
              <w:rPr>
                <w:rFonts w:ascii="Arial" w:cs="Arial" w:eastAsia="Arial" w:hAnsi="Arial"/>
                <w:sz w:val="18"/>
                <w:szCs w:val="18"/>
                <w:color w:val="auto"/>
              </w:rPr>
              <w:t>Non-Accelerated File</w:t>
            </w:r>
          </w:p>
        </w:tc>
        <w:tc>
          <w:tcPr>
            <w:tcW w:w="5180" w:type="dxa"/>
            <w:vAlign w:val="bottom"/>
            <w:gridSpan w:val="5"/>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1360" w:type="dxa"/>
            <w:vAlign w:val="bottom"/>
          </w:tcPr>
          <w:p>
            <w:pPr>
              <w:spacing w:after="0"/>
              <w:rPr>
                <w:sz w:val="24"/>
                <w:szCs w:val="24"/>
                <w:color w:val="auto"/>
              </w:rPr>
            </w:pPr>
          </w:p>
        </w:tc>
        <w:tc>
          <w:tcPr>
            <w:tcW w:w="2940" w:type="dxa"/>
            <w:vAlign w:val="bottom"/>
            <w:gridSpan w:val="3"/>
          </w:tcPr>
          <w:p>
            <w:pPr>
              <w:ind w:left="5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580" w:type="dxa"/>
            <w:vAlign w:val="bottom"/>
            <w:gridSpan w:val="5"/>
          </w:tcPr>
          <w:p>
            <w:pPr>
              <w:ind w:left="3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4"/>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19"/>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19"/>
              <w:spacing w:after="0" w:line="149" w:lineRule="exact"/>
              <w:rPr>
                <w:sz w:val="20"/>
                <w:szCs w:val="20"/>
                <w:color w:val="auto"/>
              </w:rPr>
            </w:pPr>
            <w:r>
              <w:rPr>
                <w:rFonts w:ascii="Arial" w:cs="Arial" w:eastAsia="Arial" w:hAnsi="Arial"/>
                <w:sz w:val="14"/>
                <w:szCs w:val="14"/>
                <w:b w:val="1"/>
                <w:bCs w:val="1"/>
                <w:color w:val="auto"/>
                <w:w w:val="94"/>
              </w:rPr>
              <w:t>maximum</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960" w:type="dxa"/>
            <w:vAlign w:val="bottom"/>
          </w:tcPr>
          <w:p>
            <w:pPr>
              <w:jc w:val="right"/>
              <w:ind w:right="459"/>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8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4"/>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9"/>
              </w:rPr>
              <w:t>securities to be registered</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Primary Offering New Securities:</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Debt Securities (3)</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$0.001 par value per share</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Securities Warrants (3)</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Subscription Rights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gridSpan w:val="2"/>
          </w:tcPr>
          <w:p>
            <w:pPr>
              <w:spacing w:after="0"/>
              <w:rPr>
                <w:sz w:val="20"/>
                <w:szCs w:val="20"/>
                <w:color w:val="auto"/>
              </w:rPr>
            </w:pPr>
            <w:r>
              <w:rPr>
                <w:rFonts w:ascii="Arial" w:cs="Arial" w:eastAsia="Arial" w:hAnsi="Arial"/>
                <w:sz w:val="18"/>
                <w:szCs w:val="18"/>
                <w:color w:val="auto"/>
              </w:rPr>
              <w:t>Units (4)</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bottom w:val="single" w:sz="8" w:color="auto"/>
            </w:tcBorders>
            <w:gridSpan w:val="2"/>
          </w:tcPr>
          <w:p>
            <w:pPr>
              <w:jc w:val="right"/>
              <w:ind w:right="359"/>
              <w:spacing w:after="0"/>
              <w:rPr>
                <w:sz w:val="20"/>
                <w:szCs w:val="20"/>
                <w:color w:val="auto"/>
              </w:rPr>
            </w:pPr>
            <w:r>
              <w:rPr>
                <w:rFonts w:ascii="Arial" w:cs="Arial" w:eastAsia="Arial" w:hAnsi="Arial"/>
                <w:sz w:val="18"/>
                <w:szCs w:val="18"/>
                <w:color w:val="auto"/>
              </w:rPr>
              <w:t>Total Primary Offering Securities (1)(2)</w:t>
            </w:r>
          </w:p>
        </w:tc>
        <w:tc>
          <w:tcPr>
            <w:tcW w:w="1380" w:type="dxa"/>
            <w:vAlign w:val="bottom"/>
            <w:tcBorders>
              <w:top w:val="single" w:sz="8" w:color="auto"/>
              <w:bottom w:val="single" w:sz="8" w:color="auto"/>
              <w:right w:val="single" w:sz="8" w:color="auto"/>
            </w:tcBorders>
            <w:gridSpan w:val="2"/>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$75,000,000.00</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$75,000,000.00</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$9660.00 (5)</w:t>
            </w: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Secondary Offering:</w:t>
            </w:r>
          </w:p>
        </w:tc>
        <w:tc>
          <w:tcPr>
            <w:tcW w:w="1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w w:val="97"/>
              </w:rPr>
              <w:t>Common Stock, $0.001 par value per share (6)</w:t>
            </w:r>
          </w:p>
        </w:tc>
        <w:tc>
          <w:tcPr>
            <w:tcW w:w="1380" w:type="dxa"/>
            <w:vAlign w:val="bottom"/>
            <w:tcBorders>
              <w:right w:val="single" w:sz="8" w:color="auto"/>
            </w:tcBorders>
            <w:gridSpan w:val="2"/>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150,000</w:t>
            </w:r>
          </w:p>
        </w:tc>
        <w:tc>
          <w:tcPr>
            <w:tcW w:w="240" w:type="dxa"/>
            <w:vAlign w:val="bottom"/>
          </w:tcPr>
          <w:p>
            <w:pPr>
              <w:spacing w:after="0"/>
              <w:rPr>
                <w:sz w:val="18"/>
                <w:szCs w:val="18"/>
                <w:color w:val="auto"/>
              </w:rPr>
            </w:pPr>
          </w:p>
        </w:tc>
        <w:tc>
          <w:tcPr>
            <w:tcW w:w="1360" w:type="dxa"/>
            <w:vAlign w:val="bottom"/>
            <w:tcBorders>
              <w:right w:val="single" w:sz="8" w:color="auto"/>
            </w:tcBorders>
          </w:tcPr>
          <w:p>
            <w:pPr>
              <w:jc w:val="center"/>
              <w:ind w:right="84"/>
              <w:spacing w:after="0"/>
              <w:rPr>
                <w:sz w:val="20"/>
                <w:szCs w:val="20"/>
                <w:color w:val="auto"/>
              </w:rPr>
            </w:pPr>
            <w:r>
              <w:rPr>
                <w:rFonts w:ascii="Arial" w:cs="Arial" w:eastAsia="Arial" w:hAnsi="Arial"/>
                <w:sz w:val="18"/>
                <w:szCs w:val="18"/>
                <w:color w:val="auto"/>
                <w:w w:val="88"/>
              </w:rPr>
              <w:t>$9.93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$1,489,500</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$191.85(7)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bottom w:val="single" w:sz="8" w:color="auto"/>
            </w:tcBorders>
            <w:gridSpan w:val="2"/>
          </w:tcPr>
          <w:p>
            <w:pPr>
              <w:jc w:val="right"/>
              <w:ind w:right="1399"/>
              <w:spacing w:after="0"/>
              <w:rPr>
                <w:sz w:val="20"/>
                <w:szCs w:val="20"/>
                <w:color w:val="auto"/>
              </w:rPr>
            </w:pPr>
            <w:r>
              <w:rPr>
                <w:rFonts w:ascii="Arial" w:cs="Arial" w:eastAsia="Arial" w:hAnsi="Arial"/>
                <w:sz w:val="18"/>
                <w:szCs w:val="18"/>
                <w:color w:val="auto"/>
              </w:rPr>
              <w:t>Total Secondary Offering</w:t>
            </w:r>
          </w:p>
        </w:tc>
        <w:tc>
          <w:tcPr>
            <w:tcW w:w="1380" w:type="dxa"/>
            <w:vAlign w:val="bottom"/>
            <w:tcBorders>
              <w:top w:val="single" w:sz="8" w:color="auto"/>
              <w:bottom w:val="single" w:sz="8" w:color="auto"/>
              <w:right w:val="single" w:sz="8" w:color="auto"/>
            </w:tcBorders>
            <w:gridSpan w:val="2"/>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right w:val="single" w:sz="8" w:color="auto"/>
            </w:tcBorders>
          </w:tcPr>
          <w:p>
            <w:pPr>
              <w:jc w:val="center"/>
              <w:ind w:right="84"/>
              <w:spacing w:after="0"/>
              <w:rPr>
                <w:sz w:val="20"/>
                <w:szCs w:val="20"/>
                <w:color w:val="auto"/>
              </w:rPr>
            </w:pPr>
            <w:r>
              <w:rPr>
                <w:rFonts w:ascii="Arial" w:cs="Arial" w:eastAsia="Arial" w:hAnsi="Arial"/>
                <w:sz w:val="18"/>
                <w:szCs w:val="18"/>
                <w:color w:val="auto"/>
                <w:w w:val="88"/>
              </w:rPr>
              <w:t>$9.93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$1,489,500</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$191.85</w:t>
            </w: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Total Registration Fee</w:t>
            </w:r>
          </w:p>
        </w:tc>
        <w:tc>
          <w:tcPr>
            <w:tcW w:w="1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$9851.85</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457(i) under the Securities Act of 1933, as amended (the “Securities Act”), there are being registered, with respect to the primary offering, an indeterminate principal amount or number of debt securities, common stock, and securities warrants, subscription rights, and units as shall have an aggregate initial offering price of the securities issued or sold under this Registration Statement not to exceed $75,000,000. Separate consideration may or may not be received for securities that are being registered that are issued in exchange for, or upon conversion or exercise of, the debt securities or securities warrants being registered hereunder.</w:t>
      </w:r>
    </w:p>
    <w:p>
      <w:pPr>
        <w:spacing w:after="0" w:line="2"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proposed maximum per unit and aggregate offering prices per class of securities with respect to the primary offering will be determined from time to time by the registrant in connection with the issuance by the registrant of the securities registered under this registration statement and is not specified as to each class of security pursuant to General Instruction II.D. of Form S-3 under the Securities Act.</w:t>
      </w:r>
    </w:p>
    <w:p>
      <w:pPr>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footnote (1), this registration statement also covers an indeterminate amount of securities that may be issued in exchange for, or upon conversion or exercise of, the debt securities or securities warrants being registered. Any securities being registered may be sold separately or as units with other securities being registered.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consist of one or more shares of common stock, debt securities or warrants or any combination of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with respect to the primary offering.</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hereby registering the sale of 150,000 shares of common stock, par value $0.001 per share, of the registrant previously issued to a certain selling shareholder in a private placement. Pursuant to Rule 416 under the Securities Act, the shares being registered hereunder include such indeterminate number of shares of common stock as may be issuable with respect to the shares being registered hereunder as a result of stock splits, stock dividends or similar transactions.</w:t>
      </w:r>
    </w:p>
    <w:p>
      <w:pPr>
        <w:spacing w:after="0" w:line="1" w:lineRule="exact"/>
        <w:rPr>
          <w:rFonts w:ascii="Arial" w:cs="Arial" w:eastAsia="Arial" w:hAnsi="Arial"/>
          <w:sz w:val="18"/>
          <w:szCs w:val="18"/>
          <w:color w:val="auto"/>
        </w:rPr>
      </w:pPr>
    </w:p>
    <w:p>
      <w:pPr>
        <w:jc w:val="both"/>
        <w:ind w:left="460" w:right="2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Rule 457(h)(1) under the Securities Act. The offering price and registration fee are computed using $9.93, the average of the high and low sales prices of the registrant’s common stock as reported by the NASDAQ Stock Market LLC on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215900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DE1A1E"/>
        </w:rPr>
        <w:t>The information in this prospectus is not complete and may be changed. This prospectus is not an offer to sell these securities and they are not soliciting an offer to buy these securities in any state where the offer or sale is not permitted.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April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CLEARONE,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(801) 975-7200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$75,000,000</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150,000 Shares of Common Stock</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Offered by a Selling Shareholder</w:t>
      </w:r>
    </w:p>
    <w:p>
      <w:pPr>
        <w:spacing w:after="0" w:line="211"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We may offer and sell, from time to time in one or more offerings, shares of our debt securities, common stock, securities warrants or subscription rights, or any combination thereof up to an aggregate amount of $75,000,000. We may sell these securities to or through underwriters and also to other purchasers or through agents. The names of any underwriters or agents will be stated in an accompanying prospectus supplement.</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shares of our securities, we will provide a supplement to this prospectus that contains specific information about the offering, including initial offering price to the public. The supplement may also add, update or change information contained in this prospectus. You should carefully read this prospectus, all prospectus supplements and all other documents incorporated by reference in this prospectus before you invest in our securities.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also registering 150,000 shares of our common stock, all of which are being offered by the shareholder listed under the heading “Selling Shareholder.” We will not receive any of the proceeds from the sales of common stock by the selling shareholder. The selling shareholder may sell its shares at prevailing market prices or privately negotiated prices.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“CLRO.” As of April 28, 2014, the closing sale price of our common stock as reported on NASDAQ was $10.15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42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risks. See the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of our filings with the Securities and Exchange Commission and the applicable prospectus supplement for certain factors you should consider before making an investment decision.</w:t>
      </w:r>
    </w:p>
    <w:p>
      <w:pPr>
        <w:spacing w:after="0" w:line="186"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may not be used to consummate sales of securities unless accompanied by a prospectus supplement.</w:t>
      </w:r>
    </w:p>
    <w:p>
      <w:pPr>
        <w:spacing w:after="0" w:line="221"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2014</w:t>
            </w: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52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480" w:type="dxa"/>
            <w:vAlign w:val="bottom"/>
            <w:gridSpan w:val="1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8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96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DESCRIPTION OF DEBT SECURITIES</w:t>
              </w:r>
            </w:hyperlink>
          </w:p>
        </w:tc>
        <w:tc>
          <w:tcPr>
            <w:tcW w:w="572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DESCRIPTION OF CAPITAL STOCK</w:t>
              </w:r>
            </w:hyperlink>
          </w:p>
        </w:tc>
        <w:tc>
          <w:tcPr>
            <w:tcW w:w="588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5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DESCRIPTION OF SECURITIES WARRANTS</w:t>
              </w:r>
            </w:hyperlink>
          </w:p>
        </w:tc>
        <w:tc>
          <w:tcPr>
            <w:tcW w:w="520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SUBSCRIPTION RIGHTS</w:t>
              </w:r>
            </w:hyperlink>
          </w:p>
        </w:tc>
        <w:tc>
          <w:tcPr>
            <w:tcW w:w="528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UNITS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SELLING SHAREHOLDER</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PLAN OF DISTRIBUTION</w:t>
              </w:r>
            </w:hyperlink>
          </w:p>
        </w:tc>
        <w:tc>
          <w:tcPr>
            <w:tcW w:w="60" w:type="dxa"/>
            <w:vAlign w:val="bottom"/>
            <w:tcBorders>
              <w:top w:val="single" w:sz="8" w:color="0000EE"/>
            </w:tcBorders>
          </w:tcPr>
          <w:p>
            <w:pPr>
              <w:spacing w:after="0"/>
              <w:rPr>
                <w:sz w:val="17"/>
                <w:szCs w:val="17"/>
                <w:color w:val="auto"/>
              </w:rPr>
            </w:pPr>
          </w:p>
        </w:tc>
        <w:tc>
          <w:tcPr>
            <w:tcW w:w="664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30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7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INFORMATION INCORPORATED BY REFERENCE</w:t>
              </w:r>
            </w:hyperlink>
          </w:p>
        </w:tc>
        <w:tc>
          <w:tcPr>
            <w:tcW w:w="472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You should rely only on information contained in this prospectus and any prospectus supplement and those documents incorporated by reference herein. We have not authorized anyone else to provide you with different information. Neither we nor the selling security holders are making an offer of these securities in any state where the offer is not permitted. You should not assume that the information in this prospectus or any prospectus supplement is accurate as of any date other than the date on the front cover of those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1484"/>
        <w:spacing w:after="0" w:line="290" w:lineRule="auto"/>
        <w:rPr>
          <w:sz w:val="20"/>
          <w:szCs w:val="20"/>
          <w:color w:val="auto"/>
        </w:rPr>
      </w:pPr>
      <w:r>
        <w:rPr>
          <w:rFonts w:ascii="Arial" w:cs="Arial" w:eastAsia="Arial" w:hAnsi="Arial"/>
          <w:sz w:val="16"/>
          <w:szCs w:val="16"/>
          <w:color w:val="auto"/>
        </w:rPr>
        <w:t>This prospectus is part of a “shelf” registration statement that we filed with the Securities and Exchange Commission, which we refer to as the “SEC”. Under this registration statement, we may sell any combination of the securities described in this prospectus from time to time in one or more offerings with an aggregate offering price of up to $75,000,000, and the selling shareholder may sell from time to time up to 150,000 shares of our common stock. This prospectus provides you with a general description of the securities we may offer. This prospectus does not contain all the information set forth in the registration statement as permitted by the rules of the SEC. Each time we sell securities, we will provide a supplement to this prospectus that will contain specific information about the terms of that offering. That prospectus supplement may also add, update or change information contained in this prospectus. Before purchasing any securities, you should carefully read both this prospectus and any applicable prospectus supplement, together with the additional information described in this prospectus under the headings “Where You Can Find More Information” and “Information Incorporated by Reference.”</w:t>
      </w:r>
    </w:p>
    <w:p>
      <w:pPr>
        <w:spacing w:after="0" w:line="166" w:lineRule="exact"/>
        <w:rPr>
          <w:sz w:val="20"/>
          <w:szCs w:val="20"/>
          <w:color w:val="auto"/>
        </w:rPr>
      </w:pPr>
    </w:p>
    <w:p>
      <w:pPr>
        <w:ind w:right="480" w:firstLine="1484"/>
        <w:spacing w:after="0" w:line="297" w:lineRule="auto"/>
        <w:rPr>
          <w:sz w:val="20"/>
          <w:szCs w:val="20"/>
          <w:color w:val="auto"/>
        </w:rPr>
      </w:pPr>
      <w:r>
        <w:rPr>
          <w:rFonts w:ascii="Arial" w:cs="Arial" w:eastAsia="Arial" w:hAnsi="Arial"/>
          <w:sz w:val="16"/>
          <w:szCs w:val="16"/>
          <w:color w:val="auto"/>
        </w:rPr>
        <w:t>You should rely only on the information contained in this prospectus and in any applicable prospectus supplement, including any information incorporated by reference. We have not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158"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87"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When used in this prospectus or in any prospectus supplement, the terms “we,” “us,” “our,” “ClearOne” and “the Company” refer to ClearOne, Inc., a Utah corporation, and its subsidiaries (unless the context indicates another meaning).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i w:val="1"/>
          <w:iCs w:val="1"/>
          <w:color w:val="auto"/>
        </w:rPr>
        <w:t>This is only a summary and does not contain all the information that may be important to you. You should carefully read the more detailed information contained in this prospectus, together with the additional information described in this prospectus under the headings “Where You Can Find More Information” and “Information Incorporated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121"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offices in Austin, Texas, Corvallis, Oregon, Hong Kong, the United Kingdom and Israel.</w:t>
      </w:r>
    </w:p>
    <w:p>
      <w:pPr>
        <w:spacing w:after="0" w:line="170" w:lineRule="exact"/>
        <w:rPr>
          <w:sz w:val="20"/>
          <w:szCs w:val="20"/>
          <w:color w:val="auto"/>
        </w:rPr>
      </w:pPr>
    </w:p>
    <w:p>
      <w:pPr>
        <w:ind w:right="480" w:firstLine="1484"/>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currently participate in the following markets:</w:t>
      </w:r>
    </w:p>
    <w:p>
      <w:pPr>
        <w:spacing w:after="0" w:line="131" w:lineRule="exact"/>
        <w:rPr>
          <w:sz w:val="20"/>
          <w:szCs w:val="20"/>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Multimedia streaming and control;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Our business goals are to:</w:t>
      </w:r>
    </w:p>
    <w:p>
      <w:pPr>
        <w:spacing w:after="0" w:line="131" w:lineRule="exact"/>
        <w:rPr>
          <w:sz w:val="20"/>
          <w:szCs w:val="20"/>
          <w:color w:val="auto"/>
        </w:rPr>
      </w:pPr>
    </w:p>
    <w:p>
      <w:pPr>
        <w:ind w:left="2380" w:hanging="319"/>
        <w:spacing w:after="0"/>
        <w:tabs>
          <w:tab w:leader="none" w:pos="2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 our leading global market share in professional audio conferencing products for large businesses and organizations;</w:t>
      </w:r>
    </w:p>
    <w:p>
      <w:pPr>
        <w:spacing w:after="0" w:line="153" w:lineRule="exact"/>
        <w:rPr>
          <w:rFonts w:ascii="Arial" w:cs="Arial" w:eastAsia="Arial" w:hAnsi="Arial"/>
          <w:sz w:val="16"/>
          <w:szCs w:val="16"/>
          <w:color w:val="auto"/>
        </w:rPr>
      </w:pPr>
    </w:p>
    <w:p>
      <w:pPr>
        <w:ind w:left="2380" w:right="200" w:hanging="319"/>
        <w:spacing w:after="0" w:line="277" w:lineRule="auto"/>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we recently acquired to enter new growth markets;</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Focus on the small and medium business (SMB) market with scaled, lower cost and less complex products and solutions;</w:t>
      </w:r>
    </w:p>
    <w:p>
      <w:pPr>
        <w:spacing w:after="0" w:line="153" w:lineRule="exact"/>
        <w:rPr>
          <w:rFonts w:ascii="Arial" w:cs="Arial" w:eastAsia="Arial" w:hAnsi="Arial"/>
          <w:sz w:val="16"/>
          <w:szCs w:val="16"/>
          <w:color w:val="auto"/>
        </w:rPr>
      </w:pPr>
    </w:p>
    <w:p>
      <w:pPr>
        <w:ind w:left="2380" w:right="260" w:hanging="319"/>
        <w:spacing w:after="0" w:line="277" w:lineRule="auto"/>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 on the growing adoption of unified communications and introduce new products through emerging information technology channels;</w:t>
      </w:r>
    </w:p>
    <w:p>
      <w:pPr>
        <w:spacing w:after="0" w:line="75" w:lineRule="exact"/>
        <w:rPr>
          <w:rFonts w:ascii="Arial" w:cs="Arial" w:eastAsia="Arial" w:hAnsi="Arial"/>
          <w:sz w:val="18"/>
          <w:szCs w:val="18"/>
          <w:color w:val="auto"/>
        </w:rPr>
      </w:pPr>
    </w:p>
    <w:p>
      <w:pPr>
        <w:ind w:left="2380" w:hanging="319"/>
        <w:spacing w:after="0" w:line="277" w:lineRule="auto"/>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75" w:lineRule="exact"/>
        <w:rPr>
          <w:rFonts w:ascii="Arial" w:cs="Arial" w:eastAsia="Arial" w:hAnsi="Arial"/>
          <w:sz w:val="18"/>
          <w:szCs w:val="18"/>
          <w:color w:val="auto"/>
        </w:rPr>
      </w:pPr>
    </w:p>
    <w:p>
      <w:pPr>
        <w:ind w:left="2380" w:hanging="319"/>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31" w:lineRule="exact"/>
        <w:rPr>
          <w:sz w:val="20"/>
          <w:szCs w:val="20"/>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130" w:lineRule="exact"/>
        <w:rPr>
          <w:rFonts w:ascii="Arial" w:cs="Arial" w:eastAsia="Arial" w:hAnsi="Arial"/>
          <w:sz w:val="18"/>
          <w:szCs w:val="18"/>
          <w:color w:val="auto"/>
        </w:rPr>
      </w:pPr>
    </w:p>
    <w:p>
      <w:pPr>
        <w:ind w:left="2380" w:hanging="319"/>
        <w:spacing w:after="0"/>
        <w:tabs>
          <w:tab w:leader="none" w:pos="2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32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Company Offices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Our principle executive offices are located at 5225 Wiley Post Way, Suite 500, Salt Lake City, Utah 84116 and our telephone number is</w:t>
      </w:r>
    </w:p>
    <w:p>
      <w:pPr>
        <w:spacing w:after="0" w:line="46" w:lineRule="exact"/>
        <w:rPr>
          <w:sz w:val="20"/>
          <w:szCs w:val="20"/>
          <w:color w:val="auto"/>
        </w:rPr>
      </w:pPr>
    </w:p>
    <w:p>
      <w:pPr>
        <w:ind w:left="5660" w:right="1280" w:hanging="5652"/>
        <w:spacing w:after="0" w:line="433" w:lineRule="auto"/>
        <w:tabs>
          <w:tab w:leader="none" w:pos="43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975-7200. Our website address is </w:t>
      </w:r>
      <w:r>
        <w:rPr>
          <w:rFonts w:ascii="Arial" w:cs="Arial" w:eastAsia="Arial" w:hAnsi="Arial"/>
          <w:sz w:val="18"/>
          <w:szCs w:val="18"/>
          <w:i w:val="1"/>
          <w:iCs w:val="1"/>
          <w:color w:val="auto"/>
        </w:rPr>
        <w:t>www.clearone.com</w:t>
      </w:r>
      <w:r>
        <w:rPr>
          <w:rFonts w:ascii="Arial" w:cs="Arial" w:eastAsia="Arial" w:hAnsi="Arial"/>
          <w:sz w:val="18"/>
          <w:szCs w:val="18"/>
          <w:color w:val="auto"/>
        </w:rPr>
        <w:t>. Information contained on our website does not constitute part of this prospectus.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An investment in our securities involves a high degree of risk. You should carefully consider the risk factors and all of the other information included in, or incorporated by reference into, this prospectus, including, without limitation, the risk factors included in Item 1A of our Form 10-K filed with the SEC on March 20, 2014 and other information contained or incorporated by reference in this prospectus, as updated by our subsequent filings under the Exchange Act, and the risk factors and other information contained in any applicable accompanying prospectus supplement before acquiring any such securities. The occurrence of these risks might cause you to lose all or a part of your investment in the offered securities. Please also refer to the section below entitled “Cautionary Note Regarding Forward-Looking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1484"/>
        <w:spacing w:after="0" w:line="271"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Section 27A of the Securities Act and Section 21E of the Exchange Act, which concern our business. Such statements are not guarantees of future performance, and actual results could differ materially from those expressed or implied in such statements as a result of certain factors, including those set forth in “Risk Factors” in this prospectus and those discussed in the documents we have incorporated by reference, including, without limitation, the risk factors included in Item 1A of our Form 10-K filed on March 20, 2014. In some cases, you can identify forward looking statement by terms such as, “may,” “will,” “should,” “could,” would,” “expects,” “plans,” “anticipates,” “intends,” “believes,” “estimates,” “projects,” “predicts,” “potential” and similar expressions intended to identify forward-looking statements. All statements, other than statements of historical facts, included or incorporated by reference in this prospectus that address activities, events or developments we expect, believe, intend or anticipate will or may occur in the future.</w:t>
      </w:r>
    </w:p>
    <w:p>
      <w:pPr>
        <w:spacing w:after="0" w:line="179"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Actual results or events could differ materially from the forward-looking statements we make. Among the factors that could cause actual results to differ materially are the factors discussed under “Risk Factors” in our Form 10-K for the fiscal year ended December 31, 2013. We will also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We claim the protections afforded by the Private Securities Litigation Reform Act of 1995, as amended, for our forward-looking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Except as may be described in any prospectus supplement, we currently intend to use the net proceeds from the sale of the securities for general corporate purposes, including without limitation, reduction or refinancing of debt or other corporate obligations, exploration and production efforts and for working capital. Pending the application of the net proceeds, we intend to invest our net proceeds in short-term, investment-grade securities, interest-bearing securities or guaranteed obligations of the United States or its agencies.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1484"/>
        <w:spacing w:after="0" w:line="276" w:lineRule="auto"/>
        <w:rPr>
          <w:sz w:val="20"/>
          <w:szCs w:val="20"/>
          <w:color w:val="auto"/>
        </w:rPr>
      </w:pPr>
      <w:r>
        <w:rPr>
          <w:rFonts w:ascii="Arial" w:cs="Arial" w:eastAsia="Arial" w:hAnsi="Arial"/>
          <w:sz w:val="17"/>
          <w:szCs w:val="17"/>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73"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We may conduct a portion of our operations through subsidiaries.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 self be a creditor with recognized claims against such subsidiary.</w:t>
      </w:r>
    </w:p>
    <w:p>
      <w:pPr>
        <w:spacing w:after="0" w:line="181" w:lineRule="exact"/>
        <w:rPr>
          <w:sz w:val="20"/>
          <w:szCs w:val="20"/>
          <w:color w:val="auto"/>
        </w:rPr>
      </w:pPr>
    </w:p>
    <w:p>
      <w:pPr>
        <w:ind w:right="140" w:firstLine="1484"/>
        <w:spacing w:after="0" w:line="276" w:lineRule="auto"/>
        <w:rPr>
          <w:sz w:val="20"/>
          <w:szCs w:val="20"/>
          <w:color w:val="auto"/>
        </w:rPr>
      </w:pPr>
      <w:r>
        <w:rPr>
          <w:rFonts w:ascii="Arial" w:cs="Arial" w:eastAsia="Arial" w:hAnsi="Arial"/>
          <w:sz w:val="17"/>
          <w:szCs w:val="17"/>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173"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1484"/>
        <w:spacing w:after="0" w:line="297" w:lineRule="auto"/>
        <w:rPr>
          <w:sz w:val="20"/>
          <w:szCs w:val="20"/>
          <w:color w:val="auto"/>
        </w:rPr>
      </w:pPr>
      <w:r>
        <w:rPr>
          <w:rFonts w:ascii="Arial" w:cs="Arial" w:eastAsia="Arial" w:hAnsi="Arial"/>
          <w:sz w:val="16"/>
          <w:szCs w:val="16"/>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 The debt securities will be our unsecured obligations.</w:t>
      </w:r>
    </w:p>
    <w:p>
      <w:pPr>
        <w:spacing w:after="0" w:line="158" w:lineRule="exact"/>
        <w:rPr>
          <w:sz w:val="20"/>
          <w:szCs w:val="20"/>
          <w:color w:val="auto"/>
        </w:rPr>
      </w:pPr>
    </w:p>
    <w:p>
      <w:pPr>
        <w:jc w:val="both"/>
        <w:ind w:right="600" w:firstLine="1484"/>
        <w:spacing w:after="0" w:line="264" w:lineRule="auto"/>
        <w:rPr>
          <w:sz w:val="20"/>
          <w:szCs w:val="20"/>
          <w:color w:val="auto"/>
        </w:rPr>
      </w:pPr>
      <w:r>
        <w:rPr>
          <w:rFonts w:ascii="Arial" w:cs="Arial" w:eastAsia="Arial" w:hAnsi="Arial"/>
          <w:sz w:val="18"/>
          <w:szCs w:val="18"/>
          <w:color w:val="auto"/>
        </w:rPr>
        <w:t>The subordinated debt securities will be subordinated in right of payment to the prior payment in full of all of our Senior Debt (as defined) as described under “—Subordination of Subordinated Debt Securities” and in the prospectus supplement applicable to any subordinated debt securities.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the prospectus supplement so indicates, the debt securities will be convertible into our common stock.</w:t>
      </w:r>
    </w:p>
    <w:p>
      <w:pPr>
        <w:spacing w:after="0" w:line="225"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62" w:lineRule="exact"/>
        <w:rPr>
          <w:sz w:val="20"/>
          <w:szCs w:val="20"/>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the debt securities;</w:t>
      </w:r>
    </w:p>
    <w:p>
      <w:pPr>
        <w:spacing w:after="0" w:line="117" w:lineRule="exact"/>
        <w:rPr>
          <w:rFonts w:ascii="Arial" w:cs="Arial" w:eastAsia="Arial" w:hAnsi="Arial"/>
          <w:sz w:val="18"/>
          <w:szCs w:val="18"/>
          <w:color w:val="auto"/>
        </w:rPr>
      </w:pPr>
    </w:p>
    <w:p>
      <w:pPr>
        <w:ind w:left="460" w:right="860" w:firstLine="443"/>
        <w:spacing w:after="0" w:line="277"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the related subordination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places where payments on the debt securities will be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17" w:lineRule="exact"/>
        <w:rPr>
          <w:rFonts w:ascii="Arial" w:cs="Arial" w:eastAsia="Arial" w:hAnsi="Arial"/>
          <w:sz w:val="18"/>
          <w:szCs w:val="18"/>
          <w:color w:val="auto"/>
        </w:rPr>
      </w:pPr>
    </w:p>
    <w:p>
      <w:pPr>
        <w:ind w:left="460" w:right="460" w:firstLine="443"/>
        <w:spacing w:after="0" w:line="308" w:lineRule="auto"/>
        <w:tabs>
          <w:tab w:leader="none" w:pos="1243"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38" w:lineRule="exact"/>
        <w:rPr>
          <w:rFonts w:ascii="Arial" w:cs="Arial" w:eastAsia="Arial" w:hAnsi="Arial"/>
          <w:sz w:val="17"/>
          <w:szCs w:val="17"/>
          <w:color w:val="auto"/>
        </w:rPr>
      </w:pPr>
    </w:p>
    <w:p>
      <w:pPr>
        <w:ind w:left="1240" w:hanging="33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applicable to the debt securities;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w:t>
      </w:r>
    </w:p>
    <w:p>
      <w:pPr>
        <w:spacing w:after="0" w:line="225" w:lineRule="exact"/>
        <w:rPr>
          <w:sz w:val="20"/>
          <w:szCs w:val="20"/>
          <w:color w:val="auto"/>
        </w:rPr>
      </w:pPr>
    </w:p>
    <w:p>
      <w:pPr>
        <w:ind w:right="120" w:firstLine="1484"/>
        <w:spacing w:after="0" w:line="297" w:lineRule="auto"/>
        <w:rPr>
          <w:sz w:val="20"/>
          <w:szCs w:val="20"/>
          <w:color w:val="auto"/>
        </w:rPr>
      </w:pPr>
      <w:r>
        <w:rPr>
          <w:rFonts w:ascii="Arial" w:cs="Arial" w:eastAsia="Arial" w:hAnsi="Arial"/>
          <w:sz w:val="16"/>
          <w:szCs w:val="16"/>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121"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The prospectus supplement relating to any subordinated debt securities will summarize the subordination provisions of the Subordinated Indenture applicable to that series including:</w:t>
      </w:r>
    </w:p>
    <w:p>
      <w:pPr>
        <w:spacing w:after="0" w:line="77" w:lineRule="exact"/>
        <w:rPr>
          <w:sz w:val="20"/>
          <w:szCs w:val="20"/>
          <w:color w:val="auto"/>
        </w:rPr>
      </w:pPr>
    </w:p>
    <w:p>
      <w:pPr>
        <w:ind w:left="440" w:right="220" w:hanging="324"/>
        <w:spacing w:after="0" w:line="34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29" w:lineRule="exact"/>
        <w:rPr>
          <w:rFonts w:ascii="Arial" w:cs="Arial" w:eastAsia="Arial" w:hAnsi="Arial"/>
          <w:sz w:val="16"/>
          <w:szCs w:val="16"/>
          <w:color w:val="auto"/>
        </w:rPr>
      </w:pPr>
    </w:p>
    <w:p>
      <w:pPr>
        <w:ind w:left="440" w:right="320" w:hanging="324"/>
        <w:spacing w:after="0" w:line="308"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51" w:lineRule="exact"/>
        <w:rPr>
          <w:rFonts w:ascii="Arial" w:cs="Arial" w:eastAsia="Arial" w:hAnsi="Arial"/>
          <w:sz w:val="17"/>
          <w:szCs w:val="17"/>
          <w:color w:val="auto"/>
        </w:rPr>
      </w:pPr>
    </w:p>
    <w:p>
      <w:pPr>
        <w:ind w:left="440" w:right="12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The prospectus supplement will also describe as of a recent date the approximate amount of Senior Debt to which the subordinated debt securities of that series will be subordinated.</w:t>
      </w:r>
    </w:p>
    <w:p>
      <w:pPr>
        <w:spacing w:after="0" w:line="170"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81"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w:t>
      </w:r>
    </w:p>
    <w:p>
      <w:pPr>
        <w:spacing w:after="0" w:line="170" w:lineRule="exact"/>
        <w:rPr>
          <w:sz w:val="20"/>
          <w:szCs w:val="20"/>
          <w:color w:val="auto"/>
        </w:rPr>
      </w:pPr>
    </w:p>
    <w:p>
      <w:pPr>
        <w:ind w:right="320" w:firstLine="1484"/>
        <w:spacing w:after="0" w:line="264" w:lineRule="auto"/>
        <w:rPr>
          <w:sz w:val="20"/>
          <w:szCs w:val="20"/>
          <w:color w:val="auto"/>
        </w:rPr>
      </w:pPr>
      <w:r>
        <w:rPr>
          <w:rFonts w:ascii="Arial" w:cs="Arial" w:eastAsia="Arial" w:hAnsi="Arial"/>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w:t>
      </w:r>
    </w:p>
    <w:p>
      <w:pPr>
        <w:spacing w:after="0" w:line="181" w:lineRule="exact"/>
        <w:rPr>
          <w:sz w:val="20"/>
          <w:szCs w:val="20"/>
          <w:color w:val="auto"/>
        </w:rPr>
      </w:pPr>
    </w:p>
    <w:p>
      <w:pPr>
        <w:ind w:right="40" w:firstLine="1484"/>
        <w:spacing w:after="0" w:line="270" w:lineRule="auto"/>
        <w:rPr>
          <w:sz w:val="20"/>
          <w:szCs w:val="20"/>
          <w:color w:val="auto"/>
        </w:rPr>
      </w:pPr>
      <w:r>
        <w:rPr>
          <w:rFonts w:ascii="Arial" w:cs="Arial" w:eastAsia="Arial" w:hAnsi="Arial"/>
          <w:sz w:val="17"/>
          <w:szCs w:val="17"/>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2" w:lineRule="exact"/>
        <w:rPr>
          <w:sz w:val="20"/>
          <w:szCs w:val="20"/>
          <w:color w:val="auto"/>
        </w:rPr>
      </w:pPr>
    </w:p>
    <w:p>
      <w:pPr>
        <w:ind w:right="160" w:firstLine="1484"/>
        <w:spacing w:after="0" w:line="276" w:lineRule="auto"/>
        <w:rPr>
          <w:sz w:val="20"/>
          <w:szCs w:val="20"/>
          <w:color w:val="auto"/>
        </w:rPr>
      </w:pPr>
      <w:r>
        <w:rPr>
          <w:rFonts w:ascii="Arial" w:cs="Arial" w:eastAsia="Arial" w:hAnsi="Arial"/>
          <w:sz w:val="17"/>
          <w:szCs w:val="17"/>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88"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73" w:lineRule="exact"/>
        <w:rPr>
          <w:sz w:val="20"/>
          <w:szCs w:val="20"/>
          <w:color w:val="auto"/>
        </w:rPr>
      </w:pPr>
    </w:p>
    <w:p>
      <w:pPr>
        <w:ind w:left="460" w:right="60" w:firstLine="443"/>
        <w:spacing w:after="0" w:line="308" w:lineRule="auto"/>
        <w:tabs>
          <w:tab w:leader="none" w:pos="115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38"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rules of the Depositary, we shall have elected to terminate the book-entry system through the Depositary;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circumstances exist, in addition to or in lieu of those described above, as may be described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All debt securities issued in exchange for a Global Security or any portion thereof will be registered in such names as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11" w:lineRule="exact"/>
        <w:rPr>
          <w:sz w:val="20"/>
          <w:szCs w:val="20"/>
          <w:color w:val="auto"/>
        </w:rPr>
      </w:pPr>
    </w:p>
    <w:p>
      <w:pPr>
        <w:ind w:right="120" w:firstLine="1484"/>
        <w:spacing w:after="0" w:line="290" w:lineRule="auto"/>
        <w:rPr>
          <w:sz w:val="20"/>
          <w:szCs w:val="20"/>
          <w:color w:val="auto"/>
        </w:rPr>
      </w:pPr>
      <w:r>
        <w:rPr>
          <w:rFonts w:ascii="Arial" w:cs="Arial" w:eastAsia="Arial" w:hAnsi="Arial"/>
          <w:sz w:val="16"/>
          <w:szCs w:val="16"/>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66"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Trustees or the agents of ourself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spacing w:after="0" w:line="181" w:lineRule="exact"/>
        <w:rPr>
          <w:sz w:val="20"/>
          <w:szCs w:val="20"/>
          <w:color w:val="auto"/>
        </w:rPr>
      </w:pPr>
    </w:p>
    <w:p>
      <w:pPr>
        <w:ind w:right="20" w:firstLine="1484"/>
        <w:spacing w:after="0" w:line="270" w:lineRule="auto"/>
        <w:rPr>
          <w:sz w:val="20"/>
          <w:szCs w:val="20"/>
          <w:color w:val="auto"/>
        </w:rPr>
      </w:pPr>
      <w:r>
        <w:rPr>
          <w:rFonts w:ascii="Arial" w:cs="Arial" w:eastAsia="Arial" w:hAnsi="Arial"/>
          <w:sz w:val="17"/>
          <w:szCs w:val="17"/>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78"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62" w:lineRule="exact"/>
        <w:rPr>
          <w:sz w:val="20"/>
          <w:szCs w:val="20"/>
          <w:color w:val="auto"/>
        </w:rPr>
      </w:pPr>
    </w:p>
    <w:p>
      <w:pPr>
        <w:ind w:left="460" w:right="500" w:firstLine="443"/>
        <w:spacing w:after="0" w:line="259"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successor Person (if not us)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277" w:lineRule="auto"/>
        <w:tabs>
          <w:tab w:leader="none" w:pos="11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62" w:lineRule="exact"/>
        <w:rPr>
          <w:rFonts w:ascii="Arial" w:cs="Arial" w:eastAsia="Arial" w:hAnsi="Arial"/>
          <w:sz w:val="18"/>
          <w:szCs w:val="18"/>
          <w:color w:val="auto"/>
        </w:rPr>
      </w:pPr>
    </w:p>
    <w:p>
      <w:pPr>
        <w:ind w:left="460" w:right="760" w:firstLine="443"/>
        <w:spacing w:after="0" w:line="277" w:lineRule="auto"/>
        <w:tabs>
          <w:tab w:leader="none" w:pos="11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w:t>
      </w:r>
    </w:p>
    <w:p>
      <w:pPr>
        <w:spacing w:after="0" w:line="62" w:lineRule="exact"/>
        <w:rPr>
          <w:sz w:val="20"/>
          <w:szCs w:val="20"/>
          <w:color w:val="auto"/>
        </w:rPr>
      </w:pPr>
    </w:p>
    <w:p>
      <w:pPr>
        <w:ind w:left="460" w:right="40" w:firstLine="438"/>
        <w:spacing w:after="0" w:line="342" w:lineRule="auto"/>
        <w:rPr>
          <w:sz w:val="20"/>
          <w:szCs w:val="20"/>
          <w:color w:val="auto"/>
        </w:rPr>
      </w:pPr>
      <w:r>
        <w:rPr>
          <w:rFonts w:ascii="Arial" w:cs="Arial" w:eastAsia="Arial" w:hAnsi="Arial"/>
          <w:sz w:val="16"/>
          <w:szCs w:val="16"/>
          <w:color w:val="auto"/>
        </w:rPr>
        <w:t>The successor Person (if not us) will be substituted for us under the applicable Indenture with the same effect as if it had been an original party to such Indenture, and, except in the case of a lease, we will be relieved from any further obligations under such Indenture and the debt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Unless otherwise specified in the prospectus supplement, each of the following will constitute an Event of Default under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with respect to debt securities of any series:</w:t>
      </w:r>
    </w:p>
    <w:p>
      <w:pPr>
        <w:spacing w:after="0" w:line="103" w:lineRule="exact"/>
        <w:rPr>
          <w:sz w:val="20"/>
          <w:szCs w:val="20"/>
          <w:color w:val="auto"/>
        </w:rPr>
      </w:pPr>
    </w:p>
    <w:p>
      <w:pPr>
        <w:ind w:left="460" w:right="52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62" w:lineRule="exact"/>
        <w:rPr>
          <w:rFonts w:ascii="Arial" w:cs="Arial" w:eastAsia="Arial" w:hAnsi="Arial"/>
          <w:sz w:val="18"/>
          <w:szCs w:val="18"/>
          <w:color w:val="auto"/>
        </w:rPr>
      </w:pPr>
    </w:p>
    <w:p>
      <w:pPr>
        <w:ind w:left="460" w:right="940" w:firstLine="443"/>
        <w:spacing w:after="0" w:line="308" w:lineRule="auto"/>
        <w:tabs>
          <w:tab w:leader="none" w:pos="11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“—Consolidation, Merger and Sale of Assets”;</w:t>
      </w:r>
    </w:p>
    <w:p>
      <w:pPr>
        <w:spacing w:after="0" w:line="117" w:lineRule="exact"/>
        <w:rPr>
          <w:rFonts w:ascii="Arial" w:cs="Arial" w:eastAsia="Arial" w:hAnsi="Arial"/>
          <w:sz w:val="18"/>
          <w:szCs w:val="18"/>
          <w:color w:val="auto"/>
        </w:rPr>
      </w:pPr>
    </w:p>
    <w:p>
      <w:pPr>
        <w:ind w:left="460" w:right="26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225"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If an Event of Default (other than an Event of Default with respect to ClearOne,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ClearOne,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w:t>
      </w:r>
    </w:p>
    <w:p>
      <w:pPr>
        <w:spacing w:after="0" w:line="183" w:lineRule="exact"/>
        <w:rPr>
          <w:sz w:val="20"/>
          <w:szCs w:val="20"/>
          <w:color w:val="auto"/>
        </w:rPr>
      </w:pPr>
    </w:p>
    <w:p>
      <w:pPr>
        <w:ind w:right="20" w:firstLine="1484"/>
        <w:spacing w:after="0" w:line="312" w:lineRule="auto"/>
        <w:rPr>
          <w:sz w:val="20"/>
          <w:szCs w:val="20"/>
          <w:color w:val="auto"/>
        </w:rPr>
      </w:pPr>
      <w:r>
        <w:rPr>
          <w:rFonts w:ascii="Arial" w:cs="Arial" w:eastAsia="Arial" w:hAnsi="Arial"/>
          <w:sz w:val="16"/>
          <w:szCs w:val="16"/>
          <w:color w:val="auto"/>
        </w:rPr>
        <w:t>Unless otherwise specified in the prospectus supplement, 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47" w:lineRule="exact"/>
        <w:rPr>
          <w:sz w:val="20"/>
          <w:szCs w:val="20"/>
          <w:color w:val="auto"/>
        </w:rPr>
      </w:pPr>
    </w:p>
    <w:p>
      <w:pPr>
        <w:ind w:right="100" w:firstLine="1484"/>
        <w:spacing w:after="0" w:line="276" w:lineRule="auto"/>
        <w:rPr>
          <w:sz w:val="20"/>
          <w:szCs w:val="20"/>
          <w:color w:val="auto"/>
        </w:rPr>
      </w:pPr>
      <w:r>
        <w:rPr>
          <w:rFonts w:ascii="Arial" w:cs="Arial" w:eastAsia="Arial" w:hAnsi="Arial"/>
          <w:sz w:val="17"/>
          <w:szCs w:val="17"/>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3" w:lineRule="exact"/>
        <w:rPr>
          <w:sz w:val="20"/>
          <w:szCs w:val="20"/>
          <w:color w:val="auto"/>
        </w:rPr>
      </w:pPr>
    </w:p>
    <w:p>
      <w:pPr>
        <w:ind w:right="180" w:firstLine="1484"/>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62" w:lineRule="exact"/>
        <w:rPr>
          <w:sz w:val="20"/>
          <w:szCs w:val="20"/>
          <w:color w:val="auto"/>
        </w:rPr>
      </w:pPr>
    </w:p>
    <w:p>
      <w:pPr>
        <w:ind w:left="460" w:right="60" w:firstLine="443"/>
        <w:spacing w:after="0" w:line="277" w:lineRule="auto"/>
        <w:tabs>
          <w:tab w:leader="none" w:pos="11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applicable Indenture written notice of a continuing Event of Default with respect to the debt securities of that series;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w:t>
      </w:r>
    </w:p>
    <w:p>
      <w:pPr>
        <w:spacing w:after="0" w:line="170"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w:t>
      </w:r>
    </w:p>
    <w:p>
      <w:pPr>
        <w:spacing w:after="0" w:line="18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may modify or amend an Indenture without the consent of any holders of the Debt Securities in certain circumstances, including:</w:t>
      </w:r>
    </w:p>
    <w:p>
      <w:pPr>
        <w:spacing w:after="0" w:line="140" w:lineRule="exact"/>
        <w:rPr>
          <w:sz w:val="20"/>
          <w:szCs w:val="20"/>
          <w:color w:val="auto"/>
        </w:rPr>
      </w:pPr>
    </w:p>
    <w:p>
      <w:pPr>
        <w:ind w:left="460" w:right="140" w:firstLine="443"/>
        <w:spacing w:after="0" w:line="277"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and to provide for its assumption of our obligations to holders of debt securities;</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defect or inconsistency; or</w:t>
      </w:r>
    </w:p>
    <w:p>
      <w:pPr>
        <w:spacing w:after="0" w:line="117" w:lineRule="exact"/>
        <w:rPr>
          <w:rFonts w:ascii="Arial" w:cs="Arial" w:eastAsia="Arial" w:hAnsi="Arial"/>
          <w:sz w:val="18"/>
          <w:szCs w:val="18"/>
          <w:color w:val="auto"/>
        </w:rPr>
      </w:pPr>
    </w:p>
    <w:p>
      <w:pPr>
        <w:ind w:left="460" w:right="520" w:firstLine="443"/>
        <w:spacing w:after="0" w:line="277"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Debt.</w:t>
      </w:r>
    </w:p>
    <w:p>
      <w:pPr>
        <w:spacing w:after="0" w:line="170" w:lineRule="exact"/>
        <w:rPr>
          <w:sz w:val="20"/>
          <w:szCs w:val="20"/>
          <w:color w:val="auto"/>
        </w:rPr>
      </w:pPr>
    </w:p>
    <w:p>
      <w:pPr>
        <w:ind w:right="200" w:firstLine="1484"/>
        <w:spacing w:after="0" w:line="286" w:lineRule="auto"/>
        <w:rPr>
          <w:sz w:val="20"/>
          <w:szCs w:val="20"/>
          <w:color w:val="auto"/>
        </w:rPr>
      </w:pPr>
      <w:r>
        <w:rPr>
          <w:rFonts w:ascii="Arial" w:cs="Arial" w:eastAsia="Arial" w:hAnsi="Arial"/>
          <w:sz w:val="17"/>
          <w:szCs w:val="17"/>
          <w:color w:val="auto"/>
        </w:rPr>
        <w:t>Modifications and amendments of an Indenture may be made by us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57" w:lineRule="exact"/>
        <w:rPr>
          <w:sz w:val="20"/>
          <w:szCs w:val="20"/>
          <w:color w:val="auto"/>
        </w:rPr>
      </w:pPr>
    </w:p>
    <w:p>
      <w:pPr>
        <w:ind w:left="5660" w:right="2140" w:hanging="4757"/>
        <w:spacing w:after="0" w:line="449" w:lineRule="auto"/>
        <w:tabs>
          <w:tab w:leader="none" w:pos="11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or any other debt security payable upon acceleration of the Maturity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due on or any conversion right with respect to any debt security;</w:t>
      </w:r>
    </w:p>
    <w:p>
      <w:pPr>
        <w:spacing w:after="0" w:line="128" w:lineRule="exact"/>
        <w:rPr>
          <w:rFonts w:ascii="Arial" w:cs="Arial" w:eastAsia="Arial" w:hAnsi="Arial"/>
          <w:sz w:val="17"/>
          <w:szCs w:val="17"/>
          <w:color w:val="auto"/>
        </w:rPr>
      </w:pPr>
    </w:p>
    <w:p>
      <w:pPr>
        <w:ind w:left="460" w:right="48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62" w:lineRule="exact"/>
        <w:rPr>
          <w:rFonts w:ascii="Arial" w:cs="Arial" w:eastAsia="Arial" w:hAnsi="Arial"/>
          <w:sz w:val="18"/>
          <w:szCs w:val="18"/>
          <w:color w:val="auto"/>
        </w:rPr>
      </w:pPr>
    </w:p>
    <w:p>
      <w:pPr>
        <w:ind w:left="460" w:right="78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62"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such Indenture, modify such covenant in a manner adverse to such Holder.</w:t>
      </w:r>
    </w:p>
    <w:p>
      <w:pPr>
        <w:spacing w:after="0" w:line="170" w:lineRule="exact"/>
        <w:rPr>
          <w:sz w:val="20"/>
          <w:szCs w:val="20"/>
          <w:color w:val="auto"/>
        </w:rPr>
      </w:pPr>
    </w:p>
    <w:p>
      <w:pPr>
        <w:ind w:right="20" w:firstLine="1484"/>
        <w:spacing w:after="0" w:line="302"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may waive compliance by us with certain restrictive provisions of the applicable Indenture. The Holders of not less than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spacing w:after="0" w:line="154" w:lineRule="exact"/>
        <w:rPr>
          <w:sz w:val="20"/>
          <w:szCs w:val="20"/>
          <w:color w:val="auto"/>
        </w:rPr>
      </w:pPr>
    </w:p>
    <w:p>
      <w:pPr>
        <w:ind w:right="600" w:firstLine="1484"/>
        <w:spacing w:after="0" w:line="308" w:lineRule="auto"/>
        <w:rPr>
          <w:sz w:val="20"/>
          <w:szCs w:val="20"/>
          <w:color w:val="auto"/>
        </w:rPr>
      </w:pPr>
      <w:r>
        <w:rPr>
          <w:rFonts w:ascii="Arial" w:cs="Arial" w:eastAsia="Arial" w:hAnsi="Arial"/>
          <w:sz w:val="17"/>
          <w:szCs w:val="17"/>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38" w:lineRule="exact"/>
        <w:rPr>
          <w:sz w:val="20"/>
          <w:szCs w:val="20"/>
          <w:color w:val="auto"/>
        </w:rPr>
      </w:pPr>
    </w:p>
    <w:p>
      <w:pPr>
        <w:ind w:left="460" w:right="340" w:firstLine="443"/>
        <w:spacing w:after="0" w:line="277"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73"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other Affiliates, will not be deemed to be outstanding.</w:t>
      </w:r>
    </w:p>
    <w:p>
      <w:pPr>
        <w:spacing w:after="0" w:line="225" w:lineRule="exact"/>
        <w:rPr>
          <w:sz w:val="20"/>
          <w:szCs w:val="20"/>
          <w:color w:val="auto"/>
        </w:rPr>
      </w:pPr>
    </w:p>
    <w:p>
      <w:pPr>
        <w:ind w:right="60" w:firstLine="1484"/>
        <w:spacing w:after="0" w:line="291" w:lineRule="auto"/>
        <w:rPr>
          <w:sz w:val="20"/>
          <w:szCs w:val="20"/>
          <w:color w:val="auto"/>
        </w:rPr>
      </w:pPr>
      <w:r>
        <w:rPr>
          <w:rFonts w:ascii="Arial" w:cs="Arial" w:eastAsia="Arial" w:hAnsi="Arial"/>
          <w:sz w:val="16"/>
          <w:szCs w:val="16"/>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Each Indenture will be discharged and will cease to be of further effect as to all Outstanding debt securities of any series issued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 when:</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either:</w:t>
      </w:r>
    </w:p>
    <w:p>
      <w:pPr>
        <w:spacing w:after="0" w:line="117" w:lineRule="exact"/>
        <w:rPr>
          <w:sz w:val="20"/>
          <w:szCs w:val="20"/>
          <w:color w:val="auto"/>
        </w:rPr>
      </w:pPr>
    </w:p>
    <w:p>
      <w:pPr>
        <w:ind w:left="460" w:firstLine="443"/>
        <w:spacing w:after="0" w:line="264"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73" w:lineRule="exact"/>
        <w:rPr>
          <w:rFonts w:ascii="Arial" w:cs="Arial" w:eastAsia="Arial" w:hAnsi="Arial"/>
          <w:sz w:val="18"/>
          <w:szCs w:val="18"/>
          <w:color w:val="auto"/>
        </w:rPr>
      </w:pPr>
    </w:p>
    <w:p>
      <w:pPr>
        <w:ind w:left="460" w:right="140" w:firstLine="443"/>
        <w:spacing w:after="0" w:line="25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80" w:lineRule="exact"/>
        <w:rPr>
          <w:sz w:val="20"/>
          <w:szCs w:val="20"/>
          <w:color w:val="auto"/>
        </w:rPr>
      </w:pPr>
    </w:p>
    <w:p>
      <w:pPr>
        <w:ind w:left="1160" w:hanging="257"/>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paid or caused to be paid all other sums payable by us under the Indenture with respect to the debt securities of that series; and</w:t>
      </w:r>
    </w:p>
    <w:p>
      <w:pPr>
        <w:spacing w:after="0" w:line="140" w:lineRule="exact"/>
        <w:rPr>
          <w:rFonts w:ascii="Arial" w:cs="Arial" w:eastAsia="Arial" w:hAnsi="Arial"/>
          <w:sz w:val="16"/>
          <w:szCs w:val="16"/>
          <w:color w:val="auto"/>
        </w:rPr>
      </w:pPr>
    </w:p>
    <w:p>
      <w:pPr>
        <w:ind w:left="460" w:right="280" w:firstLine="443"/>
        <w:spacing w:after="0" w:line="277"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300" w:firstLine="1484"/>
        <w:spacing w:after="0" w:line="312" w:lineRule="auto"/>
        <w:rPr>
          <w:sz w:val="20"/>
          <w:szCs w:val="20"/>
          <w:color w:val="auto"/>
        </w:rPr>
      </w:pPr>
      <w:r>
        <w:rPr>
          <w:rFonts w:ascii="Arial" w:cs="Arial" w:eastAsia="Arial" w:hAnsi="Arial"/>
          <w:sz w:val="16"/>
          <w:szCs w:val="16"/>
          <w:color w:val="auto"/>
        </w:rPr>
        <w:t>If and to the extent indicated in the applicable prospectus supplement, we may elect, at our option at any time, to have our obligations discharged under provisions relating to defeasance and discharge of indebtedness, which we call “legal defeasance,” or relating to defeasance of certain restrictive covenants applied to the debt securities of any series, or to any specified part of a series, which we call “covenant defeasance”.</w:t>
      </w:r>
    </w:p>
    <w:p>
      <w:pPr>
        <w:spacing w:after="0" w:line="147"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Indentures provide that, upon our exercise of our option (if any) to have the legal defeasance provisions applied</w:t>
      </w:r>
      <w:r>
        <w:rPr>
          <w:rFonts w:ascii="Arial" w:cs="Arial" w:eastAsia="Arial" w:hAnsi="Arial"/>
          <w:sz w:val="16"/>
          <w:szCs w:val="16"/>
          <w:i w:val="1"/>
          <w:iCs w:val="1"/>
          <w:color w:val="auto"/>
        </w:rPr>
        <w:t xml:space="preserve"> </w:t>
      </w:r>
      <w:r>
        <w:rPr>
          <w:rFonts w:ascii="Arial" w:cs="Arial" w:eastAsia="Arial" w:hAnsi="Arial"/>
          <w:sz w:val="16"/>
          <w:szCs w:val="16"/>
          <w:color w:val="auto"/>
        </w:rPr>
        <w:t>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58" w:lineRule="exact"/>
        <w:rPr>
          <w:sz w:val="20"/>
          <w:szCs w:val="20"/>
          <w:color w:val="auto"/>
        </w:rPr>
      </w:pPr>
    </w:p>
    <w:p>
      <w:pPr>
        <w:ind w:left="460" w:firstLine="443"/>
        <w:spacing w:after="0" w:line="302" w:lineRule="auto"/>
        <w:tabs>
          <w:tab w:leader="none" w:pos="11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46" w:lineRule="exact"/>
        <w:rPr>
          <w:rFonts w:ascii="Arial" w:cs="Arial" w:eastAsia="Arial" w:hAnsi="Arial"/>
          <w:sz w:val="16"/>
          <w:szCs w:val="16"/>
          <w:color w:val="auto"/>
        </w:rPr>
      </w:pPr>
    </w:p>
    <w:p>
      <w:pPr>
        <w:ind w:left="460" w:right="160" w:firstLine="443"/>
        <w:spacing w:after="0" w:line="264"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applicable Indenture) to which we are a party or by which we are bound;</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78"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i w:val="1"/>
          <w:iCs w:val="1"/>
          <w:color w:val="auto"/>
        </w:rPr>
        <w:t>Covenant Defeasance</w:t>
      </w:r>
      <w:r>
        <w:rPr>
          <w:rFonts w:ascii="Arial" w:cs="Arial" w:eastAsia="Arial" w:hAnsi="Arial"/>
          <w:sz w:val="16"/>
          <w:szCs w:val="16"/>
          <w:color w:val="auto"/>
        </w:rPr>
        <w:t>. The Indentures provide that, upon our exercise of our option (if any) to have the covenant defeasance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applied to any debt securities, 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Notices to Holders of debt securities will be given by mail to the addresses of such Holders as they may appear in the Security Register.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ind w:firstLine="1484"/>
        <w:spacing w:after="0" w:line="308" w:lineRule="auto"/>
        <w:rPr>
          <w:sz w:val="20"/>
          <w:szCs w:val="20"/>
          <w:color w:val="auto"/>
        </w:rPr>
      </w:pPr>
      <w:r>
        <w:rPr>
          <w:rFonts w:ascii="Arial" w:cs="Arial" w:eastAsia="Arial" w:hAnsi="Arial"/>
          <w:sz w:val="17"/>
          <w:szCs w:val="17"/>
          <w:color w:val="auto"/>
        </w:rPr>
        <w:t>We, the Trustees and any agent of us, or a Trustee, may treat the Person in whose name a debt security is registered as the absolute owner of the debt security (whether or not such debt security may be overdue) for the purpose of making payment and for all other purposes.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Indentures and the debt securities will be governed by, and construed in accordance with, the law of the State of New York.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We will enter into the Indentures with a Trustee that is qualified to act under the Trust Indenture Act of 1939, as amended,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1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4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Our Creditor</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Each Indenture contains certain limitations on the right of the Trustee, in the event that it becomes our creditor, to obtain payment of claims in certain cases, or to realize on certain property received in respect of any such claim as security or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1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In addition to other certificates or opinions that may be specifically required by other provisions of an Indenture, every application by us for action by the Trustee must be accompanied by an Officers’ Certificate and an Opinion of Counsel stating that, in the opinion of the signers, all conditions precedent to such action have been complied with by 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1484"/>
        <w:spacing w:after="0" w:line="257" w:lineRule="auto"/>
        <w:rPr>
          <w:sz w:val="20"/>
          <w:szCs w:val="20"/>
          <w:color w:val="auto"/>
        </w:rPr>
      </w:pPr>
      <w:r>
        <w:rPr>
          <w:rFonts w:ascii="Arial" w:cs="Arial" w:eastAsia="Arial" w:hAnsi="Arial"/>
          <w:sz w:val="18"/>
          <w:szCs w:val="18"/>
          <w:color w:val="auto"/>
        </w:rPr>
        <w:t>We may offer common stock, $0.001 par value per share, under this prospectus. Our authorized capital stock currently consists of 50,000,000 shares of common stock. At April 29, 2014, 9,309,529 shares of common stock were issued and outstanding. The following summary of certain provisions of our capital stock does not purport to be complete and is subject to and is qualified in its entirety by our articles of incorporation and by-laws, which are incorporated in this prospectus by reference as exhibits to the registration statement of which this prospectus forms a part, and by the provisions of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80" w:firstLine="1484"/>
        <w:spacing w:after="0" w:line="257" w:lineRule="auto"/>
        <w:rPr>
          <w:sz w:val="20"/>
          <w:szCs w:val="20"/>
          <w:color w:val="auto"/>
        </w:rPr>
      </w:pPr>
      <w:r>
        <w:rPr>
          <w:rFonts w:ascii="Arial" w:cs="Arial" w:eastAsia="Arial" w:hAnsi="Arial"/>
          <w:sz w:val="18"/>
          <w:szCs w:val="18"/>
          <w:color w:val="auto"/>
        </w:rPr>
        <w:t>The Company has fifty million (50,000,000) shares of common stock, $0.001 par value per share, authorized by its Amended and Restated Articles of Incorporation. The holders of the common stock of the Company shall be entitled at all meetings of shareholders to one vote for each share of such stock held by them. Cumulative voting is expressly prohibited by the Amended and Restated Articles of Incorporation. With respect to any matter, a quorum shall be present at a meeting of shareholders if the holders of a majority of the shares entitled to vote on that matter are represented at the meeting in person or by proxy.</w:t>
      </w:r>
    </w:p>
    <w:p>
      <w:pPr>
        <w:spacing w:after="0" w:line="188"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40" w:firstLine="1484"/>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60" w:firstLine="1484"/>
        <w:spacing w:after="0" w:line="270" w:lineRule="auto"/>
        <w:rPr>
          <w:sz w:val="20"/>
          <w:szCs w:val="20"/>
          <w:color w:val="auto"/>
        </w:rPr>
      </w:pPr>
      <w:r>
        <w:rPr>
          <w:rFonts w:ascii="Arial" w:cs="Arial" w:eastAsia="Arial" w:hAnsi="Arial"/>
          <w:sz w:val="17"/>
          <w:szCs w:val="17"/>
          <w:color w:val="auto"/>
        </w:rPr>
        <w:t>We are a Utah corporation are subject to the Utah Control Shares Acquisitions Act, Utah Code Ann. § 61-6-1 et seq., (the “Control Share Provisions”). Under the Control Share Provisions, an acquisition of the power to vote shares of an issuing public corporation which allows for the exercise of voting power within certain ranges causes those shares to lose their voting rights. Specifically, an acquiring person who engages in a control share acquisition of an issuing public corporation, such as the Company, may not exercise voting rights on any “control shares” unless such voting rights are restored by a majority of all votes entitled to be cast by the disinterested shareholders of the issuing public corporation. Under the Control Share Provisions, “control shares” mean shares acquired by a person that, when added to all other shares of the issuing public corporation owned by that person or in respect of which that person may exercise or direct the exercise of voting power, would otherwise entitle that person to exercise or direct the exercise of voting power of the issuing public corporation in the election of directors within any of the following ranges: (a) one-fifth or more but less than one-third; (b) one-third or more but less than a majority; or (c) a majority or more. Any shares below the one-fifth threshold are expressly not “control shares” and may continue to be voted by the holder of such shares.</w:t>
      </w:r>
    </w:p>
    <w:p>
      <w:pPr>
        <w:spacing w:after="0" w:line="178"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The acquiring person may require the corporation to hold a special shareholder’s meeting to consider whether voting rights should be granted to the control shares. To require a special meeting, the acquiring person must: (a) file an acquiring person statement with certain required information with the corporation, including that the acquiring person statement is given pursuant to the Control Share Provisions; and (b) agree to pay the special meeting expenses. After receiving such request, the Control Share Provisions state that the directors shall call a special meeting of shareholders within a certain time as set forth in the Control Share Provisions, for the purpose of considering the voting rights to be accorded the shares acquired or to be acquired in the control share acquisition. The Control Share Provisions further provide that if no such request is made, the voting rights to be accorded the shares acquired in the control shares acquisition shall be presented to the next special or annual meeting of shareholders.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Under the Control Share Provisions, “interested shares” are not eligible to vote on a proposal to consider the restoration of such shares’ voting rights. “Interested shares” are defined in the Control Share Provisions as the shares as to which any of the following persons may exercise or direct the exercise of the voting power of the corporation, on or after the applicable record date, in the election of directors:</w:t>
      </w:r>
    </w:p>
    <w:p>
      <w:pPr>
        <w:spacing w:after="0" w:line="87" w:lineRule="exact"/>
        <w:rPr>
          <w:sz w:val="20"/>
          <w:szCs w:val="20"/>
          <w:color w:val="auto"/>
        </w:rPr>
      </w:pPr>
    </w:p>
    <w:p>
      <w:pPr>
        <w:ind w:left="1920" w:hanging="440"/>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acquiring person or member of a group with respect to a control share acquisition;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officer of the issuing public corporation;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employee of the issuing public corporation who is also a director of the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 of Shareholders</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bylaws provide that any action which may be taken at a meeting of the shareholders may be taken without a meeting and without prior notice if one or more consents in writing, setting forth the action so taken, shall be signed by the holders of outstanding shares having not less than the minimum number of votes that would be necessary to authorize or take such action at a meeting at which all shareholders entitled to vote with respect to the subject matter thereof were present and voted. Special meetings of the shareholders may be called by holders of at least 10% of all the votes entitled to be cast on any issue proposed to be considered at the proposed special meeting or by the Chairman of the Board, the President or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and registrar for our common stock is Broadridge.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WARRANTS</w:t>
      </w:r>
    </w:p>
    <w:p>
      <w:pPr>
        <w:spacing w:after="0" w:line="22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may issue warrants for the purchase of our common stock and. Warrants may be issued independently or together with debt securities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6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You should refer to the prospectus supplement relating to a particular issue of warrants for the terms of and information relating to the warrants, including, where applicable:</w:t>
      </w:r>
    </w:p>
    <w:p>
      <w:pPr>
        <w:spacing w:after="0" w:line="62" w:lineRule="exact"/>
        <w:rPr>
          <w:sz w:val="20"/>
          <w:szCs w:val="20"/>
          <w:color w:val="auto"/>
        </w:rPr>
      </w:pPr>
    </w:p>
    <w:p>
      <w:pPr>
        <w:ind w:left="460" w:right="24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exercise of the warrants and the price at which such number of shares of common stock may be purchased upon exercise of the warrants;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commences and the date on which such right expires (the “Expiration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the warrants outstanding as of the most recent practicable date;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158"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relating to such rights.</w:t>
      </w:r>
    </w:p>
    <w:p>
      <w:pPr>
        <w:spacing w:after="0" w:line="170" w:lineRule="exact"/>
        <w:rPr>
          <w:sz w:val="20"/>
          <w:szCs w:val="20"/>
          <w:color w:val="auto"/>
        </w:rPr>
      </w:pPr>
    </w:p>
    <w:p>
      <w:pPr>
        <w:ind w:right="160" w:firstLine="1484"/>
        <w:spacing w:after="0" w:line="302" w:lineRule="auto"/>
        <w:rPr>
          <w:sz w:val="20"/>
          <w:szCs w:val="20"/>
          <w:color w:val="auto"/>
        </w:rPr>
      </w:pPr>
      <w:r>
        <w:rPr>
          <w:rFonts w:ascii="Arial" w:cs="Arial" w:eastAsia="Arial" w:hAnsi="Arial"/>
          <w:sz w:val="16"/>
          <w:szCs w:val="16"/>
          <w:color w:val="auto"/>
        </w:rPr>
        <w:t>We may issue subscription rights to purchase our equity or debt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54"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76"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 payable for our equity or debt securities upon the exercise of the subscription rights;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our equity or debt securities that may be purchased per each subscription right;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440" w:right="42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subscription rights shall commence, and the date on which the subscription rights shall expire;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and</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jc w:val="both"/>
        <w:ind w:right="120" w:firstLine="148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debt securities, warrants, subscription rights or any combination of such securities.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154" w:lineRule="exact"/>
        <w:rPr>
          <w:sz w:val="20"/>
          <w:szCs w:val="20"/>
          <w:color w:val="auto"/>
        </w:rPr>
      </w:pPr>
    </w:p>
    <w:p>
      <w:pPr>
        <w:ind w:left="440" w:hanging="324"/>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units and of any of the common stock, debt securities, warrants or subscription rights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“Description of Securities Warrants,” and “Description of Subscription Rights” will apply to each unit and to any common stock, debt securities, warrants and subscription rights in each unit,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This prospectus covers the sale by the selling shareholder from time to time of up to 150,000 shares of common stock.</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shows for the selling shareholder:</w:t>
      </w:r>
    </w:p>
    <w:p>
      <w:pPr>
        <w:spacing w:after="0" w:line="131" w:lineRule="exact"/>
        <w:rPr>
          <w:sz w:val="20"/>
          <w:szCs w:val="20"/>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him or her,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common stock covered by this prospectus, and</w:t>
      </w:r>
    </w:p>
    <w:p>
      <w:pPr>
        <w:spacing w:after="0" w:line="130" w:lineRule="exact"/>
        <w:rPr>
          <w:rFonts w:ascii="Arial" w:cs="Arial" w:eastAsia="Arial" w:hAnsi="Arial"/>
          <w:sz w:val="18"/>
          <w:szCs w:val="18"/>
          <w:color w:val="auto"/>
        </w:rPr>
      </w:pPr>
    </w:p>
    <w:p>
      <w:pPr>
        <w:ind w:left="1920" w:right="100" w:hanging="440"/>
        <w:spacing w:after="0" w:line="342" w:lineRule="auto"/>
        <w:tabs>
          <w:tab w:leader="none" w:pos="1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shares of common stock to be retained after this offering, if any, assuming the selling shareholder sell the maximum number of shares (and percentage of outstanding shares of common stock owned after this offering, if more than 1%).</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is not required, and may choose not, to sell any of its shares of common stock.</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0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 Be Sold</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Offering</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in Offering</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Offering(2)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Doran M. Oster (1)</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5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Doran M. Oster owns approximately owns approximately 1.6% of the Company prior to the Offering. Mr. Oster is not a registered broker dealer or the affiliate of a registered broker dealer.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all shares of common stock offered hereby are sold.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Offering</w:t>
      </w:r>
    </w:p>
    <w:p>
      <w:pPr>
        <w:spacing w:after="0" w:line="117"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We may sell the securities from time to time pursuant to underwritten public offerings, negotiated transactions, block trades or a combination of these methods, or through any other method permitted by applicable law. We may sell the securities in and outside the United States through underwriters, brokers or dealers, agents or directly to one or more purchasers, including our affiliates and shareholders. We may sell securities through a rights offering, forward contracts or similar arrangements. We may distribute the securities from time to time in one or more transactions:</w:t>
      </w:r>
    </w:p>
    <w:p>
      <w:pPr>
        <w:spacing w:after="0" w:line="77" w:lineRule="exact"/>
        <w:rPr>
          <w:sz w:val="20"/>
          <w:szCs w:val="20"/>
          <w:color w:val="auto"/>
        </w:rPr>
      </w:pPr>
    </w:p>
    <w:p>
      <w:pPr>
        <w:ind w:left="1920" w:hanging="440"/>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fixed price or prices, which may be changed;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prospectus supplement or supplements will describe the terms of the offering, including the following information:</w:t>
      </w:r>
    </w:p>
    <w:p>
      <w:pPr>
        <w:spacing w:after="0" w:line="131" w:lineRule="exact"/>
        <w:rPr>
          <w:sz w:val="20"/>
          <w:szCs w:val="20"/>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any underwriters, brokers, dealers or agents;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public offering price;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right="200" w:firstLine="1484"/>
        <w:spacing w:after="0" w:line="26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of them. The underwriters may change from time to time any initial public offering price and any discounts or concessions allowed or reallowed or paid to dealers.</w:t>
      </w:r>
    </w:p>
    <w:p>
      <w:pPr>
        <w:spacing w:after="0" w:line="187"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stabilizing transactions, over-allotment transactions, syndicate covering transactions and penalty bids in accordance with Regulation M under the Exchange Act of 1934, as amended.</w:t>
      </w:r>
    </w:p>
    <w:p>
      <w:pPr>
        <w:spacing w:after="0" w:line="87" w:lineRule="exact"/>
        <w:rPr>
          <w:sz w:val="20"/>
          <w:szCs w:val="20"/>
          <w:color w:val="auto"/>
        </w:rPr>
      </w:pPr>
    </w:p>
    <w:p>
      <w:pPr>
        <w:ind w:left="1920" w:right="320" w:hanging="440"/>
        <w:spacing w:after="0" w:line="27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75" w:lineRule="exact"/>
        <w:rPr>
          <w:rFonts w:ascii="Arial" w:cs="Arial" w:eastAsia="Arial" w:hAnsi="Arial"/>
          <w:sz w:val="18"/>
          <w:szCs w:val="18"/>
          <w:color w:val="auto"/>
        </w:rPr>
      </w:pPr>
    </w:p>
    <w:p>
      <w:pPr>
        <w:ind w:left="1920" w:hanging="440"/>
        <w:spacing w:after="0" w:line="273" w:lineRule="auto"/>
        <w:tabs>
          <w:tab w:leader="none" w:pos="1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3" w:lineRule="exact"/>
        <w:rPr>
          <w:rFonts w:ascii="Arial" w:cs="Arial" w:eastAsia="Arial" w:hAnsi="Arial"/>
          <w:sz w:val="17"/>
          <w:szCs w:val="17"/>
          <w:color w:val="auto"/>
        </w:rPr>
      </w:pPr>
    </w:p>
    <w:p>
      <w:pPr>
        <w:ind w:left="1920" w:hanging="440"/>
        <w:spacing w:after="0" w:line="291" w:lineRule="auto"/>
        <w:tabs>
          <w:tab w:leader="none" w:pos="1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2" w:lineRule="exact"/>
        <w:rPr>
          <w:rFonts w:ascii="Arial" w:cs="Arial" w:eastAsia="Arial" w:hAnsi="Arial"/>
          <w:sz w:val="16"/>
          <w:szCs w:val="16"/>
          <w:color w:val="auto"/>
        </w:rPr>
      </w:pPr>
    </w:p>
    <w:p>
      <w:pPr>
        <w:ind w:left="1920" w:hanging="440"/>
        <w:spacing w:after="0" w:line="342" w:lineRule="auto"/>
        <w:tabs>
          <w:tab w:leader="none" w:pos="1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24"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offered securities or preventing or retarding a decline in the market price of the offered securities. As a result, the price of the offered securities may be higher than the price that might otherwise exist in the open market. These transactions may be effected on the American Stock Exchange or otherwise and, if commenced, may be discontinued at any time.</w:t>
      </w:r>
    </w:p>
    <w:p>
      <w:pPr>
        <w:spacing w:after="0" w:line="187" w:lineRule="exact"/>
        <w:rPr>
          <w:sz w:val="20"/>
          <w:szCs w:val="20"/>
          <w:color w:val="auto"/>
        </w:rPr>
      </w:pPr>
    </w:p>
    <w:p>
      <w:pPr>
        <w:ind w:right="220" w:firstLine="1484"/>
        <w:spacing w:after="0" w:line="25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those securities. We will include in the prospectus supplement the names of the dealers and the terms of the transaction.</w:t>
      </w:r>
    </w:p>
    <w:p>
      <w:pPr>
        <w:spacing w:after="0" w:line="187"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color w:val="auto"/>
        </w:rPr>
        <w:t>Pursuant to any standby underwriting agreement entered into in connection with a subscription rights offering to our shareholders, persons acting as standby underwriters may receive a commitment fee for all securities underlying the subscription rights that the underwriter commits to purchase on a standby basis. Additionally, prior to the expiration date with respect to any subscription rights, any standby underwriters in a subscription rights offering to our shareholders may offer such securities on a when-issued basis, including securities to be acquired through the purchase and exercise of subscription rights, at prices set from time to time by the standby underwriters. After the expiration date with respect to such subscription rights, the underwriters may offer securities of the type underlying the subscription rights, whether acquired pursuant to a standby underwriting agreement, the exercise of the subscription rights or the purchase of such securities in the market, to the public at a price or prices to be determined by the underwriters. The standby underwriters may thus realize profits or losses independent of the underwriting discounts or commissions paid by us. If we do not enter into a standby underwriting arrangement in connection with a subscription rights offering to our shareholders, we may elect to retain a dealer-manager to manage such a subscription rights offering for us. Any such dealer-manager may offer securities of the type underlying the subscription rights acquired or to be acquired pursuant to the purchase and exercise of subscription rights and may thus realize profits or losses independent of any dealer-manager fee paid by us.</w:t>
      </w:r>
    </w:p>
    <w:p>
      <w:pPr>
        <w:spacing w:after="0" w:line="173" w:lineRule="exact"/>
        <w:rPr>
          <w:sz w:val="20"/>
          <w:szCs w:val="20"/>
          <w:color w:val="auto"/>
        </w:rPr>
      </w:pPr>
    </w:p>
    <w:p>
      <w:pPr>
        <w:ind w:right="300" w:firstLine="1484"/>
        <w:spacing w:after="0" w:line="286" w:lineRule="auto"/>
        <w:rPr>
          <w:sz w:val="20"/>
          <w:szCs w:val="20"/>
          <w:color w:val="auto"/>
        </w:rPr>
      </w:pPr>
      <w:r>
        <w:rPr>
          <w:rFonts w:ascii="Arial" w:cs="Arial" w:eastAsia="Arial" w:hAnsi="Arial"/>
          <w:sz w:val="17"/>
          <w:szCs w:val="17"/>
          <w:color w:val="auto"/>
        </w:rPr>
        <w:t>We may also sell the securities through agents we designate from time to time. In the prospectus supplement, we will name any agent involved in the offer or sale of the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Underwriters, brokers, dealers or agents, could make sales in privately negotiated transactions and/or any other method permitted by law, including sales deemed to be an “at the market” offering as defined in Rule 415 promulgated under the Securities Act, which includes sales made directly on or through the New York Stock Exchange, the existing trading market for our common stock, or sales made to or through a market maker other than on an exchange.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may sell the securities directly. In that event, no underwriters, brokers, dealers or agents would be involved.</w:t>
      </w:r>
    </w:p>
    <w:p>
      <w:pPr>
        <w:spacing w:after="0" w:line="225" w:lineRule="exact"/>
        <w:rPr>
          <w:sz w:val="20"/>
          <w:szCs w:val="20"/>
          <w:color w:val="auto"/>
        </w:rPr>
      </w:pPr>
    </w:p>
    <w:p>
      <w:pPr>
        <w:ind w:right="160" w:firstLine="1484"/>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of 1933 with respect to any sale of those securities. We will describe the terms of any such sales in the prospectus supplement.</w:t>
      </w:r>
    </w:p>
    <w:p>
      <w:pPr>
        <w:spacing w:after="0" w:line="147" w:lineRule="exact"/>
        <w:rPr>
          <w:sz w:val="20"/>
          <w:szCs w:val="20"/>
          <w:color w:val="auto"/>
        </w:rPr>
      </w:pPr>
    </w:p>
    <w:p>
      <w:pPr>
        <w:ind w:right="220" w:firstLine="1484"/>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87" w:lineRule="exact"/>
        <w:rPr>
          <w:sz w:val="20"/>
          <w:szCs w:val="20"/>
          <w:color w:val="auto"/>
        </w:rPr>
      </w:pPr>
    </w:p>
    <w:p>
      <w:pPr>
        <w:ind w:right="80" w:firstLine="1484"/>
        <w:spacing w:after="0" w:line="286" w:lineRule="auto"/>
        <w:rPr>
          <w:sz w:val="20"/>
          <w:szCs w:val="20"/>
          <w:color w:val="auto"/>
        </w:rPr>
      </w:pPr>
      <w:r>
        <w:rPr>
          <w:rFonts w:ascii="Arial" w:cs="Arial" w:eastAsia="Arial" w:hAnsi="Arial"/>
          <w:sz w:val="17"/>
          <w:szCs w:val="17"/>
          <w:color w:val="auto"/>
        </w:rPr>
        <w:t>We may have agreements with the agents, dealers and underwriters to indemnify them against civil liabilities, including liabilities under the Securities Act of 1933, or to contribute with respect to payments that the agents, dealers or underwriters may be required to make. Agents, dealers and underwriters may engage in transactions with us or perform services for us in the ordinary course of their businesses.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17" w:lineRule="exact"/>
        <w:rPr>
          <w:sz w:val="20"/>
          <w:szCs w:val="20"/>
          <w:color w:val="auto"/>
        </w:rPr>
      </w:pPr>
    </w:p>
    <w:p>
      <w:pPr>
        <w:jc w:val="both"/>
        <w:ind w:right="80" w:firstLine="1484"/>
        <w:spacing w:after="0" w:line="312" w:lineRule="auto"/>
        <w:rPr>
          <w:sz w:val="20"/>
          <w:szCs w:val="20"/>
          <w:color w:val="auto"/>
        </w:rPr>
      </w:pPr>
      <w:r>
        <w:rPr>
          <w:rFonts w:ascii="Arial" w:cs="Arial" w:eastAsia="Arial" w:hAnsi="Arial"/>
          <w:sz w:val="16"/>
          <w:szCs w:val="16"/>
          <w:color w:val="auto"/>
        </w:rPr>
        <w:t>As used in this prospectus, “selling shareholder” includes any donees, pledgees, transferees or other successors in interest who will hold the selling shareholder’s shares after the date of this prospectus. We are paying the costs, expenses and fees of registering the common stock, but the selling shareholder will pay any underwriting or brokerage commissions and similar selling expenses relating to the sale of the shares of common stock.</w:t>
      </w:r>
    </w:p>
    <w:p>
      <w:pPr>
        <w:spacing w:after="0" w:line="147"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The selling shareholder may sell, from time to time, any or all of its shares of our common stock on the NASDAQ Capital Market or such other applicable stock exchange, market or trading facility on which our shares are then traded or in private transactions. A selling shareholder may sell his or her shares at prevailing market prices or privately negotiated prices.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selling shareholder may sell some or all of its common stock through:</w:t>
      </w:r>
    </w:p>
    <w:p>
      <w:pPr>
        <w:spacing w:after="0" w:line="131" w:lineRule="exact"/>
        <w:rPr>
          <w:sz w:val="20"/>
          <w:szCs w:val="20"/>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brokers’ transactions which may include long or short sales;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transactions involving cross or block trades or otherwise;</w:t>
      </w:r>
    </w:p>
    <w:p>
      <w:pPr>
        <w:spacing w:after="0" w:line="130" w:lineRule="exact"/>
        <w:rPr>
          <w:rFonts w:ascii="Arial" w:cs="Arial" w:eastAsia="Arial" w:hAnsi="Arial"/>
          <w:sz w:val="18"/>
          <w:szCs w:val="18"/>
          <w:color w:val="auto"/>
        </w:rPr>
      </w:pPr>
    </w:p>
    <w:p>
      <w:pPr>
        <w:ind w:left="1920" w:right="640" w:hanging="440"/>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purchases by brokers, dealers or underwriters as principal and resale by those purchasers for their own accounts under this prospectus;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makers or into an existing market for our common stock;</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ways not involving market makers or established trading markets, including direct sales to purchasers or sales effected through agents;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combination of the selling options described in this prospectus, or by any other legally available means.</w:t>
      </w:r>
    </w:p>
    <w:p>
      <w:pPr>
        <w:spacing w:after="0" w:line="225" w:lineRule="exact"/>
        <w:rPr>
          <w:sz w:val="20"/>
          <w:szCs w:val="20"/>
          <w:color w:val="auto"/>
        </w:rPr>
      </w:pPr>
    </w:p>
    <w:p>
      <w:pPr>
        <w:jc w:val="both"/>
        <w:ind w:right="100" w:firstLine="1484"/>
        <w:spacing w:after="0" w:line="286" w:lineRule="auto"/>
        <w:rPr>
          <w:sz w:val="20"/>
          <w:szCs w:val="20"/>
          <w:color w:val="auto"/>
        </w:rPr>
      </w:pPr>
      <w:r>
        <w:rPr>
          <w:rFonts w:ascii="Arial" w:cs="Arial" w:eastAsia="Arial" w:hAnsi="Arial"/>
          <w:sz w:val="17"/>
          <w:szCs w:val="17"/>
          <w:color w:val="auto"/>
        </w:rPr>
        <w:t>The selling shareholder may enter into hedging transactions with broker-dealers who may engage in short sales of our common stock in the course of hedging the positions they assume. The selling shareholder also may enter into option or other transactions with broker-dealers that require the delivery of the common stock by those broker-dealers. Thereafter, the shares may be resold under this prospectus.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We will pay the costs and expenses of the registration and offering of the common stock offered hereby. We will not pay any underwriting fees, discounts and selling commissions with respect to a selling shareholder’s sale of its common stock, which will be paid by such selling shareholder. 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3"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The selling shareholder and any broker-dealers involved in the sale or resale of our common stock may qualify as “underwriters” within the meaning of Section 2(a)(11) of the Securities Act. In addition, the broker-dealers’ commissions, discounts or concessions may qualify as underwriters’ compensation under the Securities Act. If any selling shareholder or any broker-dealer qualifies as an “underwriter,” they will be subject to the prospectus delivery requirements of Rule 153 of the Securities Act, which may include delivery through the facilities of the NASD.</w:t>
      </w:r>
    </w:p>
    <w:p>
      <w:pPr>
        <w:spacing w:after="0" w:line="171" w:lineRule="exact"/>
        <w:rPr>
          <w:sz w:val="20"/>
          <w:szCs w:val="20"/>
          <w:color w:val="auto"/>
        </w:rPr>
      </w:pPr>
    </w:p>
    <w:p>
      <w:pPr>
        <w:jc w:val="both"/>
        <w:ind w:right="100" w:firstLine="1484"/>
        <w:spacing w:after="0" w:line="264" w:lineRule="auto"/>
        <w:rPr>
          <w:sz w:val="20"/>
          <w:szCs w:val="20"/>
          <w:color w:val="auto"/>
        </w:rPr>
      </w:pPr>
      <w:r>
        <w:rPr>
          <w:rFonts w:ascii="Arial" w:cs="Arial" w:eastAsia="Arial" w:hAnsi="Arial"/>
          <w:sz w:val="18"/>
          <w:szCs w:val="18"/>
          <w:color w:val="auto"/>
        </w:rPr>
        <w:t>In conjunction with sales to or through brokers, dealers or agents, the selling shareholder may agree to indemnify them against liabilities arising under the Securities Act. We know of no existing arrangements between the selling shareholder, any other shareholder, broker, dealer, underwriter or agent relating to the sale or distribution of our common stock.</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addition to selling its shares of common stock under this prospectus, the selling shareholder may:</w:t>
      </w:r>
    </w:p>
    <w:p>
      <w:pPr>
        <w:spacing w:after="0" w:line="131" w:lineRule="exact"/>
        <w:rPr>
          <w:sz w:val="20"/>
          <w:szCs w:val="20"/>
          <w:color w:val="auto"/>
        </w:rPr>
      </w:pPr>
    </w:p>
    <w:p>
      <w:pPr>
        <w:ind w:left="1920" w:right="40" w:hanging="440"/>
        <w:spacing w:after="0" w:line="277"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its common stock in other ways not involving market makers or established trading markets, including by gift, distribution, or other transfer;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some cases, sell its common stock under Rule 144 of the Securities Act, if the transaction meets the requirements of Rule 144.</w:t>
      </w:r>
    </w:p>
    <w:p>
      <w:pPr>
        <w:spacing w:after="0" w:line="248" w:lineRule="exact"/>
        <w:rPr>
          <w:sz w:val="20"/>
          <w:szCs w:val="20"/>
          <w:color w:val="auto"/>
        </w:rPr>
      </w:pPr>
    </w:p>
    <w:p>
      <w:pPr>
        <w:ind w:right="100" w:firstLine="1484"/>
        <w:spacing w:after="0" w:line="291" w:lineRule="auto"/>
        <w:rPr>
          <w:sz w:val="20"/>
          <w:szCs w:val="20"/>
          <w:color w:val="auto"/>
        </w:rPr>
      </w:pPr>
      <w:r>
        <w:rPr>
          <w:rFonts w:ascii="Arial" w:cs="Arial" w:eastAsia="Arial" w:hAnsi="Arial"/>
          <w:sz w:val="16"/>
          <w:szCs w:val="16"/>
          <w:color w:val="auto"/>
        </w:rPr>
        <w:t>We have advised the selling shareholder that during the time each is engaged in a distribution of the shares covered by this prospectus, it is required to comply with Regulation M promulgated under the Exchange Act. With certain exceptions, Regulation M precludes the selling shareholder, any affiliated purchasers, and any broker-dealer or other person who participates in such distribution from bidding for or purchasing, or attempting to induce any person to bid for or purchase, any shares which are the subject of the distribution until the entire distribution is complete. Regulation M also prohibits any bids or purchases made in order to stabilize the price of our shares in connection with the distribution of our shares. We have further advised selling shareholder who may be “affiliated purchasers” of ours that they must coordinate their sales under this prospectus with each other and us for purposes of Regulation M. All of the foregoing may affect the marketability of the shares offered in this prospectus.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will amend or supplement this prospectus as required by the Securities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1484"/>
        <w:spacing w:after="0" w:line="277" w:lineRule="auto"/>
        <w:rPr>
          <w:sz w:val="20"/>
          <w:szCs w:val="20"/>
          <w:color w:val="auto"/>
        </w:rPr>
      </w:pPr>
      <w:r>
        <w:rPr>
          <w:rFonts w:ascii="Arial" w:cs="Arial" w:eastAsia="Arial" w:hAnsi="Arial"/>
          <w:sz w:val="18"/>
          <w:szCs w:val="18"/>
          <w:color w:val="auto"/>
        </w:rPr>
        <w:t>The validity of the equity and debt securities registered in this offering will be passed upon by the law firm of Seyfarth Shaw LLP, Houston, Texas. Legal counsel to any underwriters may pass upon legal matters for such underwriters.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1484"/>
        <w:spacing w:after="0" w:line="312" w:lineRule="auto"/>
        <w:rPr>
          <w:sz w:val="20"/>
          <w:szCs w:val="20"/>
          <w:color w:val="auto"/>
        </w:rPr>
      </w:pPr>
      <w:r>
        <w:rPr>
          <w:rFonts w:ascii="Arial" w:cs="Arial" w:eastAsia="Arial" w:hAnsi="Arial"/>
          <w:sz w:val="16"/>
          <w:szCs w:val="16"/>
          <w:color w:val="auto"/>
        </w:rPr>
        <w:t>The consolidated financial statements incorporated in this prospectus by reference to the annual report on Form 10-K for the year ended December 31, 2013 have been audited by McGladrey LLP, an independent registered public accounting firm, as stated in their report incorporated by reference herein, and have been so incorporated in reliance upon such report and upon the authority of such firm as experts in accounting and auditing.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40" w:firstLine="1484"/>
        <w:spacing w:after="0" w:line="277" w:lineRule="auto"/>
        <w:rPr>
          <w:sz w:val="20"/>
          <w:szCs w:val="20"/>
          <w:color w:val="auto"/>
        </w:rPr>
      </w:pPr>
      <w:r>
        <w:rPr>
          <w:rFonts w:ascii="Arial" w:cs="Arial" w:eastAsia="Arial" w:hAnsi="Arial"/>
          <w:sz w:val="18"/>
          <w:szCs w:val="18"/>
          <w:color w:val="auto"/>
        </w:rPr>
        <w:t>This prospectus is part of a Registration Statement on Form S-3 that we filed with the Commission. Certain information in the Registration Statement has been omitted from this prospectus in accordance with the rules of the Commission.</w:t>
      </w:r>
    </w:p>
    <w:p>
      <w:pPr>
        <w:spacing w:after="0" w:line="170" w:lineRule="exact"/>
        <w:rPr>
          <w:sz w:val="20"/>
          <w:szCs w:val="20"/>
          <w:color w:val="auto"/>
        </w:rPr>
      </w:pPr>
    </w:p>
    <w:p>
      <w:pPr>
        <w:ind w:right="140" w:firstLine="1484"/>
        <w:spacing w:after="0" w:line="289" w:lineRule="auto"/>
        <w:rPr>
          <w:sz w:val="20"/>
          <w:szCs w:val="20"/>
          <w:color w:val="auto"/>
        </w:rPr>
      </w:pPr>
      <w:r>
        <w:rPr>
          <w:rFonts w:ascii="Arial" w:cs="Arial" w:eastAsia="Arial" w:hAnsi="Arial"/>
          <w:sz w:val="16"/>
          <w:szCs w:val="16"/>
          <w:color w:val="auto"/>
        </w:rPr>
        <w:t xml:space="preserve">The Company files annual, quarterly and current reports, proxy statements and other documents with the Commission under the Securities Act of 1934. Our file number is 001-33660. The public may read and copy any materials that we file with the Commission at the Commission’s Public Reference Room at Headquarters Office, 100 F Street, NE, Washington, DC 20549. The public may obtain information on the operation of the Public Reference Room by calling the Commission at 1-800-SEC-0330. Also, the Commission maintains an Internet website that contains reports, proxy and information statements, and other information regarding issuers, including us, that file electronically with the Commission. The public can obtain any documents that we file electronically with the Commission at </w:t>
      </w:r>
      <w:r>
        <w:rPr>
          <w:rFonts w:ascii="Arial" w:cs="Arial" w:eastAsia="Arial" w:hAnsi="Arial"/>
          <w:sz w:val="16"/>
          <w:szCs w:val="16"/>
          <w:i w:val="1"/>
          <w:iCs w:val="1"/>
          <w:color w:val="auto"/>
        </w:rPr>
        <w:t>http://www.sec.gov</w:t>
      </w:r>
      <w:r>
        <w:rPr>
          <w:rFonts w:ascii="Arial" w:cs="Arial" w:eastAsia="Arial" w:hAnsi="Arial"/>
          <w:sz w:val="16"/>
          <w:szCs w:val="16"/>
          <w:color w:val="auto"/>
        </w:rPr>
        <w:t>. In addition, the Company maintains a website (</w:t>
      </w:r>
      <w:r>
        <w:rPr>
          <w:rFonts w:ascii="Arial" w:cs="Arial" w:eastAsia="Arial" w:hAnsi="Arial"/>
          <w:sz w:val="16"/>
          <w:szCs w:val="16"/>
          <w:i w:val="1"/>
          <w:iCs w:val="1"/>
          <w:color w:val="auto"/>
        </w:rPr>
        <w:t>www.clearone.com</w:t>
      </w:r>
      <w:r>
        <w:rPr>
          <w:rFonts w:ascii="Arial" w:cs="Arial" w:eastAsia="Arial" w:hAnsi="Arial"/>
          <w:sz w:val="16"/>
          <w:szCs w:val="16"/>
          <w:color w:val="auto"/>
        </w:rPr>
        <w:t>) on which we also make available, free of charge, all of the Company’s above mentioned filings with the Commission, including Forms 3, 4 and 5 filed with respect to our equity securities under Section 16(a) of the Securities Act of 1934. These filings will be available as soon as reasonably practicable after we electronically file such material with, or furnish it to, the Commission. However, the information on the Company’s website is not part of this prospectus.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color w:val="auto"/>
        </w:rPr>
        <w:t>The Commission allows us to “incorporate by reference” into this prospectus the information we provide in other documents filed by us with the Commission.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Commission, modifies and replaces this information. We incorporate by reference the following documents that we have filed with the Commission (except for those items furnished pursuant to Item 2.02 or Item 7.01 of Form 8-K unless otherwise stated therein):</w:t>
      </w:r>
    </w:p>
    <w:p>
      <w:pPr>
        <w:spacing w:after="0" w:line="99" w:lineRule="exact"/>
        <w:rPr>
          <w:sz w:val="20"/>
          <w:szCs w:val="20"/>
          <w:color w:val="auto"/>
        </w:rPr>
      </w:pPr>
    </w:p>
    <w:p>
      <w:pPr>
        <w:ind w:left="1920" w:hanging="440"/>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 filed on March 20, 2014.</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Current Reports on Form 8-K filed by us with the SEC since December 31, 2013:</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Current Report on Form 8-K filed on January 13,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Current Report on Form 8-K filed on March 3, 2014;</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Current Report on Form 8-K filed on March 10, 2014; and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Current Report on Form 8-K filed on April 7, 2014.</w:t>
      </w:r>
    </w:p>
    <w:p>
      <w:pPr>
        <w:spacing w:after="0" w:line="130" w:lineRule="exact"/>
        <w:rPr>
          <w:rFonts w:ascii="Arial" w:cs="Arial" w:eastAsia="Arial" w:hAnsi="Arial"/>
          <w:sz w:val="18"/>
          <w:szCs w:val="18"/>
          <w:color w:val="auto"/>
        </w:rPr>
      </w:pPr>
    </w:p>
    <w:p>
      <w:pPr>
        <w:ind w:left="1920" w:hanging="440"/>
        <w:spacing w:after="0" w:line="264" w:lineRule="auto"/>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as originally filed with the Commission on August 10, 2007, and any amendment or report that may be filed from time to time for the purpose of updating, changing or modifying the description of our common stock.</w:t>
      </w:r>
    </w:p>
    <w:p>
      <w:pPr>
        <w:spacing w:after="0" w:line="181"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color w:val="auto"/>
        </w:rPr>
        <w:t>In addition, all documents filed by us with the Commission under Sections 13(a), 13(c), 14 or 15(d) of the Exchange Act (other than those furnished pursuant to Item 2.02 or Item 7.01 of Form 8-K, unless otherwise stated therein) after the date of the initial registration statement and prior to the effectiveness of the registration statement, as well as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Item 2.02, Results of Operations and Financial Condition, or Item 7.01, Regulation FD Disclosure, of Form 8-K is not deemed to be “filed” for the purpose of Section 18 of the Exchange Act, and we are not subject to the liabilities of Section 18 with respect to information submitted under Item 2.02 or Item 7.01 of Form 8-K. We are not incorporating by reference any information submitted under Item 2.02 or Item 7.01 of Form 8-K into any filing under the Securities Act or the Exchange Act or into this prospectus, unless otherwise indicated on such Form 8-K.</w:t>
      </w:r>
    </w:p>
    <w:p>
      <w:pPr>
        <w:spacing w:after="0" w:line="187" w:lineRule="exact"/>
        <w:rPr>
          <w:sz w:val="20"/>
          <w:szCs w:val="20"/>
          <w:color w:val="auto"/>
        </w:rPr>
      </w:pPr>
    </w:p>
    <w:p>
      <w:pPr>
        <w:ind w:right="240" w:firstLine="1484"/>
        <w:spacing w:after="0" w:line="264" w:lineRule="auto"/>
        <w:rPr>
          <w:sz w:val="20"/>
          <w:szCs w:val="20"/>
          <w:color w:val="auto"/>
        </w:rPr>
      </w:pPr>
      <w:r>
        <w:rPr>
          <w:rFonts w:ascii="Arial" w:cs="Arial" w:eastAsia="Arial" w:hAnsi="Arial"/>
          <w:sz w:val="18"/>
          <w:szCs w:val="18"/>
          <w:color w:val="auto"/>
        </w:rPr>
        <w:t>You may obtain copies of this prospectus or any of the incorporated documents (excluding exhibits, unless the exhibits are specifically incorporated) at no charge to you by writing Corporate Secretary, ClearOne, Inc., 5225 Wiley Post Way, Suite 500, Salt Lake City, Utah 84116, or calling (801) 975-7200.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$75,000,000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 Shares of 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Offered by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only rely on the information contained in this prospectus. We have not authorized anyone to provide you with information different from that contained in this prospectus. The selling shareholder is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Until , 2014 (90 days after the commencement of the offering), all dealers that effect transactions in these securities, whether or not participating in this offering, may be requested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expenses relating to the registration of the shares of common stock being offered hereby, other than underwriting discounts and commissions, will be borne entirely by us and not the selling shareholder. Such expenses are estimated to be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SEC</w:t>
            </w:r>
          </w:p>
        </w:tc>
        <w:tc>
          <w:tcPr>
            <w:tcW w:w="67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Transfer Agent Fee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Printing and Engraving Fee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39,352</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We are a Utah corporation. Section 16-10a-902 of the Utah Revised Business Corporation Act (the “Utah Act”) provides that a corporation may indemnify any individual who was, is, or is threatened to be made a named defendant or respondent (a “Party”) in any threatened, pending or completed action, suit or proceeding, whether civil, criminal, administrative or investigative and whether formal or informal (a “Proceeding”), because he or she is or was a director of the corporation or, while a director of the corporation, is or was serving at its request as a director, officer, partner, trustee, employee, fiduciary or agent of another corporation or other person or of an employee benefit plan (an “Indemnifiable Director”), against any obligation incurred with respect to a Proceeding, including any judgment, settlement, penalty, fine or reasonable expenses (including attorneys’ fees), incurred in the Proceeding if his or her conduct was in good faith, he or she reasonably believed that his or her conduct was in, or not opposed to, the best interests of the corporation, and, in the case of any criminal Proceeding, had no reasonable cause to believe such conduct was unlawful; provided, however, that pursuant to Subsections 902(4)-</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(5): (i) the corporation may not indemnify an Indemnifiable Director in connection with a Proceeding by or in the right of the corporation in which the Indemnifiable Director was adjudged liable to the corporation; (ii) the corporation may not indemnify an Indemnifiable Director in connection with a Proceeding charging that the Indemnifiable Director derived an improper personal benefit, whether or not involving action in his or her official capacity, in which Proceeding he or she was adjudged liable on the basis that he or she derived an improper personal benefit; and (iii) indemnification under Section 902 in connection with a Proceeding by or in the right of the corporation is limited to payment of reasonable expenses (including attorneys’ fees) incurred in connection with the Proceeding.</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16-10a-903 of the Utah Act provides that, unless limited by its articles of incorporation, a corporation must indemnify an Indemnifiable Director who was successful, on the merits or otherwise, in the defense of any Proceeding, or in the defense of any claim, issue or matter in the Proceeding, to which he or she was a Party because he or she is or was an Indemnifiable Director, against reasonable expenses (including attorneys’ fees) incurred in connection with the Proceeding or claim with respect to which he or she has been successful.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the indemnification provided by Sections 902 and 903, Section 16-10a-905 of the Utah Act provides that, unless otherwise limited by a corporation’s articles of incorporation, an Indemnifiable Director may apply for indemnification to the court conducting the Proceeding or to another court of competent jurisdiction.</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Section 16-10a-904 of the Utah Act provides that a corporation may pay for or reimburse the reasonable expenses (including attorneys’ fees) incurred by an Indemnifiable Director who is a Party to a Proceeding in advance of the final disposition of the Proceeding upon the satisfaction of certain conditions.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Section 16-10a-907 of the Utah Act provides that, unless a corporation’s articles of incorporation provide otherwise, (i) an officer of the corporation is entitled to mandatory indemnification under Section 903 and is entitled to apply for court-ordered indemnification under Section 905, in each case to the same extent as an Indemnifiable Director, (ii) the corporation may indemnify and advance expenses to an officer, employee, fiduciary or agent of the corporation to the same extent as an Indemnifiable Director, and (iii) a corporation may also indemnify and advance expenses to an officer, employee, fiduciary or agent who is not an Indemnifiable Director to a greater extent than the right of indemnification granted to an Indemnifiable Director, if not inconsistent with public policy, and if provided for by its articles of incorporation, bylaws, general or specific action of its board of directors or contract.</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16-10a-908 of the Utah Act provides that a corporation may purchase and maintain liability insurance on behalf of a person who is or was a director, officer, employee, fiduciary, or agent of the corporation or who, while serving as a director, officer, employee, fiduciary, or agent of the corporation, is or was serving at the request of the corporation as a director, officer, partner, trustee, employee, fiduciary, or agent of another foreign or domestic corporation or other person, or of an employee benefit plan against liability asserted against or incurred by the individual in that capacity or arising from his or her status as such, whether or not the corporation would have the power to indemnify him or her against the same liability under Section 902, 903, or 907 of the Utah Act.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16-10a-909 of the Utah Act provides that a provision treating a corporation’s indemnification of, or advance for expenses to, Indemnifiable Directors that is contained in its articles of incorporation or bylaws, in a resolution of its shareholders or board of directors or in a contract, except an insurance policy, or otherwise, is valid only if and to the extent the provision is not inconsistent with Sections 901 through 909 of the Utah Act. If the articles of incorporation limit indemnification or advancement of expenses, indemnification and advancement of expenses are valid only to the extent not inconsistent with the articles.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Bylaws provide that we shall indemnify any person made party to a proceeding because the individual is or was a director of the Company, against liability incurred in the proceeding, but only if such indemnification is both (i) determined permissible and (ii) authorized. Our Bylaws also include discretionary indemnification provisions with respect to officer, employees and agents to the extent consistent with public policy, as determined by the board of directors.</w:t>
      </w:r>
    </w:p>
    <w:p>
      <w:pPr>
        <w:spacing w:after="0" w:line="18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Bylaws provide that we may purchase and maintain insurance on behalf of any person who is or was one of our directors, officers, employees or agents, against any liability asserted against him or her or incurred by him or her in such capacity or arising out of his or her status in such capacity, whether or not we would have the power to indemnify him or her against such liability under the indemnification provisions of the bylaws or the laws of the State of Utah, as the same are amended or modified.</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Indemnification may be granted pursuant to any other agreement, bylaw or vote of shareholders or directors. The foregoing description is necessarily general and does not describe all details regarding the indemnification of our officers, directors or controlling persons.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9"/>
              </w:rPr>
              <w:t>No.</w:t>
            </w:r>
          </w:p>
        </w:tc>
        <w:tc>
          <w:tcPr>
            <w:tcW w:w="234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90"/>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89"/>
              </w:rPr>
              <w:t>Agreement and Plan of Merger, dated as of November 3, 2009, by and</w:t>
            </w: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among ClearOne Communications, Inc., Alta-Wasatch Acquisition</w:t>
            </w: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4"/>
              </w:rPr>
              <w:t>Corporation, NetStreams, Inc., Austin Ventures VIII, L.P. and Kevin</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A. Reinis.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Amended and Restated Articles of Incorporation of ClearOne, Inc.</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Bylaws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Senior Indenture</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Warrant Agreement</w:t>
            </w:r>
          </w:p>
        </w:tc>
      </w:tr>
      <w:tr>
        <w:trPr>
          <w:trHeight w:val="324"/>
        </w:trPr>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Debt Securities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Opinion on Legality</w:t>
            </w:r>
          </w:p>
        </w:tc>
      </w:tr>
      <w:tr>
        <w:trPr>
          <w:trHeight w:val="310"/>
        </w:trPr>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10.1**</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Employment and Separation Agreement between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3"/>
              </w:rPr>
              <w:t>Communications, Inc. and Frances Flood, dated December 5, 2003</w:t>
            </w:r>
          </w:p>
        </w:tc>
      </w:tr>
      <w:tr>
        <w:trPr>
          <w:trHeight w:val="310"/>
        </w:trPr>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10.2**</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Employment Termination Agreement between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Communications, Inc. and Susie Strohm, dated December 5, 2003</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10.3</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1997 Employee Stock Purchase Plan</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10.4</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1998 Stock Option Plan</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10.5</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2007 Equity Incentive Plan</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10.6</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1"/>
              </w:rPr>
              <w:t>Office Lease between Edgewater Corporate Park, LLC and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Communications, Inc. dated June 5, 2006</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10.7</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Stock purchase Agreement between ClearOne, Inc. and Doran M.</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Oster dated March 4, 2014 for the Sabine Acquisition</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10.8</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Manufacturing Services Agreement between Flextronics Industrial,</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Ltd. And ClearOne Communications, Inc. dated November 3, 2008</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Code of Ethics for Executive Officers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Subsidiaries of the Issuer</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Consent of Attorney</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Power of Attorney</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25.1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8"/>
              </w:rPr>
              <w:t>Form T-1 Statement of Eligibility respecting the Senior Indenture</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25.2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T-1 Statement of Eligibility respecting the Subordinated</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479"/>
        <w:spacing w:after="0" w:line="259" w:lineRule="auto"/>
        <w:rPr>
          <w:sz w:val="20"/>
          <w:szCs w:val="20"/>
          <w:color w:val="auto"/>
        </w:rPr>
      </w:pPr>
      <w:r>
        <w:rPr>
          <w:rFonts w:ascii="Arial" w:cs="Arial" w:eastAsia="Arial" w:hAnsi="Arial"/>
          <w:sz w:val="14"/>
          <w:szCs w:val="14"/>
          <w:b w:val="1"/>
          <w:bCs w:val="1"/>
          <w:color w:val="auto"/>
        </w:rPr>
        <w:t>Incorporated by Reference to a Previous SEC Filing by the Company (or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-8255</wp:posOffset>
            </wp:positionV>
            <wp:extent cx="2710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Exhibit 2.2 to Form 8-K filed on November 9,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3.1 to Form 10-K filed on March 25,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 to Form 10-K filed on March 31,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10-K filed on August 18, 2005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10-K filed on August 18,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4.9 to Form S-8 filed on October 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4.8 to Form S-8 filed on October 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4.7 to Form S-8 filed on January 22,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10.19 to Form 10-K filed on September 14, 2006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10.7 to Form 10-K filed on March 20,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10.21 Form 10-K filed on October 13,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14.1 to Form 10-K filed on September 14,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21.1 to Form 10-K filed on March 20,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Included in Exhibit 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Included on the Signature Page hereto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be filed pursuant to Rule 305(b)(2) of the Trust Indenture Act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To be filed pursuant to Rule 305(b)(2) of the Trust Indenture Act</w:t>
      </w:r>
    </w:p>
    <w:p>
      <w:pPr>
        <w:spacing w:after="0" w:line="221" w:lineRule="exact"/>
        <w:rPr>
          <w:sz w:val="20"/>
          <w:szCs w:val="20"/>
          <w:color w:val="auto"/>
        </w:rPr>
      </w:pPr>
    </w:p>
    <w:p>
      <w:pPr>
        <w:sectPr>
          <w:pgSz w:w="11900" w:h="16838" w:orient="portrait"/>
          <w:cols w:equalWidth="0" w:num="2">
            <w:col w:w="5880" w:space="320"/>
            <w:col w:w="4760"/>
          </w:cols>
          <w:pgMar w:left="240" w:top="459" w:right="699" w:bottom="1440" w:gutter="0" w:footer="0" w:header="0"/>
        </w:sectPr>
      </w:pPr>
    </w:p>
    <w:p>
      <w:pPr>
        <w:ind w:right="3920" w:firstLine="8"/>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of the registrant. ** Constitutes a management contract or compensatory plan or arrangement.</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60"/>
          </w:cols>
          <w:pgMar w:left="240" w:top="459" w:right="6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480" w:hanging="139"/>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100" w:firstLine="421"/>
        <w:spacing w:after="0" w:line="272" w:lineRule="auto"/>
        <w:tabs>
          <w:tab w:leader="none" w:pos="1527" w:val="left"/>
        </w:tabs>
        <w:numPr>
          <w:ilvl w:val="2"/>
          <w:numId w:val="3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20" w:right="60" w:firstLine="421"/>
        <w:spacing w:after="0" w:line="277" w:lineRule="auto"/>
        <w:tabs>
          <w:tab w:leader="none" w:pos="1577"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left="460" w:firstLine="443"/>
        <w:spacing w:after="0" w:line="264" w:lineRule="auto"/>
        <w:tabs>
          <w:tab w:leader="none" w:pos="10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460" w:right="620" w:firstLine="443"/>
        <w:spacing w:after="0" w:line="277" w:lineRule="auto"/>
        <w:tabs>
          <w:tab w:leader="none" w:pos="10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purpose of determining liability under the Securities Act of 1933 to any purchaser:</w:t>
      </w:r>
    </w:p>
    <w:p>
      <w:pPr>
        <w:spacing w:after="0" w:line="225" w:lineRule="exact"/>
        <w:rPr>
          <w:rFonts w:ascii="Arial" w:cs="Arial" w:eastAsia="Arial" w:hAnsi="Arial"/>
          <w:sz w:val="18"/>
          <w:szCs w:val="18"/>
          <w:color w:val="auto"/>
        </w:rPr>
      </w:pPr>
    </w:p>
    <w:p>
      <w:pPr>
        <w:ind w:right="240" w:firstLine="921"/>
        <w:spacing w:after="0" w:line="277" w:lineRule="auto"/>
        <w:tabs>
          <w:tab w:leader="none" w:pos="1093" w:val="left"/>
        </w:tabs>
        <w:numPr>
          <w:ilvl w:val="2"/>
          <w:numId w:val="3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 (b)(3)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firstLine="921"/>
        <w:spacing w:after="0" w:line="288" w:lineRule="auto"/>
        <w:tabs>
          <w:tab w:leader="none" w:pos="1093" w:val="left"/>
        </w:tabs>
        <w:numPr>
          <w:ilvl w:val="2"/>
          <w:numId w:val="3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414(b)(2),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of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169" w:lineRule="exact"/>
        <w:rPr>
          <w:rFonts w:ascii="Arial" w:cs="Arial" w:eastAsia="Arial" w:hAnsi="Arial"/>
          <w:sz w:val="16"/>
          <w:szCs w:val="16"/>
          <w:color w:val="auto"/>
        </w:rPr>
      </w:pPr>
    </w:p>
    <w:p>
      <w:pPr>
        <w:ind w:right="40" w:firstLine="464"/>
        <w:spacing w:after="0" w:line="302" w:lineRule="auto"/>
        <w:tabs>
          <w:tab w:leader="none" w:pos="6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for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he purchaser and will be considered to offer or sell such securities to such purchaser:</w:t>
      </w:r>
    </w:p>
    <w:p>
      <w:pPr>
        <w:spacing w:after="0" w:line="154" w:lineRule="exact"/>
        <w:rPr>
          <w:rFonts w:ascii="Arial" w:cs="Arial" w:eastAsia="Arial" w:hAnsi="Arial"/>
          <w:sz w:val="16"/>
          <w:szCs w:val="16"/>
          <w:color w:val="auto"/>
        </w:rPr>
      </w:pPr>
    </w:p>
    <w:p>
      <w:pPr>
        <w:ind w:left="1100" w:hanging="179"/>
        <w:spacing w:after="0"/>
        <w:tabs>
          <w:tab w:leader="none" w:pos="110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921"/>
        <w:spacing w:after="0" w:line="277" w:lineRule="auto"/>
        <w:tabs>
          <w:tab w:leader="none" w:pos="10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40" w:firstLine="921"/>
        <w:spacing w:after="0" w:line="277" w:lineRule="auto"/>
        <w:tabs>
          <w:tab w:leader="none" w:pos="10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20" w:firstLine="464"/>
        <w:spacing w:after="0" w:line="257" w:lineRule="auto"/>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undersigned hereby undertakes that, for purposes of determining any liability under the Securities Act of 1933, each filing of the registrant’s annual report pursuant to Section 13(a) or 15(d) of the Securities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60" w:firstLine="464"/>
        <w:spacing w:after="0" w:line="279" w:lineRule="auto"/>
        <w:tabs>
          <w:tab w:leader="none" w:pos="6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71" w:lineRule="exact"/>
        <w:rPr>
          <w:rFonts w:ascii="Arial" w:cs="Arial" w:eastAsia="Arial" w:hAnsi="Arial"/>
          <w:sz w:val="17"/>
          <w:szCs w:val="17"/>
          <w:color w:val="auto"/>
        </w:rPr>
      </w:pPr>
    </w:p>
    <w:p>
      <w:pPr>
        <w:ind w:left="680" w:hanging="21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w:t>
      </w:r>
    </w:p>
    <w:p>
      <w:pPr>
        <w:spacing w:after="0" w:line="225" w:lineRule="exact"/>
        <w:rPr>
          <w:rFonts w:ascii="Arial" w:cs="Arial" w:eastAsia="Arial" w:hAnsi="Arial"/>
          <w:sz w:val="18"/>
          <w:szCs w:val="18"/>
          <w:color w:val="auto"/>
        </w:rPr>
      </w:pPr>
    </w:p>
    <w:p>
      <w:pPr>
        <w:ind w:right="20" w:firstLine="921"/>
        <w:spacing w:after="0" w:line="264" w:lineRule="auto"/>
        <w:tabs>
          <w:tab w:leader="none" w:pos="10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424(b)(l) or (4) or 497(h) under the Securities Act of 1933 shall be deemed to be a part of this registration statement as of the time it was declared effective; and</w:t>
      </w:r>
    </w:p>
    <w:p>
      <w:pPr>
        <w:spacing w:after="0" w:line="181" w:lineRule="exact"/>
        <w:rPr>
          <w:rFonts w:ascii="Arial" w:cs="Arial" w:eastAsia="Arial" w:hAnsi="Arial"/>
          <w:sz w:val="18"/>
          <w:szCs w:val="18"/>
          <w:color w:val="auto"/>
        </w:rPr>
      </w:pPr>
    </w:p>
    <w:p>
      <w:pPr>
        <w:ind w:right="100" w:firstLine="921"/>
        <w:spacing w:after="0" w:line="277" w:lineRule="auto"/>
        <w:tabs>
          <w:tab w:leader="none" w:pos="10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0" w:lineRule="exact"/>
        <w:rPr>
          <w:rFonts w:ascii="Arial" w:cs="Arial" w:eastAsia="Arial" w:hAnsi="Arial"/>
          <w:sz w:val="18"/>
          <w:szCs w:val="18"/>
          <w:color w:val="auto"/>
        </w:rPr>
      </w:pPr>
    </w:p>
    <w:p>
      <w:pPr>
        <w:ind w:firstLine="464"/>
        <w:spacing w:after="0" w:line="25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right="720" w:firstLine="464"/>
        <w:spacing w:after="0" w:line="264" w:lineRule="auto"/>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April 29,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Chief Executive Officer and Chairman of the</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person whose signature appears below constitutes and appoints Zeynep Hakimoglu and Narsi Narayanan, and each of them individually,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additional registration statement to be filed pursuant to Rule 462(b) under the Securities Act of 1933,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was signed by the following persons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NARSI NARAYANAN</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Zeynep Hakimoglu</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Narsi Narayanan</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Chairman of the Board</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Senior Vice President of Finance</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April 29, 2014</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April 29, 2014</w:t>
            </w:r>
          </w:p>
        </w:tc>
      </w:tr>
      <w:tr>
        <w:trPr>
          <w:trHeight w:val="44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Brad R. Baldwin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Larry R. Hendricks</w:t>
            </w: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April 29, 2014</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April 29, 2014</w:t>
            </w:r>
          </w:p>
        </w:tc>
      </w:tr>
      <w:tr>
        <w:trPr>
          <w:trHeight w:val="43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Scott M. Huntsman</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April 29, 2014</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365"/>
        </w:trPr>
        <w:tc>
          <w:tcPr>
            <w:tcW w:w="538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INDEX OF EXHIBITS</w:t>
      </w:r>
    </w:p>
    <w:p>
      <w:pPr>
        <w:sectPr>
          <w:pgSz w:w="11900" w:h="16838" w:orient="portrait"/>
          <w:cols w:equalWidth="0" w:num="1">
            <w:col w:w="10960"/>
          </w:cols>
          <w:pgMar w:left="240" w:top="459" w:right="699" w:bottom="1440" w:gutter="0" w:footer="0" w:header="0"/>
        </w:sect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9"/>
              </w:rPr>
              <w:t>No.</w:t>
            </w:r>
          </w:p>
        </w:tc>
        <w:tc>
          <w:tcPr>
            <w:tcW w:w="234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90"/>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89"/>
              </w:rPr>
              <w:t>Agreement and Plan of Merger, dated as of November 3, 2009, by and</w:t>
            </w: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among ClearOne Communications, Inc., Alta-Wasatch Acquisition</w:t>
            </w:r>
          </w:p>
        </w:tc>
      </w:tr>
      <w:tr>
        <w:trPr>
          <w:trHeight w:val="216"/>
        </w:trPr>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4"/>
              </w:rPr>
              <w:t>Corporation, NetStreams, Inc., Austin Ventures VIII, L.P. and Kevin</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A. Reinis.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6"/>
              </w:rPr>
              <w:t>Amended and Restated Articles of Incorporation of ClearOne, Inc.</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Bylaws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Senior Indenture</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Warrant Agreement</w:t>
            </w:r>
          </w:p>
        </w:tc>
      </w:tr>
      <w:tr>
        <w:trPr>
          <w:trHeight w:val="324"/>
        </w:trPr>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of Debt Securities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Opinion on Legality</w:t>
            </w:r>
          </w:p>
        </w:tc>
      </w:tr>
      <w:tr>
        <w:trPr>
          <w:trHeight w:val="310"/>
        </w:trPr>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10.1**</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Employment and Separation Agreement between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3"/>
              </w:rPr>
              <w:t>Communications, Inc. and Frances Flood, dated December 5, 2003</w:t>
            </w:r>
          </w:p>
        </w:tc>
      </w:tr>
      <w:tr>
        <w:trPr>
          <w:trHeight w:val="310"/>
        </w:trPr>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10.2**</w:t>
            </w: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Employment Termination Agreement between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Communications, Inc. and Susie Strohm, dated December 5, 2003</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10.3</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1997 Employee Stock Purchase Plan</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10.4</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1998 Stock Option Plan</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10.5</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2007 Equity Incentive Plan</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10.6</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1"/>
              </w:rPr>
              <w:t>Office Lease between Edgewater Corporate Park, LLC and ClearOne</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Communications, Inc. dated June 5, 2006</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10.7</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Stock purchase Agreement between ClearOne, Inc. and Doran M.</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Oster dated March 4, 2014 for the Sabine Acquisition</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10.8</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Manufacturing Services Agreement between Flextronics Industrial,</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Ltd. And ClearOne Communications, Inc. dated November 3, 2008</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14.1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Code of Ethics for Executive Officers</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Subsidiaries of the Issuer</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Consent of Attorney</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24.1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Power of Attorney</w:t>
            </w:r>
          </w:p>
        </w:tc>
      </w:tr>
      <w:tr>
        <w:trPr>
          <w:trHeight w:val="32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25.1</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8"/>
              </w:rPr>
              <w:t>Form T-1 Statement of Eligibility respecting the Senior Indenture</w:t>
            </w:r>
          </w:p>
        </w:tc>
      </w:tr>
      <w:tr>
        <w:trPr>
          <w:trHeight w:val="310"/>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25.2</w:t>
            </w:r>
          </w:p>
        </w:tc>
        <w:tc>
          <w:tcPr>
            <w:tcW w:w="30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Form T-1 Statement of Eligibility respecting the Subordinated</w:t>
            </w:r>
          </w:p>
        </w:tc>
      </w:tr>
      <w:tr>
        <w:trPr>
          <w:trHeight w:val="230"/>
        </w:trPr>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479"/>
        <w:spacing w:after="0" w:line="259" w:lineRule="auto"/>
        <w:rPr>
          <w:sz w:val="20"/>
          <w:szCs w:val="20"/>
          <w:color w:val="auto"/>
        </w:rPr>
      </w:pPr>
      <w:r>
        <w:rPr>
          <w:rFonts w:ascii="Arial" w:cs="Arial" w:eastAsia="Arial" w:hAnsi="Arial"/>
          <w:sz w:val="14"/>
          <w:szCs w:val="14"/>
          <w:b w:val="1"/>
          <w:bCs w:val="1"/>
          <w:color w:val="auto"/>
        </w:rPr>
        <w:t>Incorporated by Reference to a Previous SEC Filing by the Company (or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-8255</wp:posOffset>
            </wp:positionV>
            <wp:extent cx="2710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Exhibit 2.2 to Form 8-K filed on November 9,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3.1 to Form 10-K filed on March 25,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 to Form 10-K filed on March 31,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10-K filed on August 18, 2005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10-K filed on August 18,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4.9 to Form S-8 filed on October 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4.8 to Form S-8 filed on October 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4.7 to Form S-8 filed on January 22,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10.19 to Form 10-K filed on September 14, 2006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10.7 to Form 10-K filed on March 20,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Exhibit 10.21 Form 10-K filed on October 13,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14.1 to Form 10-K filed on September 14,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21.1 to Form 10-K filed on March 20,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Included in Exhibit 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Included on the Signature Page hereto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be filed pursuant to Rule 305(b)(2) of the Trust Indenture Act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To be filed pursuant to Rule 305(b)(2) of the Trust Indenture Act</w:t>
      </w:r>
    </w:p>
    <w:p>
      <w:pPr>
        <w:spacing w:after="0" w:line="221" w:lineRule="exact"/>
        <w:rPr>
          <w:sz w:val="20"/>
          <w:szCs w:val="20"/>
          <w:color w:val="auto"/>
        </w:rPr>
      </w:pPr>
    </w:p>
    <w:p>
      <w:pPr>
        <w:sectPr>
          <w:pgSz w:w="11900" w:h="16838" w:orient="portrait"/>
          <w:cols w:equalWidth="0" w:num="2">
            <w:col w:w="5880" w:space="320"/>
            <w:col w:w="4760"/>
          </w:cols>
          <w:pgMar w:left="240" w:top="459" w:right="699" w:bottom="1440" w:gutter="0" w:footer="0" w:header="0"/>
          <w:type w:val="continuous"/>
        </w:sectPr>
      </w:pPr>
    </w:p>
    <w:p>
      <w:pPr>
        <w:ind w:right="3920" w:firstLine="8"/>
        <w:spacing w:after="0" w:line="277"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of the registrant. ** Constitutes a management contract or compensatory plan or arrangement.</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60"/>
          </w:cols>
          <w:pgMar w:left="240" w:top="459" w:right="69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Senior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4860"/>
              <w:spacing w:after="0"/>
              <w:rPr>
                <w:sz w:val="20"/>
                <w:szCs w:val="20"/>
                <w:color w:val="auto"/>
              </w:rPr>
            </w:pPr>
            <w:r>
              <w:rPr>
                <w:rFonts w:ascii="Arial" w:cs="Arial" w:eastAsia="Arial" w:hAnsi="Arial"/>
                <w:sz w:val="18"/>
                <w:szCs w:val="18"/>
                <w:b w:val="1"/>
                <w:bCs w:val="1"/>
                <w:color w:val="auto"/>
              </w:rPr>
              <w:t>Dated as of</w:t>
            </w:r>
          </w:p>
        </w:tc>
        <w:tc>
          <w:tcPr>
            <w:tcW w:w="5420" w:type="dxa"/>
            <w:vAlign w:val="bottom"/>
          </w:tcPr>
          <w:p>
            <w:pPr>
              <w:jc w:val="right"/>
              <w:ind w:right="4750"/>
              <w:spacing w:after="0"/>
              <w:rPr>
                <w:sz w:val="20"/>
                <w:szCs w:val="20"/>
                <w:color w:val="auto"/>
              </w:rPr>
            </w:pPr>
            <w:r>
              <w:rPr>
                <w:rFonts w:ascii="Arial" w:cs="Arial" w:eastAsia="Arial" w:hAnsi="Arial"/>
                <w:sz w:val="18"/>
                <w:szCs w:val="18"/>
                <w:b w:val="1"/>
                <w:bCs w:val="1"/>
                <w:color w:val="auto"/>
              </w:rPr>
              <w:t>, 20</w:t>
            </w:r>
          </w:p>
        </w:tc>
      </w:tr>
      <w:tr>
        <w:trPr>
          <w:trHeight w:val="277"/>
        </w:trPr>
        <w:tc>
          <w:tcPr>
            <w:tcW w:w="60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520" w:type="dxa"/>
            <w:vAlign w:val="bottom"/>
            <w:gridSpan w:val="3"/>
          </w:tcPr>
          <w:p>
            <w:pPr>
              <w:jc w:val="right"/>
              <w:ind w:right="4628"/>
              <w:spacing w:after="0"/>
              <w:rPr>
                <w:sz w:val="20"/>
                <w:szCs w:val="20"/>
                <w:color w:val="auto"/>
              </w:rPr>
            </w:pPr>
            <w:r>
              <w:rPr>
                <w:rFonts w:ascii="Arial" w:cs="Arial" w:eastAsia="Arial" w:hAnsi="Arial"/>
                <w:sz w:val="18"/>
                <w:szCs w:val="18"/>
                <w:color w:val="auto"/>
                <w:w w:val="94"/>
              </w:rPr>
              <w:t>TABLE OF CONTENTS</w:t>
            </w:r>
          </w:p>
        </w:tc>
      </w:tr>
      <w:tr>
        <w:trPr>
          <w:trHeight w:val="412"/>
        </w:trPr>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304"/>
        </w:trPr>
        <w:tc>
          <w:tcPr>
            <w:tcW w:w="3640" w:type="dxa"/>
            <w:vAlign w:val="bottom"/>
          </w:tcPr>
          <w:p>
            <w:pPr>
              <w:spacing w:after="0"/>
              <w:rPr>
                <w:sz w:val="20"/>
                <w:szCs w:val="20"/>
                <w:color w:val="auto"/>
              </w:rPr>
            </w:pPr>
            <w:r>
              <w:rPr>
                <w:rFonts w:ascii="Arial" w:cs="Arial" w:eastAsia="Arial" w:hAnsi="Arial"/>
                <w:sz w:val="18"/>
                <w:szCs w:val="18"/>
                <w:color w:val="auto"/>
              </w:rPr>
              <w:t>PARTIES</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RECITALS OF THE COMPANY</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20" w:type="dxa"/>
            <w:vAlign w:val="bottom"/>
            <w:gridSpan w:val="3"/>
          </w:tcPr>
          <w:p>
            <w:pPr>
              <w:jc w:val="center"/>
              <w:ind w:right="4728"/>
              <w:spacing w:after="0"/>
              <w:rPr>
                <w:sz w:val="20"/>
                <w:szCs w:val="20"/>
                <w:color w:val="auto"/>
              </w:rPr>
            </w:pPr>
            <w:r>
              <w:rPr>
                <w:rFonts w:ascii="Arial" w:cs="Arial" w:eastAsia="Arial" w:hAnsi="Arial"/>
                <w:sz w:val="18"/>
                <w:szCs w:val="18"/>
                <w:color w:val="auto"/>
                <w:w w:val="96"/>
              </w:rPr>
              <w:t>ARTICLE ONE</w:t>
            </w:r>
          </w:p>
        </w:tc>
      </w:tr>
      <w:tr>
        <w:trPr>
          <w:trHeight w:val="216"/>
        </w:trPr>
        <w:tc>
          <w:tcPr>
            <w:tcW w:w="3640" w:type="dxa"/>
            <w:vAlign w:val="bottom"/>
          </w:tcPr>
          <w:p>
            <w:pPr>
              <w:spacing w:after="0"/>
              <w:rPr>
                <w:sz w:val="18"/>
                <w:szCs w:val="18"/>
                <w:color w:val="auto"/>
              </w:rPr>
            </w:pPr>
          </w:p>
        </w:tc>
        <w:tc>
          <w:tcPr>
            <w:tcW w:w="7680" w:type="dxa"/>
            <w:vAlign w:val="bottom"/>
            <w:gridSpan w:val="4"/>
          </w:tcPr>
          <w:p>
            <w:pPr>
              <w:jc w:val="center"/>
              <w:ind w:right="3548"/>
              <w:spacing w:after="0"/>
              <w:rPr>
                <w:sz w:val="20"/>
                <w:szCs w:val="20"/>
                <w:color w:val="auto"/>
              </w:rPr>
            </w:pPr>
            <w:r>
              <w:rPr>
                <w:rFonts w:ascii="Arial" w:cs="Arial" w:eastAsia="Arial" w:hAnsi="Arial"/>
                <w:sz w:val="18"/>
                <w:szCs w:val="18"/>
                <w:color w:val="auto"/>
                <w:w w:val="96"/>
              </w:rPr>
              <w:t>DEFINITIONS AND OTHER PROVISIONS OF</w:t>
            </w:r>
          </w:p>
        </w:tc>
      </w:tr>
      <w:tr>
        <w:trPr>
          <w:trHeight w:val="230"/>
        </w:trPr>
        <w:tc>
          <w:tcPr>
            <w:tcW w:w="3640" w:type="dxa"/>
            <w:vAlign w:val="bottom"/>
          </w:tcPr>
          <w:p>
            <w:pPr>
              <w:spacing w:after="0"/>
              <w:rPr>
                <w:sz w:val="20"/>
                <w:szCs w:val="20"/>
                <w:color w:val="auto"/>
              </w:rPr>
            </w:pPr>
          </w:p>
        </w:tc>
        <w:tc>
          <w:tcPr>
            <w:tcW w:w="7680" w:type="dxa"/>
            <w:vAlign w:val="bottom"/>
            <w:gridSpan w:val="4"/>
          </w:tcPr>
          <w:p>
            <w:pPr>
              <w:jc w:val="center"/>
              <w:ind w:right="3568"/>
              <w:spacing w:after="0"/>
              <w:rPr>
                <w:sz w:val="20"/>
                <w:szCs w:val="20"/>
                <w:color w:val="auto"/>
              </w:rPr>
            </w:pPr>
            <w:r>
              <w:rPr>
                <w:rFonts w:ascii="Arial" w:cs="Arial" w:eastAsia="Arial" w:hAnsi="Arial"/>
                <w:sz w:val="18"/>
                <w:szCs w:val="18"/>
                <w:color w:val="auto"/>
                <w:w w:val="97"/>
              </w:rPr>
              <w:t>GENERAL APPLICATION</w:t>
            </w: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“Act”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“Affiliate”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“Authenticating Agent”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“Board of Directors”</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“Board Resolution”</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“Business Day”</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“Capital Stock”</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“Company”</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w w:val="99"/>
              </w:rPr>
              <w:t>“Company Request” or “Company Order”</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“Conversion Agent”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“Corporate Trust Office”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“corporation”</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“Covenant Defeasance”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“Defaulted Interest”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“Defeasance”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“Depositary”</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“Event of Default”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“Exchange Act”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“Expiration Date”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“Global Security”</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“Holder”</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“Indenture”</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20" w:type="dxa"/>
            <w:vAlign w:val="bottom"/>
            <w:gridSpan w:val="3"/>
          </w:tcPr>
          <w:p>
            <w:pPr>
              <w:jc w:val="right"/>
              <w:ind w:right="5508"/>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20"/>
          </w:cols>
          <w:pgMar w:left="240" w:top="257" w:right="3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“Interest Payment Date”</w:t>
            </w:r>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“Investment Company Act”</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“Notice of Default”</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“Officers’ Certificate”</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“Opinion of Counsel”</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“Original Issue Discount Security”</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“Paying Agent”</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“Person”</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“Place of Payment,”</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“Predecessor Security”</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“Redemption Date,”</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“Redemption Price,”</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“Regular Record Date”</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“Securities Act”</w:t>
            </w:r>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“Security Register” and “Security Registrar”</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“Significant Subsidiary”</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“Special Record Date”</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“Stated Maturity”</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“Subsidiary”</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“Trust Indenture Act”</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“Trustee”</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“U.S. Government Obligation”</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“Vice President”</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“Voting Stock”</w:t>
            </w:r>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40" w:type="dxa"/>
            <w:vAlign w:val="bottom"/>
          </w:tcPr>
          <w:p>
            <w:pPr>
              <w:ind w:left="360"/>
              <w:spacing w:after="0"/>
              <w:rPr>
                <w:sz w:val="20"/>
                <w:szCs w:val="20"/>
                <w:color w:val="auto"/>
              </w:rPr>
            </w:pPr>
            <w:r>
              <w:rPr>
                <w:rFonts w:ascii="Arial" w:cs="Arial" w:eastAsia="Arial" w:hAnsi="Arial"/>
                <w:sz w:val="18"/>
                <w:szCs w:val="18"/>
                <w:color w:val="auto"/>
              </w:rPr>
              <w:t>“Wholly Owned Subsidiary”</w:t>
            </w:r>
          </w:p>
        </w:tc>
        <w:tc>
          <w:tcPr>
            <w:tcW w:w="6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102.   Compliance Certificates and Opinions.</w:t>
            </w:r>
          </w:p>
        </w:tc>
        <w:tc>
          <w:tcPr>
            <w:tcW w:w="6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103.   Form of Documents Delivered to Trustee.</w:t>
            </w:r>
          </w:p>
        </w:tc>
        <w:tc>
          <w:tcPr>
            <w:tcW w:w="6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104.   Acts of Holders; Record Dates.</w:t>
            </w:r>
          </w:p>
        </w:tc>
        <w:tc>
          <w:tcPr>
            <w:tcW w:w="6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105.   Notices, Etc., to Trustee and Company.</w:t>
            </w:r>
          </w:p>
        </w:tc>
        <w:tc>
          <w:tcPr>
            <w:tcW w:w="6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106.   Notice to Holders; Waiver.</w:t>
            </w:r>
          </w:p>
        </w:tc>
        <w:tc>
          <w:tcPr>
            <w:tcW w:w="6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107.   Conflict with Trust Indenture Act.</w:t>
            </w:r>
          </w:p>
        </w:tc>
        <w:tc>
          <w:tcPr>
            <w:tcW w:w="6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rPr>
              <w:t>SECTION 108.   Effect of Headings And Table of Contents.</w:t>
            </w:r>
          </w:p>
        </w:tc>
        <w:tc>
          <w:tcPr>
            <w:tcW w:w="6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040" w:type="dxa"/>
            <w:vAlign w:val="bottom"/>
          </w:tcPr>
          <w:p>
            <w:pPr>
              <w:spacing w:after="0"/>
              <w:rPr>
                <w:sz w:val="24"/>
                <w:szCs w:val="24"/>
                <w:color w:val="auto"/>
              </w:rPr>
            </w:pPr>
          </w:p>
        </w:tc>
        <w:tc>
          <w:tcPr>
            <w:tcW w:w="6280" w:type="dxa"/>
            <w:vAlign w:val="bottom"/>
          </w:tcPr>
          <w:p>
            <w:pPr>
              <w:jc w:val="right"/>
              <w:ind w:right="547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320"/>
          </w:cols>
          <w:pgMar w:left="240" w:top="382" w:right="3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109.</w:t>
            </w:r>
          </w:p>
        </w:tc>
        <w:tc>
          <w:tcPr>
            <w:tcW w:w="786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110.</w:t>
            </w:r>
          </w:p>
        </w:tc>
        <w:tc>
          <w:tcPr>
            <w:tcW w:w="7860" w:type="dxa"/>
            <w:vAlign w:val="bottom"/>
          </w:tcPr>
          <w:p>
            <w:pPr>
              <w:ind w:left="100"/>
              <w:spacing w:after="0"/>
              <w:rPr>
                <w:sz w:val="20"/>
                <w:szCs w:val="20"/>
                <w:color w:val="auto"/>
              </w:rPr>
            </w:pPr>
            <w:r>
              <w:rPr>
                <w:rFonts w:ascii="Arial" w:cs="Arial" w:eastAsia="Arial" w:hAnsi="Arial"/>
                <w:sz w:val="18"/>
                <w:szCs w:val="18"/>
                <w:color w:val="auto"/>
              </w:rPr>
              <w:t>Separability Clause.</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111.</w:t>
            </w:r>
          </w:p>
        </w:tc>
        <w:tc>
          <w:tcPr>
            <w:tcW w:w="7860" w:type="dxa"/>
            <w:vAlign w:val="bottom"/>
          </w:tcPr>
          <w:p>
            <w:pPr>
              <w:ind w:left="100"/>
              <w:spacing w:after="0"/>
              <w:rPr>
                <w:sz w:val="20"/>
                <w:szCs w:val="20"/>
                <w:color w:val="auto"/>
              </w:rPr>
            </w:pPr>
            <w:r>
              <w:rPr>
                <w:rFonts w:ascii="Arial" w:cs="Arial" w:eastAsia="Arial" w:hAnsi="Arial"/>
                <w:sz w:val="18"/>
                <w:szCs w:val="18"/>
                <w:color w:val="auto"/>
              </w:rPr>
              <w:t>Benefits of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112.</w:t>
            </w:r>
          </w:p>
        </w:tc>
        <w:tc>
          <w:tcPr>
            <w:tcW w:w="78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113.</w:t>
            </w:r>
          </w:p>
        </w:tc>
        <w:tc>
          <w:tcPr>
            <w:tcW w:w="786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114.   No Recourse Against Others.</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240" w:type="dxa"/>
            <w:vAlign w:val="bottom"/>
          </w:tcPr>
          <w:p>
            <w:pPr>
              <w:spacing w:after="0"/>
              <w:rPr>
                <w:sz w:val="24"/>
                <w:szCs w:val="24"/>
                <w:color w:val="auto"/>
              </w:rPr>
            </w:pPr>
          </w:p>
        </w:tc>
        <w:tc>
          <w:tcPr>
            <w:tcW w:w="7860" w:type="dxa"/>
            <w:vAlign w:val="bottom"/>
          </w:tcPr>
          <w:p>
            <w:pPr>
              <w:jc w:val="center"/>
              <w:ind w:left="890"/>
              <w:spacing w:after="0"/>
              <w:rPr>
                <w:sz w:val="20"/>
                <w:szCs w:val="20"/>
                <w:color w:val="auto"/>
              </w:rPr>
            </w:pPr>
            <w:r>
              <w:rPr>
                <w:rFonts w:ascii="Arial" w:cs="Arial" w:eastAsia="Arial" w:hAnsi="Arial"/>
                <w:sz w:val="18"/>
                <w:szCs w:val="18"/>
                <w:color w:val="auto"/>
                <w:w w:val="97"/>
              </w:rPr>
              <w:t>ARTICLE TWO</w:t>
            </w:r>
          </w:p>
        </w:tc>
        <w:tc>
          <w:tcPr>
            <w:tcW w:w="22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860" w:type="dxa"/>
            <w:vAlign w:val="bottom"/>
          </w:tcPr>
          <w:p>
            <w:pPr>
              <w:jc w:val="center"/>
              <w:ind w:left="910"/>
              <w:spacing w:after="0"/>
              <w:rPr>
                <w:sz w:val="20"/>
                <w:szCs w:val="20"/>
                <w:color w:val="auto"/>
              </w:rPr>
            </w:pPr>
            <w:r>
              <w:rPr>
                <w:rFonts w:ascii="Arial" w:cs="Arial" w:eastAsia="Arial" w:hAnsi="Arial"/>
                <w:sz w:val="18"/>
                <w:szCs w:val="18"/>
                <w:color w:val="auto"/>
                <w:w w:val="95"/>
              </w:rPr>
              <w:t>SECURITY FORMS</w:t>
            </w:r>
          </w:p>
        </w:tc>
        <w:tc>
          <w:tcPr>
            <w:tcW w:w="2220" w:type="dxa"/>
            <w:vAlign w:val="bottom"/>
          </w:tcPr>
          <w:p>
            <w:pPr>
              <w:spacing w:after="0"/>
              <w:rPr>
                <w:sz w:val="20"/>
                <w:szCs w:val="20"/>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786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7860" w:type="dxa"/>
            <w:vAlign w:val="bottom"/>
          </w:tcPr>
          <w:p>
            <w:pPr>
              <w:ind w:left="100"/>
              <w:spacing w:after="0"/>
              <w:rPr>
                <w:sz w:val="20"/>
                <w:szCs w:val="20"/>
                <w:color w:val="auto"/>
              </w:rPr>
            </w:pPr>
            <w:r>
              <w:rPr>
                <w:rFonts w:ascii="Arial" w:cs="Arial" w:eastAsia="Arial" w:hAnsi="Arial"/>
                <w:sz w:val="18"/>
                <w:szCs w:val="18"/>
                <w:color w:val="auto"/>
              </w:rPr>
              <w:t>Form of Face of Security.</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7860" w:type="dxa"/>
            <w:vAlign w:val="bottom"/>
          </w:tcPr>
          <w:p>
            <w:pPr>
              <w:ind w:left="100"/>
              <w:spacing w:after="0"/>
              <w:rPr>
                <w:sz w:val="20"/>
                <w:szCs w:val="20"/>
                <w:color w:val="auto"/>
              </w:rPr>
            </w:pPr>
            <w:r>
              <w:rPr>
                <w:rFonts w:ascii="Arial" w:cs="Arial" w:eastAsia="Arial" w:hAnsi="Arial"/>
                <w:sz w:val="18"/>
                <w:szCs w:val="18"/>
                <w:color w:val="auto"/>
              </w:rPr>
              <w:t>Form of Reverse of Security.</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786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7860" w:type="dxa"/>
            <w:vAlign w:val="bottom"/>
          </w:tcPr>
          <w:p>
            <w:pPr>
              <w:ind w:left="100"/>
              <w:spacing w:after="0"/>
              <w:rPr>
                <w:sz w:val="20"/>
                <w:szCs w:val="20"/>
                <w:color w:val="auto"/>
              </w:rPr>
            </w:pPr>
            <w:r>
              <w:rPr>
                <w:rFonts w:ascii="Arial" w:cs="Arial" w:eastAsia="Arial" w:hAnsi="Arial"/>
                <w:sz w:val="18"/>
                <w:szCs w:val="18"/>
                <w:color w:val="auto"/>
              </w:rPr>
              <w:t>Form of Legend for Global Securities.</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7860" w:type="dxa"/>
            <w:vAlign w:val="bottom"/>
          </w:tcPr>
          <w:p>
            <w:pPr>
              <w:ind w:left="100"/>
              <w:spacing w:after="0"/>
              <w:rPr>
                <w:sz w:val="20"/>
                <w:szCs w:val="20"/>
                <w:color w:val="auto"/>
              </w:rPr>
            </w:pPr>
            <w:r>
              <w:rPr>
                <w:rFonts w:ascii="Arial" w:cs="Arial" w:eastAsia="Arial" w:hAnsi="Arial"/>
                <w:sz w:val="18"/>
                <w:szCs w:val="18"/>
                <w:color w:val="auto"/>
              </w:rPr>
              <w:t>Form of Trustee’s Certificate of Authentication.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7860" w:type="dxa"/>
            <w:vAlign w:val="bottom"/>
          </w:tcPr>
          <w:p>
            <w:pPr>
              <w:ind w:left="100"/>
              <w:spacing w:after="0"/>
              <w:rPr>
                <w:sz w:val="20"/>
                <w:szCs w:val="20"/>
                <w:color w:val="auto"/>
              </w:rPr>
            </w:pPr>
            <w:r>
              <w:rPr>
                <w:rFonts w:ascii="Arial" w:cs="Arial" w:eastAsia="Arial" w:hAnsi="Arial"/>
                <w:sz w:val="18"/>
                <w:szCs w:val="18"/>
                <w:color w:val="auto"/>
              </w:rPr>
              <w:t>Form of Conversion Notice.</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240" w:type="dxa"/>
            <w:vAlign w:val="bottom"/>
          </w:tcPr>
          <w:p>
            <w:pPr>
              <w:spacing w:after="0"/>
              <w:rPr>
                <w:sz w:val="24"/>
                <w:szCs w:val="24"/>
                <w:color w:val="auto"/>
              </w:rPr>
            </w:pPr>
          </w:p>
        </w:tc>
        <w:tc>
          <w:tcPr>
            <w:tcW w:w="7860" w:type="dxa"/>
            <w:vAlign w:val="bottom"/>
          </w:tcPr>
          <w:p>
            <w:pPr>
              <w:jc w:val="center"/>
              <w:ind w:left="910"/>
              <w:spacing w:after="0"/>
              <w:rPr>
                <w:sz w:val="20"/>
                <w:szCs w:val="20"/>
                <w:color w:val="auto"/>
              </w:rPr>
            </w:pPr>
            <w:r>
              <w:rPr>
                <w:rFonts w:ascii="Arial" w:cs="Arial" w:eastAsia="Arial" w:hAnsi="Arial"/>
                <w:sz w:val="18"/>
                <w:szCs w:val="18"/>
                <w:color w:val="auto"/>
                <w:w w:val="97"/>
              </w:rPr>
              <w:t>ARTICLE THREE</w:t>
            </w:r>
          </w:p>
        </w:tc>
        <w:tc>
          <w:tcPr>
            <w:tcW w:w="22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860" w:type="dxa"/>
            <w:vAlign w:val="bottom"/>
          </w:tcPr>
          <w:p>
            <w:pPr>
              <w:jc w:val="center"/>
              <w:ind w:left="910"/>
              <w:spacing w:after="0"/>
              <w:rPr>
                <w:sz w:val="20"/>
                <w:szCs w:val="20"/>
                <w:color w:val="auto"/>
              </w:rPr>
            </w:pPr>
            <w:r>
              <w:rPr>
                <w:rFonts w:ascii="Arial" w:cs="Arial" w:eastAsia="Arial" w:hAnsi="Arial"/>
                <w:sz w:val="18"/>
                <w:szCs w:val="18"/>
                <w:color w:val="auto"/>
                <w:w w:val="95"/>
              </w:rPr>
              <w:t>THE SECURITIES</w:t>
            </w:r>
          </w:p>
        </w:tc>
        <w:tc>
          <w:tcPr>
            <w:tcW w:w="2220" w:type="dxa"/>
            <w:vAlign w:val="bottom"/>
          </w:tcPr>
          <w:p>
            <w:pPr>
              <w:spacing w:after="0"/>
              <w:rPr>
                <w:sz w:val="20"/>
                <w:szCs w:val="20"/>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7860" w:type="dxa"/>
            <w:vAlign w:val="bottom"/>
          </w:tcPr>
          <w:p>
            <w:pPr>
              <w:ind w:left="100"/>
              <w:spacing w:after="0"/>
              <w:rPr>
                <w:sz w:val="20"/>
                <w:szCs w:val="20"/>
                <w:color w:val="auto"/>
              </w:rPr>
            </w:pPr>
            <w:r>
              <w:rPr>
                <w:rFonts w:ascii="Arial" w:cs="Arial" w:eastAsia="Arial" w:hAnsi="Arial"/>
                <w:sz w:val="18"/>
                <w:szCs w:val="18"/>
                <w:color w:val="auto"/>
              </w:rPr>
              <w:t>Amount Unlimited; Issuable in Series.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7860" w:type="dxa"/>
            <w:vAlign w:val="bottom"/>
          </w:tcPr>
          <w:p>
            <w:pPr>
              <w:ind w:left="100"/>
              <w:spacing w:after="0"/>
              <w:rPr>
                <w:sz w:val="20"/>
                <w:szCs w:val="20"/>
                <w:color w:val="auto"/>
              </w:rPr>
            </w:pPr>
            <w:r>
              <w:rPr>
                <w:rFonts w:ascii="Arial" w:cs="Arial" w:eastAsia="Arial" w:hAnsi="Arial"/>
                <w:sz w:val="18"/>
                <w:szCs w:val="18"/>
                <w:color w:val="auto"/>
              </w:rPr>
              <w:t>Denominations.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Execution, Authentication, Delivery and Dating.</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786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7860" w:type="dxa"/>
            <w:vAlign w:val="bottom"/>
          </w:tcPr>
          <w:p>
            <w:pPr>
              <w:ind w:left="100"/>
              <w:spacing w:after="0"/>
              <w:rPr>
                <w:sz w:val="20"/>
                <w:szCs w:val="20"/>
                <w:color w:val="auto"/>
              </w:rPr>
            </w:pPr>
            <w:r>
              <w:rPr>
                <w:rFonts w:ascii="Arial" w:cs="Arial" w:eastAsia="Arial" w:hAnsi="Arial"/>
                <w:sz w:val="18"/>
                <w:szCs w:val="18"/>
                <w:color w:val="auto"/>
              </w:rPr>
              <w:t>Registration, Registration of Transfer and Exchange.</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786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307.</w:t>
            </w:r>
          </w:p>
        </w:tc>
        <w:tc>
          <w:tcPr>
            <w:tcW w:w="7860" w:type="dxa"/>
            <w:vAlign w:val="bottom"/>
          </w:tcPr>
          <w:p>
            <w:pPr>
              <w:ind w:left="100"/>
              <w:spacing w:after="0"/>
              <w:rPr>
                <w:sz w:val="20"/>
                <w:szCs w:val="20"/>
                <w:color w:val="auto"/>
              </w:rPr>
            </w:pPr>
            <w:r>
              <w:rPr>
                <w:rFonts w:ascii="Arial" w:cs="Arial" w:eastAsia="Arial" w:hAnsi="Arial"/>
                <w:sz w:val="18"/>
                <w:szCs w:val="18"/>
                <w:color w:val="auto"/>
              </w:rPr>
              <w:t>Payment of Interest; Interest Rights Preserved.</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308.</w:t>
            </w:r>
          </w:p>
        </w:tc>
        <w:tc>
          <w:tcPr>
            <w:tcW w:w="7860" w:type="dxa"/>
            <w:vAlign w:val="bottom"/>
          </w:tcPr>
          <w:p>
            <w:pPr>
              <w:ind w:left="100"/>
              <w:spacing w:after="0"/>
              <w:rPr>
                <w:sz w:val="20"/>
                <w:szCs w:val="20"/>
                <w:color w:val="auto"/>
              </w:rPr>
            </w:pPr>
            <w:r>
              <w:rPr>
                <w:rFonts w:ascii="Arial" w:cs="Arial" w:eastAsia="Arial" w:hAnsi="Arial"/>
                <w:sz w:val="18"/>
                <w:szCs w:val="18"/>
                <w:color w:val="auto"/>
              </w:rPr>
              <w:t>Persons Deemed Owners.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309.</w:t>
            </w:r>
          </w:p>
        </w:tc>
        <w:tc>
          <w:tcPr>
            <w:tcW w:w="786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7860" w:type="dxa"/>
            <w:vAlign w:val="bottom"/>
          </w:tcPr>
          <w:p>
            <w:pPr>
              <w:ind w:left="100"/>
              <w:spacing w:after="0"/>
              <w:rPr>
                <w:sz w:val="20"/>
                <w:szCs w:val="20"/>
                <w:color w:val="auto"/>
              </w:rPr>
            </w:pPr>
            <w:r>
              <w:rPr>
                <w:rFonts w:ascii="Arial" w:cs="Arial" w:eastAsia="Arial" w:hAnsi="Arial"/>
                <w:sz w:val="18"/>
                <w:szCs w:val="18"/>
                <w:color w:val="auto"/>
              </w:rPr>
              <w:t>Computation of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240" w:type="dxa"/>
            <w:vAlign w:val="bottom"/>
          </w:tcPr>
          <w:p>
            <w:pPr>
              <w:spacing w:after="0"/>
              <w:rPr>
                <w:sz w:val="24"/>
                <w:szCs w:val="24"/>
                <w:color w:val="auto"/>
              </w:rPr>
            </w:pPr>
          </w:p>
        </w:tc>
        <w:tc>
          <w:tcPr>
            <w:tcW w:w="7860" w:type="dxa"/>
            <w:vAlign w:val="bottom"/>
          </w:tcPr>
          <w:p>
            <w:pPr>
              <w:jc w:val="center"/>
              <w:ind w:left="890"/>
              <w:spacing w:after="0"/>
              <w:rPr>
                <w:sz w:val="20"/>
                <w:szCs w:val="20"/>
                <w:color w:val="auto"/>
              </w:rPr>
            </w:pPr>
            <w:r>
              <w:rPr>
                <w:rFonts w:ascii="Arial" w:cs="Arial" w:eastAsia="Arial" w:hAnsi="Arial"/>
                <w:sz w:val="18"/>
                <w:szCs w:val="18"/>
                <w:color w:val="auto"/>
                <w:w w:val="96"/>
              </w:rPr>
              <w:t>ARTICLE FOUR</w:t>
            </w:r>
          </w:p>
        </w:tc>
        <w:tc>
          <w:tcPr>
            <w:tcW w:w="22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860" w:type="dxa"/>
            <w:vAlign w:val="bottom"/>
          </w:tcPr>
          <w:p>
            <w:pPr>
              <w:jc w:val="center"/>
              <w:ind w:left="890"/>
              <w:spacing w:after="0"/>
              <w:rPr>
                <w:sz w:val="20"/>
                <w:szCs w:val="20"/>
                <w:color w:val="auto"/>
              </w:rPr>
            </w:pPr>
            <w:r>
              <w:rPr>
                <w:rFonts w:ascii="Arial" w:cs="Arial" w:eastAsia="Arial" w:hAnsi="Arial"/>
                <w:sz w:val="18"/>
                <w:szCs w:val="18"/>
                <w:color w:val="auto"/>
                <w:w w:val="96"/>
              </w:rPr>
              <w:t>SATISFACTION AND DISCHARGE</w:t>
            </w:r>
          </w:p>
        </w:tc>
        <w:tc>
          <w:tcPr>
            <w:tcW w:w="2220" w:type="dxa"/>
            <w:vAlign w:val="bottom"/>
          </w:tcPr>
          <w:p>
            <w:pPr>
              <w:spacing w:after="0"/>
              <w:rPr>
                <w:sz w:val="20"/>
                <w:szCs w:val="20"/>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401.</w:t>
            </w:r>
          </w:p>
        </w:tc>
        <w:tc>
          <w:tcPr>
            <w:tcW w:w="786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786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2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1240" w:type="dxa"/>
            <w:vAlign w:val="bottom"/>
          </w:tcPr>
          <w:p>
            <w:pPr>
              <w:spacing w:after="0"/>
              <w:rPr>
                <w:sz w:val="24"/>
                <w:szCs w:val="24"/>
                <w:color w:val="auto"/>
              </w:rPr>
            </w:pPr>
          </w:p>
        </w:tc>
        <w:tc>
          <w:tcPr>
            <w:tcW w:w="7860" w:type="dxa"/>
            <w:vAlign w:val="bottom"/>
          </w:tcPr>
          <w:p>
            <w:pPr>
              <w:ind w:left="4400"/>
              <w:spacing w:after="0"/>
              <w:rPr>
                <w:sz w:val="20"/>
                <w:szCs w:val="20"/>
                <w:color w:val="auto"/>
              </w:rPr>
            </w:pPr>
            <w:r>
              <w:rPr>
                <w:rFonts w:ascii="Arial" w:cs="Arial" w:eastAsia="Arial" w:hAnsi="Arial"/>
                <w:sz w:val="18"/>
                <w:szCs w:val="18"/>
                <w:color w:val="auto"/>
              </w:rPr>
              <w:t>iii</w:t>
            </w:r>
          </w:p>
        </w:tc>
        <w:tc>
          <w:tcPr>
            <w:tcW w:w="2220" w:type="dxa"/>
            <w:vAlign w:val="bottom"/>
          </w:tcPr>
          <w:p>
            <w:pPr>
              <w:spacing w:after="0"/>
              <w:rPr>
                <w:sz w:val="24"/>
                <w:szCs w:val="24"/>
                <w:color w:val="auto"/>
              </w:rPr>
            </w:pPr>
          </w:p>
        </w:tc>
      </w:tr>
    </w:tbl>
    <w:p>
      <w:pPr>
        <w:sectPr>
          <w:pgSz w:w="11900" w:h="16838" w:orient="portrait"/>
          <w:cols w:equalWidth="0" w:num="1">
            <w:col w:w="11320"/>
          </w:cols>
          <w:pgMar w:left="240" w:top="382"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FIVE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502.   Acceleration of Maturity; Rescission and Annulment.</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504.   Trustee May File Proofs of Claim.</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505.   Trustee May Enforce Claims Without Possession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506.   Application of Money Collected.</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507.   Limitation on Suits.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509.   Restoration of Rights and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510.   Rights and Remedies Cumulative.</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511.   Delay or Omission Not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512.   Control by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513.   Waiver of Past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514.   Undertaking for Costs.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515.   Waiver of Usury, Stay or Extension Laws.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240" w:type="dxa"/>
            <w:vAlign w:val="bottom"/>
          </w:tcPr>
          <w:p>
            <w:pPr>
              <w:spacing w:after="0"/>
              <w:rPr>
                <w:sz w:val="24"/>
                <w:szCs w:val="24"/>
                <w:color w:val="auto"/>
              </w:rPr>
            </w:pPr>
          </w:p>
        </w:tc>
        <w:tc>
          <w:tcPr>
            <w:tcW w:w="7740" w:type="dxa"/>
            <w:vAlign w:val="bottom"/>
          </w:tcPr>
          <w:p>
            <w:pPr>
              <w:jc w:val="center"/>
              <w:ind w:left="1010"/>
              <w:spacing w:after="0"/>
              <w:rPr>
                <w:sz w:val="20"/>
                <w:szCs w:val="20"/>
                <w:color w:val="auto"/>
              </w:rPr>
            </w:pPr>
            <w:r>
              <w:rPr>
                <w:rFonts w:ascii="Arial" w:cs="Arial" w:eastAsia="Arial" w:hAnsi="Arial"/>
                <w:sz w:val="18"/>
                <w:szCs w:val="18"/>
                <w:color w:val="auto"/>
                <w:w w:val="98"/>
              </w:rPr>
              <w:t>ARTICLE SIX</w:t>
            </w:r>
          </w:p>
        </w:tc>
        <w:tc>
          <w:tcPr>
            <w:tcW w:w="23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740" w:type="dxa"/>
            <w:vAlign w:val="bottom"/>
          </w:tcPr>
          <w:p>
            <w:pPr>
              <w:jc w:val="center"/>
              <w:ind w:left="1030"/>
              <w:spacing w:after="0"/>
              <w:rPr>
                <w:sz w:val="20"/>
                <w:szCs w:val="20"/>
                <w:color w:val="auto"/>
              </w:rPr>
            </w:pPr>
            <w:r>
              <w:rPr>
                <w:rFonts w:ascii="Arial" w:cs="Arial" w:eastAsia="Arial" w:hAnsi="Arial"/>
                <w:sz w:val="18"/>
                <w:szCs w:val="18"/>
                <w:color w:val="auto"/>
                <w:w w:val="94"/>
              </w:rPr>
              <w:t>THE TRUSTEE</w:t>
            </w:r>
          </w:p>
        </w:tc>
        <w:tc>
          <w:tcPr>
            <w:tcW w:w="2340" w:type="dxa"/>
            <w:vAlign w:val="bottom"/>
          </w:tcPr>
          <w:p>
            <w:pPr>
              <w:spacing w:after="0"/>
              <w:rPr>
                <w:sz w:val="20"/>
                <w:szCs w:val="20"/>
                <w:color w:val="auto"/>
              </w:rPr>
            </w:pP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601.   Certain Duties and Responsibilities.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602.   Notice of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603.   Certain 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604.   Not Responsible for Recitals or Issuance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605.   May Hold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606.   Money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607.   Compensation and Reimbursement.</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7740" w:type="dxa"/>
            <w:vAlign w:val="bottom"/>
          </w:tcPr>
          <w:p>
            <w:pPr>
              <w:ind w:left="100"/>
              <w:spacing w:after="0"/>
              <w:rPr>
                <w:sz w:val="20"/>
                <w:szCs w:val="20"/>
                <w:color w:val="auto"/>
              </w:rPr>
            </w:pPr>
            <w:r>
              <w:rPr>
                <w:rFonts w:ascii="Arial" w:cs="Arial" w:eastAsia="Arial" w:hAnsi="Arial"/>
                <w:sz w:val="18"/>
                <w:szCs w:val="18"/>
                <w:color w:val="auto"/>
              </w:rPr>
              <w:t>Conflicting Interests.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609.   Corporate Trustee Required; Eligibility.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610.   Resignation and Removal; Appointment of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611.   Acceptance of Appointment by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613.   Preferential Collection of Claims Against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614.   Appointment of Authenticating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65"/>
        </w:trPr>
        <w:tc>
          <w:tcPr>
            <w:tcW w:w="1240" w:type="dxa"/>
            <w:vAlign w:val="bottom"/>
          </w:tcPr>
          <w:p>
            <w:pPr>
              <w:spacing w:after="0"/>
              <w:rPr>
                <w:sz w:val="24"/>
                <w:szCs w:val="24"/>
                <w:color w:val="auto"/>
              </w:rPr>
            </w:pPr>
          </w:p>
        </w:tc>
        <w:tc>
          <w:tcPr>
            <w:tcW w:w="7740" w:type="dxa"/>
            <w:vAlign w:val="bottom"/>
          </w:tcPr>
          <w:p>
            <w:pPr>
              <w:ind w:left="4400"/>
              <w:spacing w:after="0"/>
              <w:rPr>
                <w:sz w:val="20"/>
                <w:szCs w:val="20"/>
                <w:color w:val="auto"/>
              </w:rPr>
            </w:pPr>
            <w:r>
              <w:rPr>
                <w:rFonts w:ascii="Arial" w:cs="Arial" w:eastAsia="Arial" w:hAnsi="Arial"/>
                <w:sz w:val="18"/>
                <w:szCs w:val="18"/>
                <w:color w:val="auto"/>
              </w:rPr>
              <w:t>iv</w:t>
            </w:r>
          </w:p>
        </w:tc>
        <w:tc>
          <w:tcPr>
            <w:tcW w:w="2340" w:type="dxa"/>
            <w:vAlign w:val="bottom"/>
          </w:tcPr>
          <w:p>
            <w:pPr>
              <w:spacing w:after="0"/>
              <w:rPr>
                <w:sz w:val="24"/>
                <w:szCs w:val="24"/>
                <w:color w:val="auto"/>
              </w:rPr>
            </w:pPr>
          </w:p>
        </w:tc>
      </w:tr>
    </w:tbl>
    <w:p>
      <w:pPr>
        <w:sectPr>
          <w:pgSz w:w="11900" w:h="16838" w:orient="portrait"/>
          <w:cols w:equalWidth="0" w:num="1">
            <w:col w:w="11320"/>
          </w:cols>
          <w:pgMar w:left="240" w:top="382"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SEVEN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LISTS AND REPORTS BY TRUSTEE AND COMPANY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701.</w:t>
            </w:r>
          </w:p>
        </w:tc>
        <w:tc>
          <w:tcPr>
            <w:tcW w:w="8440" w:type="dxa"/>
            <w:vAlign w:val="bottom"/>
          </w:tcPr>
          <w:p>
            <w:pPr>
              <w:ind w:left="120"/>
              <w:spacing w:after="0"/>
              <w:rPr>
                <w:sz w:val="20"/>
                <w:szCs w:val="20"/>
                <w:color w:val="auto"/>
              </w:rPr>
            </w:pPr>
            <w:r>
              <w:rPr>
                <w:rFonts w:ascii="Arial" w:cs="Arial" w:eastAsia="Arial" w:hAnsi="Arial"/>
                <w:sz w:val="18"/>
                <w:szCs w:val="18"/>
                <w:color w:val="auto"/>
              </w:rPr>
              <w:t>Company to Furnish Trustee Names and Addresses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702.</w:t>
            </w:r>
          </w:p>
        </w:tc>
        <w:tc>
          <w:tcPr>
            <w:tcW w:w="8440" w:type="dxa"/>
            <w:vAlign w:val="bottom"/>
          </w:tcPr>
          <w:p>
            <w:pPr>
              <w:ind w:left="120"/>
              <w:spacing w:after="0"/>
              <w:rPr>
                <w:sz w:val="20"/>
                <w:szCs w:val="20"/>
                <w:color w:val="auto"/>
              </w:rPr>
            </w:pPr>
            <w:r>
              <w:rPr>
                <w:rFonts w:ascii="Arial" w:cs="Arial" w:eastAsia="Arial" w:hAnsi="Arial"/>
                <w:sz w:val="18"/>
                <w:szCs w:val="18"/>
                <w:color w:val="auto"/>
              </w:rPr>
              <w:t>Preservation of Information; Communications to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703.</w:t>
            </w:r>
          </w:p>
        </w:tc>
        <w:tc>
          <w:tcPr>
            <w:tcW w:w="8440" w:type="dxa"/>
            <w:vAlign w:val="bottom"/>
          </w:tcPr>
          <w:p>
            <w:pPr>
              <w:ind w:left="120"/>
              <w:spacing w:after="0"/>
              <w:rPr>
                <w:sz w:val="20"/>
                <w:szCs w:val="20"/>
                <w:color w:val="auto"/>
              </w:rPr>
            </w:pPr>
            <w:r>
              <w:rPr>
                <w:rFonts w:ascii="Arial" w:cs="Arial" w:eastAsia="Arial" w:hAnsi="Arial"/>
                <w:sz w:val="18"/>
                <w:szCs w:val="18"/>
                <w:color w:val="auto"/>
              </w:rPr>
              <w:t>Reports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704.</w:t>
            </w:r>
          </w:p>
        </w:tc>
        <w:tc>
          <w:tcPr>
            <w:tcW w:w="8440" w:type="dxa"/>
            <w:vAlign w:val="bottom"/>
          </w:tcPr>
          <w:p>
            <w:pPr>
              <w:ind w:left="120"/>
              <w:spacing w:after="0"/>
              <w:rPr>
                <w:sz w:val="20"/>
                <w:szCs w:val="20"/>
                <w:color w:val="auto"/>
              </w:rPr>
            </w:pPr>
            <w:r>
              <w:rPr>
                <w:rFonts w:ascii="Arial" w:cs="Arial" w:eastAsia="Arial" w:hAnsi="Arial"/>
                <w:sz w:val="18"/>
                <w:szCs w:val="18"/>
                <w:color w:val="auto"/>
              </w:rPr>
              <w:t>Reports by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340" w:type="dxa"/>
            <w:vAlign w:val="bottom"/>
          </w:tcPr>
          <w:p>
            <w:pPr>
              <w:spacing w:after="0"/>
              <w:rPr>
                <w:sz w:val="24"/>
                <w:szCs w:val="24"/>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8"/>
              </w:rPr>
              <w:t>ARTICLE EIGHT</w:t>
            </w:r>
          </w:p>
        </w:tc>
        <w:tc>
          <w:tcPr>
            <w:tcW w:w="154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5"/>
              </w:rPr>
              <w:t>CONSOLIDATION, MERGER, CONVEYANCE, TRANSFER OR LEASE</w:t>
            </w:r>
          </w:p>
        </w:tc>
        <w:tc>
          <w:tcPr>
            <w:tcW w:w="15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801.</w:t>
            </w:r>
          </w:p>
        </w:tc>
        <w:tc>
          <w:tcPr>
            <w:tcW w:w="8440" w:type="dxa"/>
            <w:vAlign w:val="bottom"/>
          </w:tcPr>
          <w:p>
            <w:pPr>
              <w:ind w:left="120"/>
              <w:spacing w:after="0"/>
              <w:rPr>
                <w:sz w:val="20"/>
                <w:szCs w:val="20"/>
                <w:color w:val="auto"/>
              </w:rPr>
            </w:pPr>
            <w:r>
              <w:rPr>
                <w:rFonts w:ascii="Arial" w:cs="Arial" w:eastAsia="Arial" w:hAnsi="Arial"/>
                <w:sz w:val="18"/>
                <w:szCs w:val="18"/>
                <w:color w:val="auto"/>
              </w:rPr>
              <w:t>Company May Consolidate, Etc., Only on Certain Terms.</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802.</w:t>
            </w:r>
          </w:p>
        </w:tc>
        <w:tc>
          <w:tcPr>
            <w:tcW w:w="844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803.</w:t>
            </w:r>
          </w:p>
        </w:tc>
        <w:tc>
          <w:tcPr>
            <w:tcW w:w="8440" w:type="dxa"/>
            <w:vAlign w:val="bottom"/>
          </w:tcPr>
          <w:p>
            <w:pPr>
              <w:ind w:left="120"/>
              <w:spacing w:after="0"/>
              <w:rPr>
                <w:sz w:val="20"/>
                <w:szCs w:val="20"/>
                <w:color w:val="auto"/>
              </w:rPr>
            </w:pPr>
            <w:r>
              <w:rPr>
                <w:rFonts w:ascii="Arial" w:cs="Arial" w:eastAsia="Arial" w:hAnsi="Arial"/>
                <w:sz w:val="18"/>
                <w:szCs w:val="18"/>
                <w:color w:val="auto"/>
              </w:rPr>
              <w:t>Successor Substituted.</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340" w:type="dxa"/>
            <w:vAlign w:val="bottom"/>
          </w:tcPr>
          <w:p>
            <w:pPr>
              <w:spacing w:after="0"/>
              <w:rPr>
                <w:sz w:val="24"/>
                <w:szCs w:val="24"/>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8"/>
              </w:rPr>
              <w:t>ARTICLE NINE</w:t>
            </w:r>
          </w:p>
        </w:tc>
        <w:tc>
          <w:tcPr>
            <w:tcW w:w="154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40" w:type="dxa"/>
            <w:vAlign w:val="bottom"/>
          </w:tcPr>
          <w:p>
            <w:pPr>
              <w:jc w:val="center"/>
              <w:ind w:left="110"/>
              <w:spacing w:after="0"/>
              <w:rPr>
                <w:sz w:val="20"/>
                <w:szCs w:val="20"/>
                <w:color w:val="auto"/>
              </w:rPr>
            </w:pPr>
            <w:r>
              <w:rPr>
                <w:rFonts w:ascii="Arial" w:cs="Arial" w:eastAsia="Arial" w:hAnsi="Arial"/>
                <w:sz w:val="18"/>
                <w:szCs w:val="18"/>
                <w:color w:val="auto"/>
                <w:w w:val="96"/>
              </w:rPr>
              <w:t>SUPPLEMENTAL INDENTURES</w:t>
            </w:r>
          </w:p>
        </w:tc>
        <w:tc>
          <w:tcPr>
            <w:tcW w:w="15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901.</w:t>
            </w:r>
          </w:p>
        </w:tc>
        <w:tc>
          <w:tcPr>
            <w:tcW w:w="8440" w:type="dxa"/>
            <w:vAlign w:val="bottom"/>
          </w:tcPr>
          <w:p>
            <w:pPr>
              <w:ind w:left="120"/>
              <w:spacing w:after="0"/>
              <w:rPr>
                <w:sz w:val="20"/>
                <w:szCs w:val="20"/>
                <w:color w:val="auto"/>
              </w:rPr>
            </w:pPr>
            <w:r>
              <w:rPr>
                <w:rFonts w:ascii="Arial" w:cs="Arial" w:eastAsia="Arial" w:hAnsi="Arial"/>
                <w:sz w:val="18"/>
                <w:szCs w:val="18"/>
                <w:color w:val="auto"/>
              </w:rPr>
              <w:t>Supplemental Indentures Without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902.</w:t>
            </w:r>
          </w:p>
        </w:tc>
        <w:tc>
          <w:tcPr>
            <w:tcW w:w="844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903.</w:t>
            </w:r>
          </w:p>
        </w:tc>
        <w:tc>
          <w:tcPr>
            <w:tcW w:w="844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904.</w:t>
            </w:r>
          </w:p>
        </w:tc>
        <w:tc>
          <w:tcPr>
            <w:tcW w:w="844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905.</w:t>
            </w:r>
          </w:p>
        </w:tc>
        <w:tc>
          <w:tcPr>
            <w:tcW w:w="8440" w:type="dxa"/>
            <w:vAlign w:val="bottom"/>
          </w:tcPr>
          <w:p>
            <w:pPr>
              <w:ind w:left="120"/>
              <w:spacing w:after="0"/>
              <w:rPr>
                <w:sz w:val="20"/>
                <w:szCs w:val="20"/>
                <w:color w:val="auto"/>
              </w:rPr>
            </w:pPr>
            <w:r>
              <w:rPr>
                <w:rFonts w:ascii="Arial" w:cs="Arial" w:eastAsia="Arial" w:hAnsi="Arial"/>
                <w:sz w:val="18"/>
                <w:szCs w:val="18"/>
                <w:color w:val="auto"/>
              </w:rPr>
              <w:t>Conformity With Trust Indenture Act.</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906.</w:t>
            </w:r>
          </w:p>
        </w:tc>
        <w:tc>
          <w:tcPr>
            <w:tcW w:w="8440" w:type="dxa"/>
            <w:vAlign w:val="bottom"/>
          </w:tcPr>
          <w:p>
            <w:pPr>
              <w:ind w:left="120"/>
              <w:spacing w:after="0"/>
              <w:rPr>
                <w:sz w:val="20"/>
                <w:szCs w:val="20"/>
                <w:color w:val="auto"/>
              </w:rPr>
            </w:pPr>
            <w:r>
              <w:rPr>
                <w:rFonts w:ascii="Arial" w:cs="Arial" w:eastAsia="Arial" w:hAnsi="Arial"/>
                <w:sz w:val="18"/>
                <w:szCs w:val="18"/>
                <w:color w:val="auto"/>
              </w:rPr>
              <w:t>Reference in Securities to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340" w:type="dxa"/>
            <w:vAlign w:val="bottom"/>
          </w:tcPr>
          <w:p>
            <w:pPr>
              <w:spacing w:after="0"/>
              <w:rPr>
                <w:sz w:val="24"/>
                <w:szCs w:val="24"/>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7"/>
              </w:rPr>
              <w:t>ARTICLE TEN</w:t>
            </w:r>
          </w:p>
        </w:tc>
        <w:tc>
          <w:tcPr>
            <w:tcW w:w="154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8"/>
              </w:rPr>
              <w:t>COVENANTS</w:t>
            </w:r>
          </w:p>
        </w:tc>
        <w:tc>
          <w:tcPr>
            <w:tcW w:w="15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1001.</w:t>
            </w:r>
          </w:p>
        </w:tc>
        <w:tc>
          <w:tcPr>
            <w:tcW w:w="8440" w:type="dxa"/>
            <w:vAlign w:val="bottom"/>
          </w:tcPr>
          <w:p>
            <w:pPr>
              <w:ind w:left="120"/>
              <w:spacing w:after="0"/>
              <w:rPr>
                <w:sz w:val="20"/>
                <w:szCs w:val="20"/>
                <w:color w:val="auto"/>
              </w:rPr>
            </w:pPr>
            <w:r>
              <w:rPr>
                <w:rFonts w:ascii="Arial" w:cs="Arial" w:eastAsia="Arial" w:hAnsi="Arial"/>
                <w:sz w:val="18"/>
                <w:szCs w:val="18"/>
                <w:color w:val="auto"/>
              </w:rPr>
              <w:t>Payment of Principal, Premium and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1002.</w:t>
            </w:r>
          </w:p>
        </w:tc>
        <w:tc>
          <w:tcPr>
            <w:tcW w:w="844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1003.</w:t>
            </w:r>
          </w:p>
        </w:tc>
        <w:tc>
          <w:tcPr>
            <w:tcW w:w="8440" w:type="dxa"/>
            <w:vAlign w:val="bottom"/>
          </w:tcPr>
          <w:p>
            <w:pPr>
              <w:ind w:left="120"/>
              <w:spacing w:after="0"/>
              <w:rPr>
                <w:sz w:val="20"/>
                <w:szCs w:val="20"/>
                <w:color w:val="auto"/>
              </w:rPr>
            </w:pPr>
            <w:r>
              <w:rPr>
                <w:rFonts w:ascii="Arial" w:cs="Arial" w:eastAsia="Arial" w:hAnsi="Arial"/>
                <w:sz w:val="18"/>
                <w:szCs w:val="18"/>
                <w:color w:val="auto"/>
              </w:rPr>
              <w:t>Money for Securities Payments to be Held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1004.</w:t>
            </w:r>
          </w:p>
        </w:tc>
        <w:tc>
          <w:tcPr>
            <w:tcW w:w="8440" w:type="dxa"/>
            <w:vAlign w:val="bottom"/>
          </w:tcPr>
          <w:p>
            <w:pPr>
              <w:ind w:left="120"/>
              <w:spacing w:after="0"/>
              <w:rPr>
                <w:sz w:val="20"/>
                <w:szCs w:val="20"/>
                <w:color w:val="auto"/>
              </w:rPr>
            </w:pPr>
            <w:r>
              <w:rPr>
                <w:rFonts w:ascii="Arial" w:cs="Arial" w:eastAsia="Arial" w:hAnsi="Arial"/>
                <w:sz w:val="18"/>
                <w:szCs w:val="18"/>
                <w:color w:val="auto"/>
              </w:rPr>
              <w:t>Statement by Officers as to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1005.</w:t>
            </w:r>
          </w:p>
        </w:tc>
        <w:tc>
          <w:tcPr>
            <w:tcW w:w="84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1006.</w:t>
            </w:r>
          </w:p>
        </w:tc>
        <w:tc>
          <w:tcPr>
            <w:tcW w:w="8440" w:type="dxa"/>
            <w:vAlign w:val="bottom"/>
          </w:tcPr>
          <w:p>
            <w:pPr>
              <w:ind w:left="120"/>
              <w:spacing w:after="0"/>
              <w:rPr>
                <w:sz w:val="20"/>
                <w:szCs w:val="20"/>
                <w:color w:val="auto"/>
              </w:rPr>
            </w:pPr>
            <w:r>
              <w:rPr>
                <w:rFonts w:ascii="Arial" w:cs="Arial" w:eastAsia="Arial" w:hAnsi="Arial"/>
                <w:sz w:val="18"/>
                <w:szCs w:val="18"/>
                <w:color w:val="auto"/>
              </w:rPr>
              <w:t>Maintenance of Properties.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1007.</w:t>
            </w:r>
          </w:p>
        </w:tc>
        <w:tc>
          <w:tcPr>
            <w:tcW w:w="8440" w:type="dxa"/>
            <w:vAlign w:val="bottom"/>
          </w:tcPr>
          <w:p>
            <w:pPr>
              <w:ind w:left="120"/>
              <w:spacing w:after="0"/>
              <w:rPr>
                <w:sz w:val="20"/>
                <w:szCs w:val="20"/>
                <w:color w:val="auto"/>
              </w:rPr>
            </w:pPr>
            <w:r>
              <w:rPr>
                <w:rFonts w:ascii="Arial" w:cs="Arial" w:eastAsia="Arial" w:hAnsi="Arial"/>
                <w:sz w:val="18"/>
                <w:szCs w:val="18"/>
                <w:color w:val="auto"/>
              </w:rPr>
              <w:t>Payment of Taxes and Other Claims.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1008.</w:t>
            </w:r>
          </w:p>
        </w:tc>
        <w:tc>
          <w:tcPr>
            <w:tcW w:w="844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1009.</w:t>
            </w:r>
          </w:p>
        </w:tc>
        <w:tc>
          <w:tcPr>
            <w:tcW w:w="8440" w:type="dxa"/>
            <w:vAlign w:val="bottom"/>
          </w:tcPr>
          <w:p>
            <w:pPr>
              <w:ind w:left="120"/>
              <w:spacing w:after="0"/>
              <w:rPr>
                <w:sz w:val="20"/>
                <w:szCs w:val="20"/>
                <w:color w:val="auto"/>
              </w:rPr>
            </w:pPr>
            <w:r>
              <w:rPr>
                <w:rFonts w:ascii="Arial" w:cs="Arial" w:eastAsia="Arial" w:hAnsi="Arial"/>
                <w:sz w:val="18"/>
                <w:szCs w:val="18"/>
                <w:color w:val="auto"/>
              </w:rPr>
              <w:t>Waiver of Certain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340" w:type="dxa"/>
            <w:vAlign w:val="bottom"/>
          </w:tcPr>
          <w:p>
            <w:pPr>
              <w:spacing w:after="0"/>
              <w:rPr>
                <w:sz w:val="24"/>
                <w:szCs w:val="24"/>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8"/>
              </w:rPr>
              <w:t>ARTICLE ELEVEN</w:t>
            </w:r>
          </w:p>
        </w:tc>
        <w:tc>
          <w:tcPr>
            <w:tcW w:w="154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40" w:type="dxa"/>
            <w:vAlign w:val="bottom"/>
          </w:tcPr>
          <w:p>
            <w:pPr>
              <w:jc w:val="center"/>
              <w:ind w:left="130"/>
              <w:spacing w:after="0"/>
              <w:rPr>
                <w:sz w:val="20"/>
                <w:szCs w:val="20"/>
                <w:color w:val="auto"/>
              </w:rPr>
            </w:pPr>
            <w:r>
              <w:rPr>
                <w:rFonts w:ascii="Arial" w:cs="Arial" w:eastAsia="Arial" w:hAnsi="Arial"/>
                <w:sz w:val="18"/>
                <w:szCs w:val="18"/>
                <w:color w:val="auto"/>
                <w:w w:val="95"/>
              </w:rPr>
              <w:t>REDEMPTION OF SECURITIES</w:t>
            </w:r>
          </w:p>
        </w:tc>
        <w:tc>
          <w:tcPr>
            <w:tcW w:w="15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1101.</w:t>
            </w:r>
          </w:p>
        </w:tc>
        <w:tc>
          <w:tcPr>
            <w:tcW w:w="8440" w:type="dxa"/>
            <w:vAlign w:val="bottom"/>
          </w:tcPr>
          <w:p>
            <w:pPr>
              <w:ind w:left="120"/>
              <w:spacing w:after="0"/>
              <w:rPr>
                <w:sz w:val="20"/>
                <w:szCs w:val="20"/>
                <w:color w:val="auto"/>
              </w:rPr>
            </w:pPr>
            <w:r>
              <w:rPr>
                <w:rFonts w:ascii="Arial" w:cs="Arial" w:eastAsia="Arial" w:hAnsi="Arial"/>
                <w:sz w:val="18"/>
                <w:szCs w:val="18"/>
                <w:color w:val="auto"/>
              </w:rPr>
              <w:t>Applicability of Article.</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5"/>
        </w:trPr>
        <w:tc>
          <w:tcPr>
            <w:tcW w:w="1340" w:type="dxa"/>
            <w:vAlign w:val="bottom"/>
          </w:tcPr>
          <w:p>
            <w:pPr>
              <w:spacing w:after="0"/>
              <w:rPr>
                <w:sz w:val="24"/>
                <w:szCs w:val="24"/>
                <w:color w:val="auto"/>
              </w:rPr>
            </w:pPr>
          </w:p>
        </w:tc>
        <w:tc>
          <w:tcPr>
            <w:tcW w:w="8440" w:type="dxa"/>
            <w:vAlign w:val="bottom"/>
          </w:tcPr>
          <w:p>
            <w:pPr>
              <w:ind w:left="4320"/>
              <w:spacing w:after="0"/>
              <w:rPr>
                <w:sz w:val="20"/>
                <w:szCs w:val="20"/>
                <w:color w:val="auto"/>
              </w:rPr>
            </w:pPr>
            <w:r>
              <w:rPr>
                <w:rFonts w:ascii="Arial" w:cs="Arial" w:eastAsia="Arial" w:hAnsi="Arial"/>
                <w:sz w:val="18"/>
                <w:szCs w:val="18"/>
                <w:color w:val="auto"/>
              </w:rPr>
              <w:t>v</w:t>
            </w:r>
          </w:p>
        </w:tc>
        <w:tc>
          <w:tcPr>
            <w:tcW w:w="154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SECTION 1102.   Election to Redeem; Notice to Trustee.</w:t>
            </w:r>
          </w:p>
        </w:tc>
        <w:tc>
          <w:tcPr>
            <w:tcW w:w="3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color w:val="auto"/>
              </w:rPr>
              <w:t>SECTION 1103.   Selection by Trustee of Securities to be Redeemed.</w:t>
            </w:r>
          </w:p>
        </w:tc>
        <w:tc>
          <w:tcPr>
            <w:tcW w:w="3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1104.</w:t>
            </w:r>
          </w:p>
        </w:tc>
        <w:tc>
          <w:tcPr>
            <w:tcW w:w="6840" w:type="dxa"/>
            <w:vAlign w:val="bottom"/>
          </w:tcPr>
          <w:p>
            <w:pPr>
              <w:ind w:left="120"/>
              <w:spacing w:after="0"/>
              <w:rPr>
                <w:sz w:val="20"/>
                <w:szCs w:val="20"/>
                <w:color w:val="auto"/>
              </w:rPr>
            </w:pPr>
            <w:r>
              <w:rPr>
                <w:rFonts w:ascii="Arial" w:cs="Arial" w:eastAsia="Arial" w:hAnsi="Arial"/>
                <w:sz w:val="18"/>
                <w:szCs w:val="18"/>
                <w:color w:val="auto"/>
              </w:rPr>
              <w:t>Notice of Redemption.</w:t>
            </w:r>
          </w:p>
        </w:tc>
        <w:tc>
          <w:tcPr>
            <w:tcW w:w="3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1105.</w:t>
            </w:r>
          </w:p>
        </w:tc>
        <w:tc>
          <w:tcPr>
            <w:tcW w:w="684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3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1106.</w:t>
            </w:r>
          </w:p>
        </w:tc>
        <w:tc>
          <w:tcPr>
            <w:tcW w:w="6840" w:type="dxa"/>
            <w:vAlign w:val="bottom"/>
          </w:tcPr>
          <w:p>
            <w:pPr>
              <w:ind w:left="120"/>
              <w:spacing w:after="0"/>
              <w:rPr>
                <w:sz w:val="20"/>
                <w:szCs w:val="20"/>
                <w:color w:val="auto"/>
              </w:rPr>
            </w:pPr>
            <w:r>
              <w:rPr>
                <w:rFonts w:ascii="Arial" w:cs="Arial" w:eastAsia="Arial" w:hAnsi="Arial"/>
                <w:sz w:val="18"/>
                <w:szCs w:val="18"/>
                <w:color w:val="auto"/>
              </w:rPr>
              <w:t>Securities Payable on Redemption Date.</w:t>
            </w:r>
          </w:p>
        </w:tc>
        <w:tc>
          <w:tcPr>
            <w:tcW w:w="3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1107.</w:t>
            </w:r>
          </w:p>
        </w:tc>
        <w:tc>
          <w:tcPr>
            <w:tcW w:w="6840" w:type="dxa"/>
            <w:vAlign w:val="bottom"/>
          </w:tcPr>
          <w:p>
            <w:pPr>
              <w:ind w:left="120"/>
              <w:spacing w:after="0"/>
              <w:rPr>
                <w:sz w:val="20"/>
                <w:szCs w:val="20"/>
                <w:color w:val="auto"/>
              </w:rPr>
            </w:pPr>
            <w:r>
              <w:rPr>
                <w:rFonts w:ascii="Arial" w:cs="Arial" w:eastAsia="Arial" w:hAnsi="Arial"/>
                <w:sz w:val="18"/>
                <w:szCs w:val="18"/>
                <w:color w:val="auto"/>
              </w:rPr>
              <w:t>Securities Redeemed in Part.</w:t>
            </w:r>
          </w:p>
        </w:tc>
        <w:tc>
          <w:tcPr>
            <w:tcW w:w="32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FOURTEEN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FIFTEEN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 AND COVENANT DEFEASANCE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SECTION 1501.   Company’s Option to Effect Defeasance or 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940" w:type="dxa"/>
            <w:vAlign w:val="bottom"/>
            <w:gridSpan w:val="2"/>
          </w:tcPr>
          <w:p>
            <w:pPr>
              <w:spacing w:after="0"/>
              <w:rPr>
                <w:sz w:val="20"/>
                <w:szCs w:val="20"/>
                <w:color w:val="auto"/>
              </w:rPr>
            </w:pPr>
            <w:r>
              <w:rPr>
                <w:rFonts w:ascii="Arial" w:cs="Arial" w:eastAsia="Arial" w:hAnsi="Arial"/>
                <w:sz w:val="18"/>
                <w:szCs w:val="18"/>
                <w:color w:val="auto"/>
              </w:rPr>
              <w:t>SECTION 1502.   Defeasance and Discharge.</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1503.</w:t>
            </w:r>
          </w:p>
        </w:tc>
        <w:tc>
          <w:tcPr>
            <w:tcW w:w="860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940" w:type="dxa"/>
            <w:vAlign w:val="bottom"/>
            <w:gridSpan w:val="2"/>
          </w:tcPr>
          <w:p>
            <w:pPr>
              <w:spacing w:after="0"/>
              <w:rPr>
                <w:sz w:val="20"/>
                <w:szCs w:val="20"/>
                <w:color w:val="auto"/>
              </w:rPr>
            </w:pPr>
            <w:r>
              <w:rPr>
                <w:rFonts w:ascii="Arial" w:cs="Arial" w:eastAsia="Arial" w:hAnsi="Arial"/>
                <w:sz w:val="18"/>
                <w:szCs w:val="18"/>
                <w:color w:val="auto"/>
              </w:rPr>
              <w:t>SECTION 1504.   Conditions to Defeasance or 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940" w:type="dxa"/>
            <w:vAlign w:val="bottom"/>
            <w:gridSpan w:val="2"/>
          </w:tcPr>
          <w:p>
            <w:pPr>
              <w:spacing w:after="0"/>
              <w:rPr>
                <w:sz w:val="20"/>
                <w:szCs w:val="20"/>
                <w:color w:val="auto"/>
              </w:rPr>
            </w:pPr>
            <w:r>
              <w:rPr>
                <w:rFonts w:ascii="Arial" w:cs="Arial" w:eastAsia="Arial" w:hAnsi="Arial"/>
                <w:sz w:val="18"/>
                <w:szCs w:val="18"/>
                <w:color w:val="auto"/>
              </w:rPr>
              <w:t>SECTION 1505.   Deposited Money and U.S. Government Obligations to be Held in Trust; Miscellaneous Provisions.</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1506.</w:t>
            </w:r>
          </w:p>
        </w:tc>
        <w:tc>
          <w:tcPr>
            <w:tcW w:w="860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340" w:type="dxa"/>
            <w:vAlign w:val="bottom"/>
          </w:tcPr>
          <w:p>
            <w:pPr>
              <w:spacing w:after="0"/>
              <w:rPr>
                <w:sz w:val="24"/>
                <w:szCs w:val="24"/>
                <w:color w:val="auto"/>
              </w:rPr>
            </w:pPr>
          </w:p>
        </w:tc>
        <w:tc>
          <w:tcPr>
            <w:tcW w:w="8600" w:type="dxa"/>
            <w:vAlign w:val="bottom"/>
          </w:tcPr>
          <w:p>
            <w:pPr>
              <w:jc w:val="center"/>
              <w:ind w:left="50"/>
              <w:spacing w:after="0"/>
              <w:rPr>
                <w:sz w:val="20"/>
                <w:szCs w:val="20"/>
                <w:color w:val="auto"/>
              </w:rPr>
            </w:pPr>
            <w:r>
              <w:rPr>
                <w:rFonts w:ascii="Arial" w:cs="Arial" w:eastAsia="Arial" w:hAnsi="Arial"/>
                <w:sz w:val="18"/>
                <w:szCs w:val="18"/>
                <w:color w:val="auto"/>
                <w:w w:val="97"/>
              </w:rPr>
              <w:t>ARTICLE SIXTEEN</w:t>
            </w:r>
          </w:p>
        </w:tc>
        <w:tc>
          <w:tcPr>
            <w:tcW w:w="14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600" w:type="dxa"/>
            <w:vAlign w:val="bottom"/>
          </w:tcPr>
          <w:p>
            <w:pPr>
              <w:jc w:val="center"/>
              <w:ind w:left="50"/>
              <w:spacing w:after="0"/>
              <w:rPr>
                <w:sz w:val="20"/>
                <w:szCs w:val="20"/>
                <w:color w:val="auto"/>
              </w:rPr>
            </w:pPr>
            <w:r>
              <w:rPr>
                <w:rFonts w:ascii="Arial" w:cs="Arial" w:eastAsia="Arial" w:hAnsi="Arial"/>
                <w:sz w:val="18"/>
                <w:szCs w:val="18"/>
                <w:color w:val="auto"/>
                <w:w w:val="97"/>
              </w:rPr>
              <w:t>SINKING FUNDS</w:t>
            </w:r>
          </w:p>
        </w:tc>
        <w:tc>
          <w:tcPr>
            <w:tcW w:w="1480" w:type="dxa"/>
            <w:vAlign w:val="bottom"/>
          </w:tcPr>
          <w:p>
            <w:pPr>
              <w:spacing w:after="0"/>
              <w:rPr>
                <w:sz w:val="20"/>
                <w:szCs w:val="20"/>
                <w:color w:val="auto"/>
              </w:rPr>
            </w:pPr>
          </w:p>
        </w:tc>
      </w:tr>
      <w:tr>
        <w:trPr>
          <w:trHeight w:val="324"/>
        </w:trPr>
        <w:tc>
          <w:tcPr>
            <w:tcW w:w="9940" w:type="dxa"/>
            <w:vAlign w:val="bottom"/>
            <w:gridSpan w:val="2"/>
          </w:tcPr>
          <w:p>
            <w:pPr>
              <w:spacing w:after="0"/>
              <w:rPr>
                <w:sz w:val="20"/>
                <w:szCs w:val="20"/>
                <w:color w:val="auto"/>
              </w:rPr>
            </w:pPr>
            <w:r>
              <w:rPr>
                <w:rFonts w:ascii="Arial" w:cs="Arial" w:eastAsia="Arial" w:hAnsi="Arial"/>
                <w:sz w:val="18"/>
                <w:szCs w:val="18"/>
                <w:color w:val="auto"/>
              </w:rPr>
              <w:t>SECTION 1601.   Applicability of Article.</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1602.</w:t>
            </w:r>
          </w:p>
        </w:tc>
        <w:tc>
          <w:tcPr>
            <w:tcW w:w="8600" w:type="dxa"/>
            <w:vAlign w:val="bottom"/>
          </w:tcPr>
          <w:p>
            <w:pPr>
              <w:ind w:left="120"/>
              <w:spacing w:after="0"/>
              <w:rPr>
                <w:sz w:val="20"/>
                <w:szCs w:val="20"/>
                <w:color w:val="auto"/>
              </w:rPr>
            </w:pPr>
            <w:r>
              <w:rPr>
                <w:rFonts w:ascii="Arial" w:cs="Arial" w:eastAsia="Arial" w:hAnsi="Arial"/>
                <w:sz w:val="18"/>
                <w:szCs w:val="18"/>
                <w:color w:val="auto"/>
              </w:rPr>
              <w:t>Satisfaction of Sinking Fund Payments with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1603.</w:t>
            </w:r>
          </w:p>
        </w:tc>
        <w:tc>
          <w:tcPr>
            <w:tcW w:w="8600" w:type="dxa"/>
            <w:vAlign w:val="bottom"/>
          </w:tcPr>
          <w:p>
            <w:pPr>
              <w:ind w:left="120"/>
              <w:spacing w:after="0"/>
              <w:rPr>
                <w:sz w:val="20"/>
                <w:szCs w:val="20"/>
                <w:color w:val="auto"/>
              </w:rPr>
            </w:pPr>
            <w:r>
              <w:rPr>
                <w:rFonts w:ascii="Arial" w:cs="Arial" w:eastAsia="Arial" w:hAnsi="Arial"/>
                <w:sz w:val="18"/>
                <w:szCs w:val="18"/>
                <w:color w:val="auto"/>
              </w:rPr>
              <w:t>Redemption of Securities for Sinking Fund.</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65"/>
        </w:trPr>
        <w:tc>
          <w:tcPr>
            <w:tcW w:w="1340" w:type="dxa"/>
            <w:vAlign w:val="bottom"/>
          </w:tcPr>
          <w:p>
            <w:pPr>
              <w:spacing w:after="0"/>
              <w:rPr>
                <w:sz w:val="24"/>
                <w:szCs w:val="24"/>
                <w:color w:val="auto"/>
              </w:rPr>
            </w:pPr>
          </w:p>
        </w:tc>
        <w:tc>
          <w:tcPr>
            <w:tcW w:w="8600" w:type="dxa"/>
            <w:vAlign w:val="bottom"/>
          </w:tcPr>
          <w:p>
            <w:pPr>
              <w:jc w:val="center"/>
              <w:ind w:left="50"/>
              <w:spacing w:after="0"/>
              <w:rPr>
                <w:sz w:val="20"/>
                <w:szCs w:val="20"/>
                <w:color w:val="auto"/>
              </w:rPr>
            </w:pPr>
            <w:r>
              <w:rPr>
                <w:rFonts w:ascii="Arial" w:cs="Arial" w:eastAsia="Arial" w:hAnsi="Arial"/>
                <w:sz w:val="18"/>
                <w:szCs w:val="18"/>
                <w:color w:val="auto"/>
              </w:rPr>
              <w:t>vi</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CLEARONE, INC.</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TRUST INDENTURE ACT SECTION</w:t>
            </w:r>
          </w:p>
        </w:tc>
        <w:tc>
          <w:tcPr>
            <w:tcW w:w="354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Section 310(a)(1)</w:t>
            </w:r>
          </w:p>
        </w:tc>
        <w:tc>
          <w:tcPr>
            <w:tcW w:w="3540" w:type="dxa"/>
            <w:vAlign w:val="bottom"/>
          </w:tcPr>
          <w:p>
            <w:pPr>
              <w:spacing w:after="0"/>
              <w:rPr>
                <w:sz w:val="16"/>
                <w:szCs w:val="16"/>
                <w:color w:val="auto"/>
              </w:rPr>
            </w:pPr>
          </w:p>
        </w:tc>
        <w:tc>
          <w:tcPr>
            <w:tcW w:w="1540" w:type="dxa"/>
            <w:vAlign w:val="bottom"/>
          </w:tcPr>
          <w:p>
            <w:pPr>
              <w:spacing w:after="0" w:line="195" w:lineRule="exact"/>
              <w:rPr>
                <w:sz w:val="20"/>
                <w:szCs w:val="20"/>
                <w:color w:val="auto"/>
              </w:rPr>
            </w:pPr>
            <w:r>
              <w:rPr>
                <w:rFonts w:ascii="Arial" w:cs="Arial" w:eastAsia="Arial" w:hAnsi="Arial"/>
                <w:sz w:val="18"/>
                <w:szCs w:val="18"/>
                <w:color w:val="auto"/>
              </w:rPr>
              <w:t>609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(a)(2)</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(a)(3)</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(a)(4)</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608</w:t>
            </w:r>
          </w:p>
        </w:tc>
      </w:tr>
      <w:tr>
        <w:trPr>
          <w:trHeight w:val="216"/>
        </w:trPr>
        <w:tc>
          <w:tcPr>
            <w:tcW w:w="2420" w:type="dxa"/>
            <w:vAlign w:val="bottom"/>
          </w:tcPr>
          <w:p>
            <w:pPr>
              <w:spacing w:after="0"/>
              <w:rPr>
                <w:sz w:val="18"/>
                <w:szCs w:val="18"/>
                <w:color w:val="auto"/>
              </w:rPr>
            </w:pP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610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311(a)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613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613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312(a)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701</w:t>
            </w:r>
          </w:p>
        </w:tc>
      </w:tr>
      <w:tr>
        <w:trPr>
          <w:trHeight w:val="216"/>
        </w:trPr>
        <w:tc>
          <w:tcPr>
            <w:tcW w:w="2420" w:type="dxa"/>
            <w:vAlign w:val="bottom"/>
          </w:tcPr>
          <w:p>
            <w:pPr>
              <w:spacing w:after="0"/>
              <w:rPr>
                <w:sz w:val="18"/>
                <w:szCs w:val="18"/>
                <w:color w:val="auto"/>
              </w:rPr>
            </w:pP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313(a)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314(a)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704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(a)(4)</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101</w:t>
            </w:r>
          </w:p>
        </w:tc>
      </w:tr>
      <w:tr>
        <w:trPr>
          <w:trHeight w:val="216"/>
        </w:trPr>
        <w:tc>
          <w:tcPr>
            <w:tcW w:w="2420" w:type="dxa"/>
            <w:vAlign w:val="bottom"/>
          </w:tcPr>
          <w:p>
            <w:pPr>
              <w:spacing w:after="0"/>
              <w:rPr>
                <w:sz w:val="18"/>
                <w:szCs w:val="18"/>
                <w:color w:val="auto"/>
              </w:rPr>
            </w:pP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1004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(c)(1)</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(c)(2)</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(c)(3)</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315(a)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601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514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316(a)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(a)(1)(A)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502</w:t>
            </w:r>
          </w:p>
        </w:tc>
      </w:tr>
      <w:tr>
        <w:trPr>
          <w:trHeight w:val="216"/>
        </w:trPr>
        <w:tc>
          <w:tcPr>
            <w:tcW w:w="2420" w:type="dxa"/>
            <w:vAlign w:val="bottom"/>
          </w:tcPr>
          <w:p>
            <w:pPr>
              <w:spacing w:after="0"/>
              <w:rPr>
                <w:sz w:val="18"/>
                <w:szCs w:val="18"/>
                <w:color w:val="auto"/>
              </w:rPr>
            </w:pP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512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(a)(1)(B)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513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(a)(2)</w:t>
            </w:r>
          </w:p>
        </w:tc>
        <w:tc>
          <w:tcPr>
            <w:tcW w:w="35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508</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Section 317(a)(1)</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503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(a)(2)</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504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1003</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Section 318(a)</w:t>
            </w:r>
          </w:p>
        </w:tc>
        <w:tc>
          <w:tcPr>
            <w:tcW w:w="5080" w:type="dxa"/>
            <w:vAlign w:val="bottom"/>
            <w:gridSpan w:val="2"/>
          </w:tcPr>
          <w:p>
            <w:pPr>
              <w:ind w:left="354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vii -</w:t>
      </w:r>
    </w:p>
    <w:p>
      <w:pPr>
        <w:sectPr>
          <w:pgSz w:w="11900" w:h="16838" w:orient="portrait"/>
          <w:cols w:equalWidth="0" w:num="1">
            <w:col w:w="11340"/>
          </w:cols>
          <w:pgMar w:left="240" w:top="274" w:right="319" w:bottom="1440" w:gutter="0" w:footer="0" w:header="0"/>
        </w:sectPr>
      </w:pPr>
    </w:p>
    <w:bookmarkStart w:id="41" w:name="page42"/>
    <w:bookmarkEnd w:id="41"/>
    <w:p>
      <w:pPr>
        <w:ind w:right="60" w:firstLine="456"/>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r>
        <w:rPr>
          <w:rFonts w:ascii="Arial" w:cs="Arial" w:eastAsia="Arial" w:hAnsi="Arial"/>
          <w:sz w:val="17"/>
          <w:szCs w:val="17"/>
          <w:color w:val="auto"/>
        </w:rPr>
        <w:t>, dated as of , 20 , among ClearOne, Inc., a corporation duly organized and existing under the laws of the State of Utah (herein</w:t>
      </w:r>
      <w:r>
        <w:rPr>
          <w:rFonts w:ascii="Arial" w:cs="Arial" w:eastAsia="Arial" w:hAnsi="Arial"/>
          <w:sz w:val="17"/>
          <w:szCs w:val="17"/>
          <w:b w:val="1"/>
          <w:bCs w:val="1"/>
          <w:color w:val="auto"/>
        </w:rPr>
        <w:t xml:space="preserve"> </w:t>
      </w:r>
      <w:r>
        <w:rPr>
          <w:rFonts w:ascii="Arial" w:cs="Arial" w:eastAsia="Arial" w:hAnsi="Arial"/>
          <w:sz w:val="17"/>
          <w:szCs w:val="17"/>
          <w:color w:val="auto"/>
        </w:rPr>
        <w:t>called the “Company”), having its principal office at 5225 Wiley Post Way, Suite 500, Salt Lake City, Utah 84116, and [TRUSTEE’S NAME], a banking</w:t>
      </w:r>
    </w:p>
    <w:p>
      <w:pPr>
        <w:spacing w:after="0" w:line="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corporation duly organized and existing under the laws of the State of</w:t>
      </w:r>
      <w:r>
        <w:rPr>
          <w:sz w:val="20"/>
          <w:szCs w:val="20"/>
          <w:color w:val="auto"/>
        </w:rPr>
        <w:tab/>
      </w:r>
      <w:r>
        <w:rPr>
          <w:rFonts w:ascii="Arial" w:cs="Arial" w:eastAsia="Arial" w:hAnsi="Arial"/>
          <w:sz w:val="16"/>
          <w:szCs w:val="16"/>
          <w:color w:val="auto"/>
        </w:rPr>
        <w:t>, as Trustee (herein called the “Trustee”).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GENERAL APPLICATION</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b w:val="1"/>
          <w:bCs w:val="1"/>
          <w:u w:val="single" w:color="auto"/>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other terms used herein which are defined in the Trust Indenture Act, either directly or by reference therein, have the meanings assigned to them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pacing w:after="0" w:line="210" w:lineRule="exact"/>
        <w:rPr>
          <w:rFonts w:ascii="Arial" w:cs="Arial" w:eastAsia="Arial" w:hAnsi="Arial"/>
          <w:sz w:val="16"/>
          <w:szCs w:val="16"/>
          <w:color w:val="auto"/>
        </w:rPr>
      </w:pPr>
    </w:p>
    <w:p>
      <w:pPr>
        <w:ind w:right="40" w:firstLine="464"/>
        <w:spacing w:after="0" w:line="286"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w:t>
      </w:r>
    </w:p>
    <w:p>
      <w:pPr>
        <w:spacing w:after="0" w:line="165" w:lineRule="exact"/>
        <w:rPr>
          <w:rFonts w:ascii="Arial" w:cs="Arial" w:eastAsia="Arial" w:hAnsi="Arial"/>
          <w:sz w:val="17"/>
          <w:szCs w:val="17"/>
          <w:color w:val="auto"/>
        </w:rPr>
      </w:pPr>
    </w:p>
    <w:p>
      <w:pPr>
        <w:ind w:right="48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Indenture as a whole and not to any particular Article, Section or other subdivision.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- 1</w:t>
      </w:r>
    </w:p>
    <w:p>
      <w:pPr>
        <w:sectPr>
          <w:pgSz w:w="11900" w:h="16838" w:orient="portrait"/>
          <w:cols w:equalWidth="0" w:num="1">
            <w:col w:w="11380"/>
          </w:cols>
          <w:pgMar w:left="240" w:top="270" w:right="27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provided that direct or indirect beneficial ownership of 10% or more of the Voting Stock of a Person shall be deemed to control.</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w:t>
      </w:r>
      <w:r>
        <w:rPr>
          <w:rFonts w:ascii="Arial" w:cs="Arial" w:eastAsia="Arial" w:hAnsi="Arial"/>
          <w:sz w:val="18"/>
          <w:szCs w:val="18"/>
          <w:color w:val="auto"/>
        </w:rPr>
        <w:t>t” means any Person authorized by the Trustee pursuant to Section 614 to act on behalf of the Trustee to authenticate Securities of one or more series.</w:t>
      </w:r>
    </w:p>
    <w:p>
      <w:pPr>
        <w:spacing w:after="0" w:line="162"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with respect to the Company, either the board of directors of the Company or any committee of that board duly authorized to act for it in respect hereof.</w:t>
      </w:r>
    </w:p>
    <w:p>
      <w:pPr>
        <w:spacing w:after="0" w:line="162"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with respect to the Company, a copy of a resolution certified by the Secretary or an Assistant Secretary of the Company to have been duly adopted by its Board of Directors and to be in full force and effect on the date of such certification, and delivered to the Trustee.</w:t>
      </w:r>
    </w:p>
    <w:p>
      <w:pPr>
        <w:spacing w:after="0" w:line="11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corporate stock or other equity participations, including partnership interests, whether general or limited, of such Person.</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common stock, $0.001 par value per share, of the Company as the same exists at the date of execution and delivery of this Indenture or other Capital Stock of the Company into which such common stock is converted, reclassified or changed from time to time.</w:t>
      </w:r>
    </w:p>
    <w:p>
      <w:pPr>
        <w:spacing w:after="0" w:line="138"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its Chairman of the Board of Directors, its Vice Chairman of the Board of Directors, its President or a Vice President, and by its Treasurer, an Assistant Treasurer, its Secretary or an Assistant Secretary, and delivered to the Trustee.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- 2</w:t>
      </w:r>
    </w:p>
    <w:p>
      <w:pPr>
        <w:sectPr>
          <w:pgSz w:w="11900" w:h="16838" w:orient="portrait"/>
          <w:cols w:equalWidth="0" w:num="1">
            <w:col w:w="11420"/>
          </w:cols>
          <w:pgMar w:left="240" w:top="27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Conversion Agent</w:t>
      </w:r>
      <w:r>
        <w:rPr>
          <w:rFonts w:ascii="Arial" w:cs="Arial" w:eastAsia="Arial" w:hAnsi="Arial"/>
          <w:sz w:val="18"/>
          <w:szCs w:val="18"/>
          <w:color w:val="auto"/>
        </w:rPr>
        <w:t>” means any Person authorized by the Company to convert any Securities on behalf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principal office of the Trustee at which at any particular time its corporate trust business shall be administered,</w:t>
      </w:r>
    </w:p>
    <w:p>
      <w:pPr>
        <w:spacing w:after="0" w:line="5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such office being located on the date hereof at</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a corporation, association, limited liability company, joint-stock company or business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has the meaning specified in Section 1503.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w:t>
      </w:r>
      <w:r>
        <w:rPr>
          <w:rFonts w:ascii="Arial" w:cs="Arial" w:eastAsia="Arial" w:hAnsi="Arial"/>
          <w:sz w:val="18"/>
          <w:szCs w:val="18"/>
          <w:color w:val="auto"/>
        </w:rPr>
        <w:t>” has the meaning specified in Section 1502.</w:t>
      </w:r>
    </w:p>
    <w:p>
      <w:pPr>
        <w:spacing w:after="0" w:line="225"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has the meaning specified in Section 104.</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that evidences all or part of the Securities of any series and bears the legend set forth in Section 205 (or such legend as may be specified as contemplated by Section 301 for such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Security is registered in the Security Register.</w:t>
      </w:r>
    </w:p>
    <w:p>
      <w:pPr>
        <w:spacing w:after="0" w:line="225"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15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62" w:lineRule="exact"/>
        <w:rPr>
          <w:sz w:val="20"/>
          <w:szCs w:val="20"/>
          <w:color w:val="auto"/>
        </w:rPr>
      </w:pPr>
    </w:p>
    <w:p>
      <w:pPr>
        <w:jc w:val="center"/>
        <w:ind w:right="2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Security, means the Stated Maturity of an installment of interest on such Security. I - 3</w:t>
      </w:r>
    </w:p>
    <w:p>
      <w:pPr>
        <w:sectPr>
          <w:pgSz w:w="11900" w:h="16838" w:orient="portrait"/>
          <w:cols w:equalWidth="0" w:num="1">
            <w:col w:w="11280"/>
          </w:cols>
          <w:pgMar w:left="240" w:top="270" w:right="37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means a written notice of the kind specified in Section 501(4).</w:t>
      </w:r>
    </w:p>
    <w:p>
      <w:pPr>
        <w:spacing w:after="0" w:line="225"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by the Chairman of the Board of Directors, a Vice Chairman of the Board of Directors,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4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as to the Company, a written opinion of counsel, who may be counsel for the Company and who shall be acceptable to the Trustee.</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66"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right="140" w:firstLine="464"/>
        <w:spacing w:after="0" w:line="259"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1502; and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- 4</w:t>
      </w:r>
    </w:p>
    <w:p>
      <w:pPr>
        <w:sectPr>
          <w:pgSz w:w="11900" w:h="16838" w:orient="portrait"/>
          <w:cols w:equalWidth="0" w:num="1">
            <w:col w:w="11360"/>
          </w:cols>
          <w:pgMar w:left="240" w:top="270" w:right="299" w:bottom="1440" w:gutter="0" w:footer="0" w:header="0"/>
        </w:sectPr>
      </w:pPr>
    </w:p>
    <w:bookmarkStart w:id="45" w:name="page46"/>
    <w:bookmarkEnd w:id="4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5" w:lineRule="exact"/>
        <w:rPr>
          <w:sz w:val="20"/>
          <w:szCs w:val="20"/>
          <w:color w:val="auto"/>
        </w:rPr>
      </w:pPr>
    </w:p>
    <w:p>
      <w:pPr>
        <w:jc w:val="both"/>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when used with respect to the Securities of any series, means the place or places where the principal of and any premium and interest on the Securities of that series are payable as specified as contemplated by Section 301.</w:t>
      </w:r>
    </w:p>
    <w:p>
      <w:pPr>
        <w:spacing w:after="0" w:line="162" w:lineRule="exact"/>
        <w:rPr>
          <w:sz w:val="20"/>
          <w:szCs w:val="20"/>
          <w:color w:val="auto"/>
        </w:rPr>
      </w:pPr>
    </w:p>
    <w:p>
      <w:pPr>
        <w:jc w:val="both"/>
        <w:ind w:right="28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2"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 - 5</w:t>
      </w:r>
    </w:p>
    <w:p>
      <w:pPr>
        <w:sectPr>
          <w:pgSz w:w="11900" w:h="16838" w:orient="portrait"/>
          <w:cols w:equalWidth="0" w:num="1">
            <w:col w:w="11400"/>
          </w:cols>
          <w:pgMar w:left="240" w:top="274"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38"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5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has the meaning specified in Section 1504.</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62"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- 6</w:t>
      </w:r>
    </w:p>
    <w:p>
      <w:pPr>
        <w:sectPr>
          <w:pgSz w:w="11900" w:h="16838" w:orient="portrait"/>
          <w:cols w:equalWidth="0" w:num="1">
            <w:col w:w="11380"/>
          </w:cols>
          <w:pgMar w:left="240" w:top="270" w:right="279" w:bottom="1440" w:gutter="0" w:footer="0" w:header="0"/>
        </w:sectPr>
      </w:pPr>
    </w:p>
    <w:bookmarkStart w:id="47" w:name="page48"/>
    <w:bookmarkEnd w:id="47"/>
    <w:p>
      <w:pPr>
        <w:ind w:right="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3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b w:val="1"/>
          <w:bCs w:val="1"/>
          <w:u w:val="single" w:color="auto"/>
          <w:color w:val="auto"/>
        </w:rPr>
        <w:t>Compliance Certificates and Opinions.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 thereto;</w:t>
      </w:r>
    </w:p>
    <w:p>
      <w:pPr>
        <w:spacing w:after="0" w:line="248"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b w:val="1"/>
          <w:bCs w:val="1"/>
          <w:u w:val="single" w:color="auto"/>
          <w:color w:val="auto"/>
        </w:rPr>
        <w:t>Form of Documents Delivered to Trustee.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- 7</w:t>
      </w:r>
    </w:p>
    <w:p>
      <w:pPr>
        <w:sectPr>
          <w:pgSz w:w="11900" w:h="16838" w:orient="portrait"/>
          <w:cols w:equalWidth="0" w:num="1">
            <w:col w:w="11420"/>
          </w:cols>
          <w:pgMar w:left="240" w:top="270" w:right="239" w:bottom="1440" w:gutter="0" w:footer="0" w:header="0"/>
        </w:sectPr>
      </w:pPr>
    </w:p>
    <w:bookmarkStart w:id="48" w:name="page49"/>
    <w:bookmarkEnd w:id="48"/>
    <w:p>
      <w:pPr>
        <w:ind w:right="7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b w:val="1"/>
          <w:bCs w:val="1"/>
          <w:u w:val="single" w:color="auto"/>
          <w:color w:val="auto"/>
        </w:rPr>
        <w:t>Acts of Holders; Record Dates.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“Act” of the relevant Holders. Proof of execution of any such instrument or of a writing appointing any such agent or proxy shall be sufficient for any purpose of this Indenture and (subject to Section 601) conclusive in favor of the Trustee and the Company, if made in the manner provided in this Section.</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- 8</w:t>
      </w:r>
    </w:p>
    <w:p>
      <w:pPr>
        <w:sectPr>
          <w:pgSz w:w="11900" w:h="16838" w:orient="portrait"/>
          <w:cols w:equalWidth="0" w:num="1">
            <w:col w:w="11380"/>
          </w:cols>
          <w:pgMar w:left="240" w:top="274" w:right="27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8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- 9</w:t>
      </w:r>
    </w:p>
    <w:p>
      <w:pPr>
        <w:sectPr>
          <w:pgSz w:w="11900" w:h="16838" w:orient="portrait"/>
          <w:cols w:equalWidth="0" w:num="1">
            <w:col w:w="11400"/>
          </w:cols>
          <w:pgMar w:left="240" w:top="274" w:right="259" w:bottom="1440" w:gutter="0" w:footer="0" w:header="0"/>
        </w:sectPr>
      </w:pPr>
    </w:p>
    <w:bookmarkStart w:id="50" w:name="page51"/>
    <w:bookmarkEnd w:id="5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b w:val="1"/>
          <w:bCs w:val="1"/>
          <w:u w:val="single" w:color="auto"/>
          <w:color w:val="auto"/>
        </w:rPr>
        <w:t>Notices, Etc., to Trustee and Company.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right="36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in the English language to or with the Trustee at its Corporate Trust Office, Attention: Corporate Trust Department; or</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in the English language and mailed, first-class postage prepaid, addressed to it at the address of its principal office specified in the first paragraph of this instrument or at any other address previously furnished in writing to the Trustee by the Company.</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b w:val="1"/>
          <w:bCs w:val="1"/>
          <w:u w:val="single" w:color="auto"/>
          <w:color w:val="auto"/>
        </w:rPr>
        <w:t>Notice to Holders; Waiver.</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b w:val="1"/>
          <w:bCs w:val="1"/>
          <w:u w:val="single" w:color="auto"/>
          <w:color w:val="auto"/>
        </w:rPr>
        <w:t>Conflict with Trust Indenture Act.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- 10</w:t>
      </w:r>
    </w:p>
    <w:p>
      <w:pPr>
        <w:sectPr>
          <w:pgSz w:w="11900" w:h="16838" w:orient="portrait"/>
          <w:cols w:equalWidth="0" w:num="1">
            <w:col w:w="11400"/>
          </w:cols>
          <w:pgMar w:left="240" w:top="274" w:right="259" w:bottom="1440" w:gutter="0" w:footer="0" w:header="0"/>
        </w:sectPr>
      </w:pPr>
    </w:p>
    <w:bookmarkStart w:id="51" w:name="page52"/>
    <w:bookmarkEnd w:id="51"/>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108.</w:t>
      </w:r>
      <w:r>
        <w:rPr>
          <w:sz w:val="20"/>
          <w:szCs w:val="20"/>
          <w:color w:val="auto"/>
        </w:rPr>
        <w:tab/>
      </w:r>
      <w:r>
        <w:rPr>
          <w:rFonts w:ascii="Arial" w:cs="Arial" w:eastAsia="Arial" w:hAnsi="Arial"/>
          <w:sz w:val="16"/>
          <w:szCs w:val="16"/>
          <w:b w:val="1"/>
          <w:bCs w:val="1"/>
          <w:u w:val="single" w:color="auto"/>
          <w:color w:val="auto"/>
        </w:rPr>
        <w:t>Effect of Headings And Table of Contents.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b w:val="1"/>
          <w:bCs w:val="1"/>
          <w:u w:val="single" w:color="auto"/>
          <w:color w:val="auto"/>
        </w:rPr>
        <w:t>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b w:val="1"/>
          <w:bCs w:val="1"/>
          <w:u w:val="single" w:color="auto"/>
          <w:color w:val="auto"/>
        </w:rPr>
        <w:t>Separability Clause.</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case any provision in this Indenture or the Securities shall be invalid, illegal or unenforceable, the validity, legality and enforce ability of the remaining provisions shall not in any way be affected or impaired thereby.</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b w:val="1"/>
          <w:bCs w:val="1"/>
          <w:u w:val="single" w:color="auto"/>
          <w:color w:val="auto"/>
        </w:rPr>
        <w:t>Benefits of Indenture.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Nothing in this Indenture or the Securities, express or implied, shall give to any Person, other than the parties hereto and their successors hereunder and the Holders, any benefit or any legal or equitable right, remedy or claim under this Indenture.</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b w:val="1"/>
          <w:bCs w:val="1"/>
          <w:u w:val="single" w:color="auto"/>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and the Securities shall be governed by and construed in accordance with the law of the State of New York.</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b w:val="1"/>
          <w:bCs w:val="1"/>
          <w:u w:val="single" w:color="auto"/>
          <w:color w:val="auto"/>
        </w:rPr>
        <w:t>Legal Holidays.</w:t>
      </w:r>
    </w:p>
    <w:p>
      <w:pPr>
        <w:spacing w:after="0" w:line="12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w:t>
      </w:r>
    </w:p>
    <w:p>
      <w:pPr>
        <w:spacing w:after="0" w:line="31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5"/>
          <w:szCs w:val="15"/>
          <w:b w:val="1"/>
          <w:bCs w:val="1"/>
          <w:u w:val="single" w:color="auto"/>
          <w:color w:val="auto"/>
        </w:rPr>
        <w:t>No Recourse Against Others.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directors, officers, employees and stockholders of the Company, as such, shall have no liability for any obligations of the Company under the Securities,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- 11</w:t>
      </w:r>
    </w:p>
    <w:p>
      <w:pPr>
        <w:sectPr>
          <w:pgSz w:w="11900" w:h="16838" w:orient="portrait"/>
          <w:cols w:equalWidth="0" w:num="1">
            <w:col w:w="11400"/>
          </w:cols>
          <w:pgMar w:left="240" w:top="270" w:right="25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TWO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SECURITY FORMS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b w:val="1"/>
          <w:bCs w:val="1"/>
          <w:u w:val="single" w:color="auto"/>
          <w:color w:val="auto"/>
        </w:rPr>
        <w:t>Forms Generally.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p>
    <w:p>
      <w:pPr>
        <w:spacing w:after="0" w:line="19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b w:val="1"/>
          <w:bCs w:val="1"/>
          <w:u w:val="single" w:color="auto"/>
          <w:color w:val="auto"/>
        </w:rPr>
        <w:t>Form of Face of Security.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ClearOne, Inc.</w:t>
      </w:r>
    </w:p>
    <w:p>
      <w:pPr>
        <w:sectPr>
          <w:pgSz w:w="11900" w:h="16838" w:orient="portrait"/>
          <w:cols w:equalWidth="0" w:num="1">
            <w:col w:w="11360"/>
          </w:cols>
          <w:pgMar w:left="240" w:top="270" w:right="2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10080" w:space="720"/>
            <w:col w:w="560"/>
          </w:cols>
          <w:pgMar w:left="240" w:top="270" w:right="29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ClearOne, Inc., a corporation duly organized and existing under the laws of Utah (herein called the “Company,” which term includes any successor</w:t>
      </w:r>
    </w:p>
    <w:p>
      <w:pPr>
        <w:spacing w:after="0" w:line="46"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Person under the Indenture hereinafter referred to), for value received, hereby promises to pay to , or registered assigns, the principal sum of Dollars on [if the Security is to bear interest prior to Maturity, insert — , and to pay interest thereon from or from the most recent Interest Payment Date to which interest has been paid or duly provided for, semi-annually on and in each year, commencing , at the rate of</w:t>
      </w:r>
    </w:p>
    <w:p>
      <w:pPr>
        <w:spacing w:after="0" w:line="1" w:lineRule="exact"/>
        <w:rPr>
          <w:sz w:val="20"/>
          <w:szCs w:val="20"/>
          <w:color w:val="auto"/>
        </w:rPr>
      </w:pPr>
    </w:p>
    <w:p>
      <w:pPr>
        <w:ind w:right="60" w:firstLine="188"/>
        <w:spacing w:after="0" w:line="281" w:lineRule="auto"/>
        <w:tabs>
          <w:tab w:leader="none" w:pos="3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 annum, until the principal hereof is paid or made available for payment, 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w:t>
      </w:r>
    </w:p>
    <w:p>
      <w:pPr>
        <w:spacing w:after="0" w:line="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- 12</w:t>
      </w:r>
    </w:p>
    <w:p>
      <w:pPr>
        <w:sectPr>
          <w:pgSz w:w="11900" w:h="16838" w:orient="portrait"/>
          <w:cols w:equalWidth="0" w:num="1">
            <w:col w:w="11360"/>
          </w:cols>
          <w:pgMar w:left="240" w:top="270" w:right="299" w:bottom="1440" w:gutter="0" w:footer="0" w:header="0"/>
          <w:type w:val="continuous"/>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of the principal of (and premium, if any) and [if applicable, insert — any such] interest on this Security will be made at the office or agency of</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maintained for that purpose in ,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- 13</w:t>
      </w:r>
    </w:p>
    <w:p>
      <w:pPr>
        <w:sectPr>
          <w:pgSz w:w="11900" w:h="16838" w:orient="portrait"/>
          <w:cols w:equalWidth="0" w:num="1">
            <w:col w:w="11420"/>
          </w:cols>
          <w:pgMar w:left="240" w:top="274" w:right="2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Dated:</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59"/>
        </w:trPr>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160" w:type="dxa"/>
            <w:vAlign w:val="bottom"/>
          </w:tcPr>
          <w:p>
            <w:pPr>
              <w:ind w:left="2720"/>
              <w:spacing w:after="0"/>
              <w:rPr>
                <w:sz w:val="20"/>
                <w:szCs w:val="20"/>
                <w:color w:val="auto"/>
              </w:rPr>
            </w:pPr>
            <w:r>
              <w:rPr>
                <w:rFonts w:ascii="Arial" w:cs="Arial" w:eastAsia="Arial" w:hAnsi="Arial"/>
                <w:sz w:val="18"/>
                <w:szCs w:val="18"/>
                <w:color w:val="auto"/>
              </w:rPr>
              <w:t>ClearOne, Inc.</w:t>
            </w:r>
          </w:p>
        </w:tc>
      </w:tr>
      <w:tr>
        <w:trPr>
          <w:trHeight w:val="432"/>
        </w:trPr>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160" w:type="dxa"/>
            <w:vAlign w:val="bottom"/>
          </w:tcPr>
          <w:p>
            <w:pPr>
              <w:ind w:left="2720"/>
              <w:spacing w:after="0"/>
              <w:rPr>
                <w:sz w:val="20"/>
                <w:szCs w:val="20"/>
                <w:color w:val="auto"/>
              </w:rPr>
            </w:pPr>
            <w:r>
              <w:rPr>
                <w:rFonts w:ascii="Arial" w:cs="Arial" w:eastAsia="Arial" w:hAnsi="Arial"/>
                <w:sz w:val="18"/>
                <w:szCs w:val="18"/>
                <w:color w:val="auto"/>
              </w:rPr>
              <w:t>By</w:t>
            </w:r>
          </w:p>
        </w:tc>
      </w:tr>
      <w:tr>
        <w:trPr>
          <w:trHeight w:val="432"/>
        </w:trPr>
        <w:tc>
          <w:tcPr>
            <w:tcW w:w="1880" w:type="dxa"/>
            <w:vAlign w:val="bottom"/>
          </w:tcPr>
          <w:p>
            <w:pPr>
              <w:ind w:left="20"/>
              <w:spacing w:after="0"/>
              <w:rPr>
                <w:sz w:val="20"/>
                <w:szCs w:val="20"/>
                <w:color w:val="auto"/>
              </w:rPr>
            </w:pPr>
            <w:r>
              <w:rPr>
                <w:rFonts w:ascii="Arial" w:cs="Arial" w:eastAsia="Arial" w:hAnsi="Arial"/>
                <w:sz w:val="18"/>
                <w:szCs w:val="18"/>
                <w:color w:val="auto"/>
              </w:rPr>
              <w:t>Attest:</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540"/>
        </w:trPr>
        <w:tc>
          <w:tcPr>
            <w:tcW w:w="1880" w:type="dxa"/>
            <w:vAlign w:val="bottom"/>
          </w:tcPr>
          <w:p>
            <w:pPr>
              <w:spacing w:after="0"/>
              <w:rPr>
                <w:sz w:val="20"/>
                <w:szCs w:val="20"/>
                <w:color w:val="auto"/>
              </w:rPr>
            </w:pPr>
            <w:r>
              <w:rPr>
                <w:rFonts w:ascii="Arial" w:cs="Arial" w:eastAsia="Arial" w:hAnsi="Arial"/>
                <w:sz w:val="18"/>
                <w:szCs w:val="18"/>
                <w:color w:val="auto"/>
              </w:rPr>
              <w:t>SECTION 203.</w:t>
            </w:r>
          </w:p>
        </w:tc>
        <w:tc>
          <w:tcPr>
            <w:tcW w:w="9420" w:type="dxa"/>
            <w:vAlign w:val="bottom"/>
            <w:gridSpan w:val="4"/>
          </w:tcPr>
          <w:p>
            <w:pPr>
              <w:ind w:left="60"/>
              <w:spacing w:after="0"/>
              <w:rPr>
                <w:sz w:val="20"/>
                <w:szCs w:val="20"/>
                <w:color w:val="auto"/>
              </w:rPr>
            </w:pPr>
            <w:r>
              <w:rPr>
                <w:rFonts w:ascii="Arial" w:cs="Arial" w:eastAsia="Arial" w:hAnsi="Arial"/>
                <w:sz w:val="18"/>
                <w:szCs w:val="18"/>
                <w:b w:val="1"/>
                <w:bCs w:val="1"/>
                <w:color w:val="auto"/>
              </w:rPr>
              <w:t>Form of Reverse of Security.</w:t>
            </w:r>
          </w:p>
        </w:tc>
      </w:tr>
      <w:tr>
        <w:trPr>
          <w:trHeight w:val="20"/>
        </w:trPr>
        <w:tc>
          <w:tcPr>
            <w:tcW w:w="1940" w:type="dxa"/>
            <w:vAlign w:val="bottom"/>
            <w:gridSpan w:val="2"/>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330"/>
        </w:trPr>
        <w:tc>
          <w:tcPr>
            <w:tcW w:w="11300" w:type="dxa"/>
            <w:vAlign w:val="bottom"/>
            <w:gridSpan w:val="5"/>
          </w:tcPr>
          <w:p>
            <w:pPr>
              <w:ind w:left="460"/>
              <w:spacing w:after="0"/>
              <w:rPr>
                <w:sz w:val="20"/>
                <w:szCs w:val="20"/>
                <w:color w:val="auto"/>
              </w:rPr>
            </w:pPr>
            <w:r>
              <w:rPr>
                <w:rFonts w:ascii="Arial" w:cs="Arial" w:eastAsia="Arial" w:hAnsi="Arial"/>
                <w:sz w:val="18"/>
                <w:szCs w:val="18"/>
                <w:color w:val="auto"/>
                <w:w w:val="92"/>
              </w:rPr>
              <w:t>This Security is one of a duly authorized issue of securities of the Company (herein called the “Securities”), issued and to be issued in one or more</w:t>
            </w: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color w:val="auto"/>
                <w:w w:val="88"/>
              </w:rPr>
              <w:t>series under an Indenture, dated as of</w:t>
            </w:r>
          </w:p>
        </w:tc>
        <w:tc>
          <w:tcPr>
            <w:tcW w:w="8580" w:type="dxa"/>
            <w:vAlign w:val="bottom"/>
            <w:gridSpan w:val="2"/>
          </w:tcPr>
          <w:p>
            <w:pPr>
              <w:ind w:left="560"/>
              <w:spacing w:after="0"/>
              <w:rPr>
                <w:sz w:val="20"/>
                <w:szCs w:val="20"/>
                <w:color w:val="auto"/>
              </w:rPr>
            </w:pPr>
            <w:r>
              <w:rPr>
                <w:rFonts w:ascii="Arial" w:cs="Arial" w:eastAsia="Arial" w:hAnsi="Arial"/>
                <w:sz w:val="18"/>
                <w:szCs w:val="18"/>
                <w:color w:val="auto"/>
                <w:w w:val="95"/>
              </w:rPr>
              <w:t>, 20   (herein called the “Indenture”, which term shall have the meaning assigned to it in such instrument),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w w:val="92"/>
              </w:rPr>
              <w:t>among the Company and</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80" w:type="dxa"/>
            <w:vAlign w:val="bottom"/>
            <w:gridSpan w:val="2"/>
          </w:tcPr>
          <w:p>
            <w:pPr>
              <w:ind w:left="40"/>
              <w:spacing w:after="0"/>
              <w:rPr>
                <w:sz w:val="20"/>
                <w:szCs w:val="20"/>
                <w:color w:val="auto"/>
              </w:rPr>
            </w:pPr>
            <w:r>
              <w:rPr>
                <w:rFonts w:ascii="Arial" w:cs="Arial" w:eastAsia="Arial" w:hAnsi="Arial"/>
                <w:sz w:val="18"/>
                <w:szCs w:val="18"/>
                <w:color w:val="auto"/>
                <w:w w:val="89"/>
              </w:rPr>
              <w:t>, as Trustee (herein called the “Trustee”, which term includes any successor trustee under the Indenture), and reference</w:t>
            </w:r>
          </w:p>
        </w:tc>
      </w:tr>
    </w:tbl>
    <w:p>
      <w:pPr>
        <w:ind w:right="120"/>
        <w:spacing w:after="0" w:line="281" w:lineRule="auto"/>
        <w:rPr>
          <w:sz w:val="20"/>
          <w:szCs w:val="20"/>
          <w:color w:val="auto"/>
        </w:rPr>
      </w:pPr>
      <w:r>
        <w:rPr>
          <w:rFonts w:ascii="Arial" w:cs="Arial" w:eastAsia="Arial" w:hAnsi="Arial"/>
          <w:sz w:val="16"/>
          <w:szCs w:val="16"/>
          <w:color w:val="auto"/>
        </w:rPr>
        <w:t>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w:t>
      </w:r>
    </w:p>
    <w:p>
      <w:pPr>
        <w:spacing w:after="0" w:line="1" w:lineRule="exact"/>
        <w:rPr>
          <w:sz w:val="20"/>
          <w:szCs w:val="20"/>
          <w:color w:val="auto"/>
        </w:rPr>
      </w:pPr>
    </w:p>
    <w:p>
      <w:pPr>
        <w:spacing w:after="0"/>
        <w:tabs>
          <w:tab w:leader="none" w:pos="7340" w:val="left"/>
        </w:tabs>
        <w:rPr>
          <w:sz w:val="20"/>
          <w:szCs w:val="20"/>
          <w:color w:val="auto"/>
        </w:rPr>
      </w:pPr>
      <w:r>
        <w:rPr>
          <w:rFonts w:ascii="Arial" w:cs="Arial" w:eastAsia="Arial" w:hAnsi="Arial"/>
          <w:sz w:val="17"/>
          <w:szCs w:val="17"/>
          <w:color w:val="auto"/>
        </w:rPr>
        <w:t>designated on the face hereof [if applicable, insert — , limited in aggregate principal amount to $</w:t>
      </w:r>
      <w:r>
        <w:rPr>
          <w:sz w:val="20"/>
          <w:szCs w:val="20"/>
          <w:color w:val="auto"/>
        </w:rPr>
        <w:tab/>
      </w:r>
      <w:r>
        <w:rPr>
          <w:rFonts w:ascii="Arial" w:cs="Arial" w:eastAsia="Arial" w:hAnsi="Arial"/>
          <w:sz w:val="17"/>
          <w:szCs w:val="17"/>
          <w:color w:val="auto"/>
        </w:rPr>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applicable, insert — The Securities of this series are subject to redemption upon not less than 30 days’ notice by mail, [if applicable, insert — (1) on</w:t>
      </w:r>
    </w:p>
    <w:p>
      <w:pPr>
        <w:spacing w:after="0" w:line="46" w:lineRule="exact"/>
        <w:rPr>
          <w:sz w:val="20"/>
          <w:szCs w:val="20"/>
          <w:color w:val="auto"/>
        </w:rPr>
      </w:pPr>
    </w:p>
    <w:p>
      <w:pPr>
        <w:ind w:right="120" w:firstLine="585"/>
        <w:spacing w:after="0" w:line="250" w:lineRule="auto"/>
        <w:rPr>
          <w:sz w:val="20"/>
          <w:szCs w:val="20"/>
          <w:color w:val="auto"/>
        </w:rPr>
      </w:pPr>
      <w:r>
        <w:rPr>
          <w:rFonts w:ascii="Arial" w:cs="Arial" w:eastAsia="Arial" w:hAnsi="Arial"/>
          <w:sz w:val="18"/>
          <w:szCs w:val="18"/>
          <w:color w:val="auto"/>
        </w:rPr>
        <w:t>in any year commencing with the year and ending with the year through operation of the sinking fund for this series at a Redemption Price equal to 100% of the principal amount, and (2)] at any time [if applicable, insert — on or after , 20 ], as a whole or in part, 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election of the Company, at the following Redemption Prices (expressed as percentages of the principal amount): If redeemed [if applicable, insert — on 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before</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w w:val="99"/>
              </w:rPr>
              <w:t>,   %, and if redeemed] during the 12-month period beginning</w:t>
            </w:r>
          </w:p>
        </w:tc>
        <w:tc>
          <w:tcPr>
            <w:tcW w:w="2840" w:type="dxa"/>
            <w:vAlign w:val="bottom"/>
            <w:gridSpan w:val="3"/>
          </w:tcPr>
          <w:p>
            <w:pPr>
              <w:ind w:left="300"/>
              <w:spacing w:after="0"/>
              <w:rPr>
                <w:sz w:val="20"/>
                <w:szCs w:val="20"/>
                <w:color w:val="auto"/>
              </w:rPr>
            </w:pPr>
            <w:r>
              <w:rPr>
                <w:rFonts w:ascii="Arial" w:cs="Arial" w:eastAsia="Arial" w:hAnsi="Arial"/>
                <w:sz w:val="18"/>
                <w:szCs w:val="18"/>
                <w:color w:val="auto"/>
              </w:rPr>
              <w:t>of the years indicated,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380" w:type="dxa"/>
            <w:vAlign w:val="bottom"/>
          </w:tcPr>
          <w:p>
            <w:pPr>
              <w:spacing w:after="0"/>
              <w:rPr>
                <w:sz w:val="24"/>
                <w:szCs w:val="24"/>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Redemption</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vMerge w:val="continue"/>
          </w:tcPr>
          <w:p>
            <w:pPr>
              <w:spacing w:after="0"/>
              <w:rPr>
                <w:sz w:val="14"/>
                <w:szCs w:val="14"/>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- 14</w:t>
      </w:r>
    </w:p>
    <w:p>
      <w:pPr>
        <w:sectPr>
          <w:pgSz w:w="11900" w:h="16838" w:orient="portrait"/>
          <w:cols w:equalWidth="0" w:num="1">
            <w:col w:w="11380"/>
          </w:cols>
          <w:pgMar w:left="240" w:top="274" w:right="279" w:bottom="1440" w:gutter="0" w:footer="0" w:header="0"/>
        </w:sectPr>
      </w:pPr>
    </w:p>
    <w:bookmarkStart w:id="55" w:name="page56"/>
    <w:bookmarkEnd w:id="55"/>
    <w:p>
      <w:pPr>
        <w:ind w:right="16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applicable, insert — The Securities of this series are subject to redemption upon not less than 30 days’ notice by mail, (1) on in any year commencing with the year and ending with the year through operation of the sinking fund for this series at the Redemption Prices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redemption through operation of the sinking fund (expressed as percentages of the principal amount) set forth in the table below, and (2) at any time [if</w:t>
      </w:r>
    </w:p>
    <w:p>
      <w:pPr>
        <w:spacing w:after="0" w:line="3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w:t>
      </w: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beginning</w:t>
            </w:r>
          </w:p>
        </w:tc>
        <w:tc>
          <w:tcPr>
            <w:tcW w:w="3440" w:type="dxa"/>
            <w:vAlign w:val="bottom"/>
            <w:gridSpan w:val="3"/>
          </w:tcPr>
          <w:p>
            <w:pPr>
              <w:ind w:left="320"/>
              <w:spacing w:after="0"/>
              <w:rPr>
                <w:sz w:val="20"/>
                <w:szCs w:val="20"/>
                <w:color w:val="auto"/>
              </w:rPr>
            </w:pPr>
            <w:r>
              <w:rPr>
                <w:rFonts w:ascii="Arial" w:cs="Arial" w:eastAsia="Arial" w:hAnsi="Arial"/>
                <w:sz w:val="18"/>
                <w:szCs w:val="18"/>
                <w:color w:val="auto"/>
              </w:rPr>
              <w:t>of the years indicated,</w:t>
            </w: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Redemption Price</w:t>
            </w:r>
          </w:p>
        </w:tc>
        <w:tc>
          <w:tcPr>
            <w:tcW w:w="124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 Redemption</w:t>
            </w:r>
          </w:p>
        </w:tc>
        <w:tc>
          <w:tcPr>
            <w:tcW w:w="1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60" w:type="dxa"/>
            <w:vAlign w:val="bottom"/>
            <w:gridSpan w:val="2"/>
          </w:tcPr>
          <w:p>
            <w:pPr>
              <w:jc w:val="center"/>
              <w:ind w:left="1468"/>
              <w:spacing w:after="0" w:line="149" w:lineRule="exact"/>
              <w:rPr>
                <w:sz w:val="20"/>
                <w:szCs w:val="20"/>
                <w:color w:val="auto"/>
              </w:rPr>
            </w:pPr>
            <w:r>
              <w:rPr>
                <w:rFonts w:ascii="Arial" w:cs="Arial" w:eastAsia="Arial" w:hAnsi="Arial"/>
                <w:sz w:val="14"/>
                <w:szCs w:val="14"/>
                <w:b w:val="1"/>
                <w:bCs w:val="1"/>
                <w:color w:val="auto"/>
                <w:w w:val="96"/>
              </w:rPr>
              <w:t>Through Operation</w:t>
            </w:r>
          </w:p>
        </w:tc>
        <w:tc>
          <w:tcPr>
            <w:tcW w:w="1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 Otherwise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4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Year</w:t>
            </w:r>
          </w:p>
        </w:tc>
        <w:tc>
          <w:tcPr>
            <w:tcW w:w="15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the Sinking</w:t>
            </w:r>
          </w:p>
        </w:tc>
        <w:tc>
          <w:tcPr>
            <w:tcW w:w="2820" w:type="dxa"/>
            <w:vAlign w:val="bottom"/>
            <w:gridSpan w:val="2"/>
          </w:tcPr>
          <w:p>
            <w:pPr>
              <w:jc w:val="center"/>
              <w:ind w:left="1148"/>
              <w:spacing w:after="0" w:line="149" w:lineRule="exact"/>
              <w:rPr>
                <w:sz w:val="20"/>
                <w:szCs w:val="20"/>
                <w:color w:val="auto"/>
              </w:rPr>
            </w:pPr>
            <w:r>
              <w:rPr>
                <w:rFonts w:ascii="Arial" w:cs="Arial" w:eastAsia="Arial" w:hAnsi="Arial"/>
                <w:sz w:val="14"/>
                <w:szCs w:val="14"/>
                <w:b w:val="1"/>
                <w:bCs w:val="1"/>
                <w:color w:val="auto"/>
                <w:w w:val="95"/>
              </w:rPr>
              <w:t>Than Through Operation</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Fund</w:t>
            </w:r>
          </w:p>
        </w:tc>
        <w:tc>
          <w:tcPr>
            <w:tcW w:w="1240" w:type="dxa"/>
            <w:vAlign w:val="bottom"/>
          </w:tcPr>
          <w:p>
            <w:pPr>
              <w:spacing w:after="0"/>
              <w:rPr>
                <w:sz w:val="14"/>
                <w:szCs w:val="14"/>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Sinking Fund</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applicable, insert — Notwithstanding the foregoing, the Company may not, prior to ,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7" w:lineRule="exact"/>
        <w:rPr>
          <w:sz w:val="20"/>
          <w:szCs w:val="20"/>
          <w:color w:val="auto"/>
        </w:rPr>
      </w:pPr>
    </w:p>
    <w:p>
      <w:pPr>
        <w:jc w:val="center"/>
        <w:ind w:right="620"/>
        <w:spacing w:after="0"/>
        <w:tabs>
          <w:tab w:leader="none" w:pos="980" w:val="left"/>
        </w:tabs>
        <w:rPr>
          <w:sz w:val="20"/>
          <w:szCs w:val="20"/>
          <w:color w:val="auto"/>
        </w:rPr>
      </w:pPr>
      <w:r>
        <w:rPr>
          <w:rFonts w:ascii="Arial" w:cs="Arial" w:eastAsia="Arial" w:hAnsi="Arial"/>
          <w:sz w:val="18"/>
          <w:szCs w:val="18"/>
          <w:color w:val="auto"/>
        </w:rPr>
        <w:t>[If applicable, insert — The sinking fund for this series provides for the redemption on</w:t>
      </w:r>
      <w:r>
        <w:rPr>
          <w:sz w:val="20"/>
          <w:szCs w:val="20"/>
          <w:color w:val="auto"/>
        </w:rPr>
        <w:tab/>
      </w:r>
      <w:r>
        <w:rPr>
          <w:rFonts w:ascii="Arial" w:cs="Arial" w:eastAsia="Arial" w:hAnsi="Arial"/>
          <w:sz w:val="16"/>
          <w:szCs w:val="16"/>
          <w:color w:val="auto"/>
        </w:rPr>
        <w:t>in each year beginning with the year</w:t>
      </w:r>
    </w:p>
    <w:p>
      <w:pPr>
        <w:spacing w:after="0" w:line="23" w:lineRule="exact"/>
        <w:rPr>
          <w:sz w:val="20"/>
          <w:szCs w:val="20"/>
          <w:color w:val="auto"/>
        </w:rPr>
      </w:pPr>
    </w:p>
    <w:p>
      <w:pPr>
        <w:jc w:val="center"/>
        <w:ind w:right="620"/>
        <w:spacing w:after="0"/>
        <w:tabs>
          <w:tab w:leader="none" w:pos="980" w:val="left"/>
          <w:tab w:leader="none" w:pos="380" w:val="left"/>
          <w:tab w:leader="none" w:pos="380" w:val="left"/>
        </w:tabs>
        <w:rPr>
          <w:sz w:val="20"/>
          <w:szCs w:val="20"/>
          <w:color w:val="auto"/>
        </w:rPr>
      </w:pPr>
      <w:r>
        <w:rPr>
          <w:rFonts w:ascii="Arial" w:cs="Arial" w:eastAsia="Arial" w:hAnsi="Arial"/>
          <w:sz w:val="18"/>
          <w:szCs w:val="18"/>
          <w:color w:val="auto"/>
        </w:rPr>
        <w:t>and ending with the year</w:t>
      </w:r>
      <w:r>
        <w:rPr>
          <w:sz w:val="20"/>
          <w:szCs w:val="20"/>
          <w:color w:val="auto"/>
        </w:rPr>
        <w:tab/>
      </w:r>
      <w:r>
        <w:rPr>
          <w:rFonts w:ascii="Arial" w:cs="Arial" w:eastAsia="Arial" w:hAnsi="Arial"/>
          <w:sz w:val="18"/>
          <w:szCs w:val="18"/>
          <w:color w:val="auto"/>
        </w:rPr>
        <w:t>of [if applicable, insert — not less than $</w:t>
      </w:r>
      <w:r>
        <w:rPr>
          <w:sz w:val="20"/>
          <w:szCs w:val="20"/>
          <w:color w:val="auto"/>
        </w:rPr>
        <w:tab/>
      </w:r>
      <w:r>
        <w:rPr>
          <w:rFonts w:ascii="Arial" w:cs="Arial" w:eastAsia="Arial" w:hAnsi="Arial"/>
          <w:sz w:val="18"/>
          <w:szCs w:val="18"/>
          <w:color w:val="auto"/>
        </w:rPr>
        <w:t>(“mandatory sinking fund”) and not more than] $</w:t>
      </w:r>
      <w:r>
        <w:rPr>
          <w:sz w:val="20"/>
          <w:szCs w:val="20"/>
          <w:color w:val="auto"/>
        </w:rPr>
        <w:tab/>
      </w:r>
      <w:r>
        <w:rPr>
          <w:rFonts w:ascii="Arial" w:cs="Arial" w:eastAsia="Arial" w:hAnsi="Arial"/>
          <w:sz w:val="15"/>
          <w:szCs w:val="15"/>
          <w:color w:val="auto"/>
        </w:rPr>
        <w:t>aggregate</w:t>
      </w:r>
    </w:p>
    <w:p>
      <w:pPr>
        <w:spacing w:after="0" w:line="9"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190"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the Security is subject to conversion, insert – Subject to the provisions of the Indenture, each Holder has the right to convert the principal amount of this Security into fully paid and nonassessable shares of Common Stock of the Company at the initial conversion price per share of Common Stock of $</w:t>
      </w:r>
    </w:p>
    <w:p>
      <w:pPr>
        <w:spacing w:after="0"/>
        <w:tabs>
          <w:tab w:leader="none" w:pos="740" w:val="left"/>
        </w:tabs>
        <w:rPr>
          <w:sz w:val="20"/>
          <w:szCs w:val="20"/>
          <w:color w:val="auto"/>
        </w:rPr>
      </w:pPr>
      <w:r>
        <w:rPr>
          <w:rFonts w:ascii="Arial" w:cs="Arial" w:eastAsia="Arial" w:hAnsi="Arial"/>
          <w:sz w:val="18"/>
          <w:szCs w:val="18"/>
          <w:color w:val="auto"/>
        </w:rPr>
        <w:t>(or $</w:t>
      </w:r>
      <w:r>
        <w:rPr>
          <w:sz w:val="20"/>
          <w:szCs w:val="20"/>
          <w:color w:val="auto"/>
        </w:rPr>
        <w:tab/>
      </w:r>
      <w:r>
        <w:rPr>
          <w:rFonts w:ascii="Arial" w:cs="Arial" w:eastAsia="Arial" w:hAnsi="Arial"/>
          <w:sz w:val="16"/>
          <w:szCs w:val="16"/>
          <w:color w:val="auto"/>
        </w:rPr>
        <w:t>in principal amount of Securities for each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- 15</w:t>
      </w:r>
    </w:p>
    <w:p>
      <w:pPr>
        <w:sectPr>
          <w:pgSz w:w="11900" w:h="16838" w:orient="portrait"/>
          <w:cols w:equalWidth="0" w:num="1">
            <w:col w:w="11400"/>
          </w:cols>
          <w:pgMar w:left="240" w:top="274" w:right="259" w:bottom="1440" w:gutter="0" w:footer="0" w:header="0"/>
        </w:sectPr>
      </w:pPr>
    </w:p>
    <w:bookmarkStart w:id="56" w:name="page57"/>
    <w:bookmarkEnd w:id="5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24"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- 16</w:t>
      </w:r>
    </w:p>
    <w:p>
      <w:pPr>
        <w:sectPr>
          <w:pgSz w:w="11900" w:h="16838" w:orient="portrait"/>
          <w:cols w:equalWidth="0" w:num="1">
            <w:col w:w="11400"/>
          </w:cols>
          <w:pgMar w:left="240" w:top="274" w:right="259" w:bottom="1440" w:gutter="0" w:footer="0" w:header="0"/>
        </w:sectPr>
      </w:pPr>
    </w:p>
    <w:bookmarkStart w:id="57" w:name="page58"/>
    <w:bookmarkEnd w:id="57"/>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b w:val="1"/>
          <w:bCs w:val="1"/>
          <w:u w:val="single" w:color="auto"/>
          <w:color w:val="auto"/>
        </w:rPr>
        <w:t>[Intentionally Omitted].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- 17</w:t>
      </w:r>
    </w:p>
    <w:p>
      <w:pPr>
        <w:sectPr>
          <w:pgSz w:w="11900" w:h="16838" w:orient="portrait"/>
          <w:cols w:equalWidth="0" w:num="1">
            <w:col w:w="11360"/>
          </w:cols>
          <w:pgMar w:left="240" w:top="274" w:right="299" w:bottom="1440" w:gutter="0" w:footer="0" w:header="0"/>
        </w:sectPr>
      </w:pPr>
    </w:p>
    <w:bookmarkStart w:id="58" w:name="page59"/>
    <w:bookmarkEnd w:id="58"/>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205.</w:t>
      </w:r>
      <w:r>
        <w:rPr>
          <w:sz w:val="20"/>
          <w:szCs w:val="20"/>
          <w:color w:val="auto"/>
        </w:rPr>
        <w:tab/>
      </w:r>
      <w:r>
        <w:rPr>
          <w:rFonts w:ascii="Arial" w:cs="Arial" w:eastAsia="Arial" w:hAnsi="Arial"/>
          <w:sz w:val="16"/>
          <w:szCs w:val="16"/>
          <w:b w:val="1"/>
          <w:bCs w:val="1"/>
          <w:u w:val="single" w:color="auto"/>
          <w:color w:val="auto"/>
        </w:rPr>
        <w:t>Form of Legend for Global Securities.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33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b w:val="1"/>
          <w:bCs w:val="1"/>
          <w:u w:val="single" w:color="auto"/>
          <w:color w:val="auto"/>
        </w:rPr>
        <w:t>Form of Trustee’s Certificate of Authentication.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Officer</w:t>
      </w:r>
    </w:p>
    <w:p>
      <w:pPr>
        <w:spacing w:after="0" w:line="35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b w:val="1"/>
          <w:bCs w:val="1"/>
          <w:u w:val="single" w:color="auto"/>
          <w:color w:val="auto"/>
        </w:rPr>
        <w:t>Form of Conversion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convertible Security shall have attached thereto, or set forth on the reverse of the Security, a notice of conversion in substantially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Conversion Notice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ClearOne, Inc.</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owner of this Security hereby: (i) irrevocably exercises the option to convert this Security, or the portion hereof below designated, for shares of Common Stock of ClearOne, Inc.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8694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- 18</w:t>
      </w:r>
    </w:p>
    <w:p>
      <w:pPr>
        <w:sectPr>
          <w:pgSz w:w="11900" w:h="16838" w:orient="portrait"/>
          <w:cols w:equalWidth="0" w:num="1">
            <w:col w:w="11380"/>
          </w:cols>
          <w:pgMar w:left="240" w:top="270" w:right="279" w:bottom="1440" w:gutter="0" w:footer="0" w:header="0"/>
        </w:sectPr>
      </w:pPr>
    </w:p>
    <w:bookmarkStart w:id="59" w:name="page60"/>
    <w:bookmarkEnd w:id="5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Fill in for registration of shares if to be delivered, and of Securities if to be issued, otherwise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 (if less than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acceptable to the Trustee).</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SECURITIES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b w:val="1"/>
          <w:bCs w:val="1"/>
          <w:u w:val="single" w:color="auto"/>
          <w:color w:val="auto"/>
        </w:rPr>
        <w:t>Amount Unlimited; Issuable in Series.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1" w:lineRule="exact"/>
        <w:rPr>
          <w:sz w:val="20"/>
          <w:szCs w:val="20"/>
          <w:color w:val="auto"/>
        </w:rPr>
      </w:pPr>
    </w:p>
    <w:p>
      <w:pPr>
        <w:ind w:left="5520" w:right="1620" w:hanging="5056"/>
        <w:spacing w:after="0" w:line="449"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 I - 19</w:t>
      </w:r>
    </w:p>
    <w:p>
      <w:pPr>
        <w:sectPr>
          <w:pgSz w:w="11900" w:h="16838" w:orient="portrait"/>
          <w:cols w:equalWidth="0" w:num="1">
            <w:col w:w="11340"/>
          </w:cols>
          <w:pgMar w:left="240" w:top="274" w:right="319" w:bottom="1440" w:gutter="0" w:footer="0" w:header="0"/>
        </w:sectPr>
      </w:pPr>
    </w:p>
    <w:bookmarkStart w:id="60" w:name="page61"/>
    <w:bookmarkEnd w:id="60"/>
    <w:p>
      <w:pPr>
        <w:ind w:left="680" w:hanging="25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[Intentionally Omitted]</w:t>
      </w:r>
    </w:p>
    <w:p>
      <w:pPr>
        <w:spacing w:after="0" w:line="225" w:lineRule="exact"/>
        <w:rPr>
          <w:rFonts w:ascii="Arial" w:cs="Arial" w:eastAsia="Arial" w:hAnsi="Arial"/>
          <w:sz w:val="18"/>
          <w:szCs w:val="18"/>
          <w:color w:val="auto"/>
        </w:rPr>
      </w:pPr>
    </w:p>
    <w:p>
      <w:pPr>
        <w:ind w:left="-40" w:right="80" w:firstLine="464"/>
        <w:spacing w:after="0" w:line="259"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6" w:lineRule="exact"/>
        <w:rPr>
          <w:rFonts w:ascii="Arial" w:cs="Arial" w:eastAsia="Arial" w:hAnsi="Arial"/>
          <w:sz w:val="18"/>
          <w:szCs w:val="18"/>
          <w:color w:val="auto"/>
        </w:rPr>
      </w:pPr>
    </w:p>
    <w:p>
      <w:pPr>
        <w:ind w:left="-40" w:right="220" w:firstLine="464"/>
        <w:spacing w:after="0" w:line="277"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680" w:hanging="25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ind w:left="-40" w:right="80" w:firstLine="464"/>
        <w:spacing w:after="0" w:line="342" w:lineRule="auto"/>
        <w:tabs>
          <w:tab w:leader="none" w:pos="67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23" w:lineRule="exact"/>
        <w:rPr>
          <w:rFonts w:ascii="Arial" w:cs="Arial" w:eastAsia="Arial" w:hAnsi="Arial"/>
          <w:sz w:val="16"/>
          <w:szCs w:val="16"/>
          <w:color w:val="auto"/>
        </w:rPr>
      </w:pPr>
    </w:p>
    <w:p>
      <w:pPr>
        <w:ind w:left="680" w:hanging="25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ind w:left="-40" w:right="240" w:firstLine="464"/>
        <w:spacing w:after="0" w:line="264"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ind w:left="-40" w:right="80" w:firstLine="464"/>
        <w:spacing w:after="0" w:line="264"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760" w:hanging="336"/>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 issuable;</w:t>
      </w:r>
    </w:p>
    <w:p>
      <w:pPr>
        <w:spacing w:after="0" w:line="248" w:lineRule="exact"/>
        <w:rPr>
          <w:rFonts w:ascii="Arial" w:cs="Arial" w:eastAsia="Arial" w:hAnsi="Arial"/>
          <w:sz w:val="16"/>
          <w:szCs w:val="16"/>
          <w:color w:val="auto"/>
        </w:rPr>
      </w:pPr>
    </w:p>
    <w:p>
      <w:pPr>
        <w:ind w:left="-40" w:firstLine="464"/>
        <w:spacing w:after="0" w:line="277" w:lineRule="auto"/>
        <w:tabs>
          <w:tab w:leader="none" w:pos="7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left="-40" w:right="120" w:firstLine="464"/>
        <w:spacing w:after="0" w:line="264" w:lineRule="auto"/>
        <w:tabs>
          <w:tab w:leader="none" w:pos="7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- 20</w:t>
      </w:r>
    </w:p>
    <w:p>
      <w:pPr>
        <w:sectPr>
          <w:pgSz w:w="11900" w:h="16838" w:orient="portrait"/>
          <w:cols w:equalWidth="0" w:num="1">
            <w:col w:w="11360"/>
          </w:cols>
          <w:pgMar w:left="280" w:top="274" w:right="259" w:bottom="1440" w:gutter="0" w:footer="0" w:header="0"/>
        </w:sectPr>
      </w:pPr>
    </w:p>
    <w:bookmarkStart w:id="61" w:name="page62"/>
    <w:bookmarkEnd w:id="61"/>
    <w:p>
      <w:pPr>
        <w:ind w:left="-20" w:firstLine="464"/>
        <w:spacing w:after="0" w:line="302" w:lineRule="auto"/>
        <w:tabs>
          <w:tab w:leader="none" w:pos="781"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54" w:lineRule="exact"/>
        <w:rPr>
          <w:rFonts w:ascii="Arial" w:cs="Arial" w:eastAsia="Arial" w:hAnsi="Arial"/>
          <w:sz w:val="16"/>
          <w:szCs w:val="16"/>
          <w:color w:val="auto"/>
        </w:rPr>
      </w:pPr>
    </w:p>
    <w:p>
      <w:pPr>
        <w:ind w:left="-20" w:right="320" w:firstLine="464"/>
        <w:spacing w:after="0" w:line="277" w:lineRule="auto"/>
        <w:tabs>
          <w:tab w:leader="none" w:pos="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70" w:lineRule="exact"/>
        <w:rPr>
          <w:rFonts w:ascii="Arial" w:cs="Arial" w:eastAsia="Arial" w:hAnsi="Arial"/>
          <w:sz w:val="18"/>
          <w:szCs w:val="18"/>
          <w:color w:val="auto"/>
        </w:rPr>
      </w:pPr>
    </w:p>
    <w:p>
      <w:pPr>
        <w:ind w:left="-20" w:right="60" w:firstLine="464"/>
        <w:spacing w:after="0" w:line="257" w:lineRule="auto"/>
        <w:tabs>
          <w:tab w:leader="none" w:pos="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left="-20" w:right="180" w:firstLine="464"/>
        <w:spacing w:after="0" w:line="342" w:lineRule="auto"/>
        <w:tabs>
          <w:tab w:leader="none" w:pos="78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applicable, that the Securities of the series, in whole or any specified part, shall be defeasible pursuant to Section 1502 or Section 1503 or both such Sections and, if other than by a Board Resolution, the manner in which any election by the Company to defease such Securities shall be evidenced;</w:t>
      </w:r>
    </w:p>
    <w:p>
      <w:pPr>
        <w:spacing w:after="0" w:line="123" w:lineRule="exact"/>
        <w:rPr>
          <w:rFonts w:ascii="Arial" w:cs="Arial" w:eastAsia="Arial" w:hAnsi="Arial"/>
          <w:sz w:val="16"/>
          <w:szCs w:val="16"/>
          <w:color w:val="auto"/>
        </w:rPr>
      </w:pPr>
    </w:p>
    <w:p>
      <w:pPr>
        <w:ind w:left="-20" w:right="20" w:firstLine="464"/>
        <w:spacing w:after="0" w:line="276" w:lineRule="auto"/>
        <w:tabs>
          <w:tab w:leader="none" w:pos="7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205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72" w:lineRule="exact"/>
        <w:rPr>
          <w:rFonts w:ascii="Arial" w:cs="Arial" w:eastAsia="Arial" w:hAnsi="Arial"/>
          <w:sz w:val="17"/>
          <w:szCs w:val="17"/>
          <w:color w:val="auto"/>
        </w:rPr>
      </w:pPr>
    </w:p>
    <w:p>
      <w:pPr>
        <w:ind w:left="-20" w:right="320" w:firstLine="464"/>
        <w:spacing w:after="0" w:line="277" w:lineRule="auto"/>
        <w:tabs>
          <w:tab w:leader="none" w:pos="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70" w:lineRule="exact"/>
        <w:rPr>
          <w:rFonts w:ascii="Arial" w:cs="Arial" w:eastAsia="Arial" w:hAnsi="Arial"/>
          <w:sz w:val="18"/>
          <w:szCs w:val="18"/>
          <w:color w:val="auto"/>
        </w:rPr>
      </w:pPr>
    </w:p>
    <w:p>
      <w:pPr>
        <w:ind w:left="780" w:hanging="33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Ten which applies to Securities of the series;</w:t>
      </w:r>
    </w:p>
    <w:p>
      <w:pPr>
        <w:spacing w:after="0" w:line="225" w:lineRule="exact"/>
        <w:rPr>
          <w:rFonts w:ascii="Arial" w:cs="Arial" w:eastAsia="Arial" w:hAnsi="Arial"/>
          <w:sz w:val="18"/>
          <w:szCs w:val="18"/>
          <w:color w:val="auto"/>
        </w:rPr>
      </w:pPr>
    </w:p>
    <w:p>
      <w:pPr>
        <w:ind w:left="-20" w:right="20" w:firstLine="464"/>
        <w:spacing w:after="0" w:line="277" w:lineRule="auto"/>
        <w:tabs>
          <w:tab w:leader="none" w:pos="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Common Stock (or cash in lieu thereof) and, if so, the terms and conditions upon which such conversion will be effected; and</w:t>
      </w:r>
    </w:p>
    <w:p>
      <w:pPr>
        <w:spacing w:after="0" w:line="170" w:lineRule="exact"/>
        <w:rPr>
          <w:rFonts w:ascii="Arial" w:cs="Arial" w:eastAsia="Arial" w:hAnsi="Arial"/>
          <w:sz w:val="18"/>
          <w:szCs w:val="18"/>
          <w:color w:val="auto"/>
        </w:rPr>
      </w:pPr>
    </w:p>
    <w:p>
      <w:pPr>
        <w:ind w:left="780" w:hanging="33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 Section 901(5)).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- 21</w:t>
      </w:r>
    </w:p>
    <w:p>
      <w:pPr>
        <w:sectPr>
          <w:pgSz w:w="11900" w:h="16838" w:orient="portrait"/>
          <w:cols w:equalWidth="0" w:num="1">
            <w:col w:w="11400"/>
          </w:cols>
          <w:pgMar w:left="260" w:top="274" w:right="239" w:bottom="1440" w:gutter="0" w:footer="0" w:header="0"/>
        </w:sectPr>
      </w:pPr>
    </w:p>
    <w:bookmarkStart w:id="62" w:name="page63"/>
    <w:bookmarkEnd w:id="62"/>
    <w:p>
      <w:pPr>
        <w:jc w:val="both"/>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b w:val="1"/>
          <w:bCs w:val="1"/>
          <w:u w:val="single" w:color="auto"/>
          <w:color w:val="auto"/>
        </w:rPr>
        <w:t>Denominations.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b w:val="1"/>
          <w:bCs w:val="1"/>
          <w:u w:val="single" w:color="auto"/>
          <w:color w:val="auto"/>
        </w:rPr>
        <w:t>Execution, Authentication, Delivery and Dating.</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of Directors, its Vice Chairman of the Board of Directors, its President or one of its Vice Presidents. If its corporate seal is reproduced thereon, then it shall be attested by its Secretary or one of its Assistant Secretaries. The signature of any of these officers on the Securities may be manual or facsimile.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93" w:lineRule="exact"/>
        <w:rPr>
          <w:sz w:val="20"/>
          <w:szCs w:val="20"/>
          <w:color w:val="auto"/>
        </w:rPr>
      </w:pPr>
    </w:p>
    <w:p>
      <w:pPr>
        <w:ind w:right="62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201, that such form has been established in conformity with the provisions of this Indenture;</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301,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right="160" w:firstLine="464"/>
        <w:spacing w:after="0" w:line="259"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- 22</w:t>
      </w:r>
    </w:p>
    <w:p>
      <w:pPr>
        <w:sectPr>
          <w:pgSz w:w="11900" w:h="16838" w:orient="portrait"/>
          <w:cols w:equalWidth="0" w:num="1">
            <w:col w:w="11380"/>
          </w:cols>
          <w:pgMar w:left="240" w:top="274" w:right="279" w:bottom="1440" w:gutter="0" w:footer="0" w:header="0"/>
        </w:sectPr>
      </w:pPr>
    </w:p>
    <w:bookmarkStart w:id="63" w:name="page64"/>
    <w:bookmarkEnd w:id="63"/>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32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b w:val="1"/>
          <w:bCs w:val="1"/>
          <w:u w:val="single" w:color="auto"/>
          <w:color w:val="auto"/>
        </w:rPr>
        <w:t>Temporary Securities.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with such appropriate insertions, omissions, substitutions and other variations as the officers executing such Securities may determine, as evidenced by their execution of such Securities.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- 23</w:t>
      </w:r>
    </w:p>
    <w:p>
      <w:pPr>
        <w:sectPr>
          <w:pgSz w:w="11900" w:h="16838" w:orient="portrait"/>
          <w:cols w:equalWidth="0" w:num="1">
            <w:col w:w="11420"/>
          </w:cols>
          <w:pgMar w:left="240" w:top="274" w:right="239" w:bottom="1440" w:gutter="0" w:footer="0" w:header="0"/>
        </w:sectPr>
      </w:pPr>
    </w:p>
    <w:bookmarkStart w:id="64" w:name="page65"/>
    <w:bookmarkEnd w:id="6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31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b w:val="1"/>
          <w:bCs w:val="1"/>
          <w:u w:val="single" w:color="auto"/>
          <w:color w:val="auto"/>
        </w:rPr>
        <w:t>Registration, Registration of Transfer and Exchange.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otherwise not involving any transfer.</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- 24</w:t>
      </w:r>
    </w:p>
    <w:p>
      <w:pPr>
        <w:sectPr>
          <w:pgSz w:w="11900" w:h="16838" w:orient="portrait"/>
          <w:cols w:equalWidth="0" w:num="1">
            <w:col w:w="11400"/>
          </w:cols>
          <w:pgMar w:left="240" w:top="274" w:right="259" w:bottom="1440" w:gutter="0" w:footer="0" w:header="0"/>
        </w:sectPr>
      </w:pPr>
    </w:p>
    <w:bookmarkStart w:id="65" w:name="page66"/>
    <w:bookmarkEnd w:id="65"/>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ind w:right="60" w:firstLine="464"/>
        <w:spacing w:after="0" w:line="264" w:lineRule="auto"/>
        <w:tabs>
          <w:tab w:leader="none" w:pos="7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ind w:firstLine="464"/>
        <w:spacing w:after="0" w:line="286" w:lineRule="auto"/>
        <w:tabs>
          <w:tab w:leader="none" w:pos="711"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w:t>
      </w:r>
    </w:p>
    <w:p>
      <w:pPr>
        <w:spacing w:after="0" w:line="1" w:lineRule="exact"/>
        <w:rPr>
          <w:rFonts w:ascii="Arial" w:cs="Arial" w:eastAsia="Arial" w:hAnsi="Arial"/>
          <w:sz w:val="16"/>
          <w:szCs w:val="16"/>
          <w:color w:val="auto"/>
        </w:rPr>
      </w:pPr>
    </w:p>
    <w:p>
      <w:pPr>
        <w:ind w:right="20" w:firstLine="8"/>
        <w:spacing w:after="0" w:line="255"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such Global Security and the Depositary shall have notified the Trustee of its decision to exchange such Global Security for Securities in certificated form or (C) there shall exist such circumstances, if any, in addition to or in lieu of the foregoing as have been specified for this purpose as contemplated by Section 301.</w:t>
      </w:r>
    </w:p>
    <w:p>
      <w:pPr>
        <w:spacing w:after="0" w:line="190" w:lineRule="exact"/>
        <w:rPr>
          <w:rFonts w:ascii="Arial" w:cs="Arial" w:eastAsia="Arial" w:hAnsi="Arial"/>
          <w:sz w:val="18"/>
          <w:szCs w:val="18"/>
          <w:color w:val="auto"/>
        </w:rPr>
      </w:pPr>
    </w:p>
    <w:p>
      <w:pPr>
        <w:ind w:right="320" w:firstLine="464"/>
        <w:spacing w:after="0" w:line="342" w:lineRule="auto"/>
        <w:tabs>
          <w:tab w:leader="none" w:pos="711" w:val="left"/>
        </w:tabs>
        <w:numPr>
          <w:ilvl w:val="1"/>
          <w:numId w:val="50"/>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23" w:lineRule="exact"/>
        <w:rPr>
          <w:rFonts w:ascii="Arial" w:cs="Arial" w:eastAsia="Arial" w:hAnsi="Arial"/>
          <w:sz w:val="16"/>
          <w:szCs w:val="16"/>
          <w:color w:val="auto"/>
        </w:rPr>
      </w:pPr>
    </w:p>
    <w:p>
      <w:pPr>
        <w:ind w:firstLine="464"/>
        <w:spacing w:after="0" w:line="286" w:lineRule="auto"/>
        <w:tabs>
          <w:tab w:leader="none" w:pos="711"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31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b w:val="1"/>
          <w:bCs w:val="1"/>
          <w:u w:val="single" w:color="auto"/>
          <w:color w:val="auto"/>
        </w:rPr>
        <w:t>Mutilated, Destroyed, Lost and Stolen Securities.</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from any loss that any of them may suffer if a Security is replaced,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- 25</w:t>
      </w:r>
    </w:p>
    <w:p>
      <w:pPr>
        <w:sectPr>
          <w:pgSz w:w="11900" w:h="16838" w:orient="portrait"/>
          <w:cols w:equalWidth="0" w:num="1">
            <w:col w:w="11380"/>
          </w:cols>
          <w:pgMar w:left="240" w:top="274" w:right="279" w:bottom="1440" w:gutter="0" w:footer="0" w:header="0"/>
        </w:sectPr>
      </w:pPr>
    </w:p>
    <w:bookmarkStart w:id="66" w:name="page67"/>
    <w:bookmarkEnd w:id="66"/>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w:t>
      </w:r>
    </w:p>
    <w:p>
      <w:pPr>
        <w:spacing w:after="0" w:line="181"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payment or conversion of mutilated, destroyed, lost or stolen Securities.</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b w:val="1"/>
          <w:bCs w:val="1"/>
          <w:u w:val="single" w:color="auto"/>
          <w:color w:val="auto"/>
        </w:rPr>
        <w:t>Payment of Interest; Interest Rights Preserved.</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ind w:right="40" w:firstLine="464"/>
        <w:spacing w:after="0" w:line="272" w:lineRule="auto"/>
        <w:tabs>
          <w:tab w:leader="none" w:pos="7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- 26</w:t>
      </w:r>
    </w:p>
    <w:p>
      <w:pPr>
        <w:sectPr>
          <w:pgSz w:w="11900" w:h="16838" w:orient="portrait"/>
          <w:cols w:equalWidth="0" w:num="1">
            <w:col w:w="11400"/>
          </w:cols>
          <w:pgMar w:left="240" w:top="274" w:right="259" w:bottom="1440" w:gutter="0" w:footer="0" w:header="0"/>
        </w:sectPr>
      </w:pPr>
    </w:p>
    <w:bookmarkStart w:id="67" w:name="page68"/>
    <w:bookmarkEnd w:id="6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8" w:lineRule="exact"/>
        <w:rPr>
          <w:sz w:val="20"/>
          <w:szCs w:val="20"/>
          <w:color w:val="auto"/>
        </w:rPr>
      </w:pPr>
    </w:p>
    <w:p>
      <w:pPr>
        <w:ind w:right="200" w:firstLine="464"/>
        <w:spacing w:after="0" w:line="312" w:lineRule="auto"/>
        <w:tabs>
          <w:tab w:leader="none" w:pos="7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b w:val="1"/>
          <w:bCs w:val="1"/>
          <w:u w:val="single" w:color="auto"/>
          <w:color w:val="auto"/>
        </w:rPr>
        <w:t>Persons Deemed Owners.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31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b w:val="1"/>
          <w:bCs w:val="1"/>
          <w:u w:val="single" w:color="auto"/>
          <w:color w:val="auto"/>
        </w:rPr>
        <w:t>Cancellation.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 Company Order.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- 27</w:t>
      </w:r>
    </w:p>
    <w:p>
      <w:pPr>
        <w:sectPr>
          <w:pgSz w:w="11900" w:h="16838" w:orient="portrait"/>
          <w:cols w:equalWidth="0" w:num="1">
            <w:col w:w="11400"/>
          </w:cols>
          <w:pgMar w:left="240" w:top="274" w:right="259" w:bottom="1440" w:gutter="0" w:footer="0" w:header="0"/>
        </w:sectPr>
      </w:pPr>
    </w:p>
    <w:bookmarkStart w:id="68" w:name="page69"/>
    <w:bookmarkEnd w:id="68"/>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310.</w:t>
      </w:r>
      <w:r>
        <w:rPr>
          <w:sz w:val="20"/>
          <w:szCs w:val="20"/>
          <w:color w:val="auto"/>
        </w:rPr>
        <w:tab/>
      </w:r>
      <w:r>
        <w:rPr>
          <w:rFonts w:ascii="Arial" w:cs="Arial" w:eastAsia="Arial" w:hAnsi="Arial"/>
          <w:sz w:val="16"/>
          <w:szCs w:val="16"/>
          <w:b w:val="1"/>
          <w:bCs w:val="1"/>
          <w:u w:val="single" w:color="auto"/>
          <w:color w:val="auto"/>
        </w:rPr>
        <w:t>Computation of Interest.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b w:val="1"/>
          <w:bCs w:val="1"/>
          <w:u w:val="single" w:color="auto"/>
          <w:color w:val="auto"/>
        </w:rPr>
        <w:t>Satisfaction and Discharge of Indenture.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This Indenture shall upon Company Request cease to be of further effect with respect to the Securities of any series, and the Trustee, at the expense of the Company, shall execute proper instruments acknowledging satisfaction and discharge of this Indenture, when</w:t>
      </w:r>
    </w:p>
    <w:p>
      <w:pPr>
        <w:spacing w:after="0" w:line="170"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firstLine="921"/>
        <w:spacing w:after="0" w:line="259" w:lineRule="auto"/>
        <w:tabs>
          <w:tab w:leader="none" w:pos="12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6" w:lineRule="exact"/>
        <w:rPr>
          <w:rFonts w:ascii="Arial" w:cs="Arial" w:eastAsia="Arial" w:hAnsi="Arial"/>
          <w:sz w:val="18"/>
          <w:szCs w:val="18"/>
          <w:color w:val="auto"/>
        </w:rPr>
      </w:pPr>
    </w:p>
    <w:p>
      <w:pPr>
        <w:ind w:left="1200" w:hanging="279"/>
        <w:spacing w:after="0"/>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80" w:firstLine="1492"/>
        <w:spacing w:after="0" w:line="277" w:lineRule="auto"/>
        <w:tabs>
          <w:tab w:leader="none" w:pos="1798" w:val="left"/>
        </w:tabs>
        <w:numPr>
          <w:ilvl w:val="2"/>
          <w:numId w:val="53"/>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the Company,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71" w:lineRule="exact"/>
        <w:rPr>
          <w:sz w:val="20"/>
          <w:szCs w:val="20"/>
          <w:color w:val="auto"/>
        </w:rPr>
      </w:pPr>
    </w:p>
    <w:p>
      <w:pPr>
        <w:jc w:val="center"/>
        <w:ind w:left="5520" w:right="420" w:hanging="5056"/>
        <w:spacing w:after="0" w:line="449"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with respect to the Securities of such series; and I - 28</w:t>
      </w:r>
    </w:p>
    <w:p>
      <w:pPr>
        <w:sectPr>
          <w:pgSz w:w="11900" w:h="16838" w:orient="portrait"/>
          <w:cols w:equalWidth="0" w:num="1">
            <w:col w:w="11400"/>
          </w:cols>
          <w:pgMar w:left="240" w:top="270" w:right="259" w:bottom="1440" w:gutter="0" w:footer="0" w:header="0"/>
        </w:sectPr>
      </w:pPr>
    </w:p>
    <w:bookmarkStart w:id="69" w:name="page70"/>
    <w:bookmarkEnd w:id="69"/>
    <w:p>
      <w:pPr>
        <w:ind w:right="500" w:firstLine="464"/>
        <w:spacing w:after="0" w:line="342"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2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607, any surviving rights of conversion,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b w:val="1"/>
          <w:bCs w:val="1"/>
          <w:u w:val="single" w:color="auto"/>
          <w:color w:val="auto"/>
        </w:rPr>
        <w:t>Application of Trust Money.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b w:val="1"/>
          <w:bCs w:val="1"/>
          <w:u w:val="single" w:color="auto"/>
          <w:color w:val="auto"/>
        </w:rPr>
        <w:t>Events of Default.</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right="460" w:firstLine="464"/>
        <w:spacing w:after="0" w:line="277"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in Article Eight of this Indenture; or</w:t>
      </w:r>
    </w:p>
    <w:p>
      <w:pPr>
        <w:spacing w:after="0" w:line="225" w:lineRule="exact"/>
        <w:rPr>
          <w:rFonts w:ascii="Arial" w:cs="Arial" w:eastAsia="Arial" w:hAnsi="Arial"/>
          <w:sz w:val="18"/>
          <w:szCs w:val="18"/>
          <w:color w:val="auto"/>
        </w:rPr>
      </w:pPr>
    </w:p>
    <w:p>
      <w:pPr>
        <w:ind w:right="100" w:firstLine="464"/>
        <w:spacing w:after="0" w:line="312"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- 29</w:t>
      </w:r>
    </w:p>
    <w:p>
      <w:pPr>
        <w:sectPr>
          <w:pgSz w:w="11900" w:h="16838" w:orient="portrait"/>
          <w:cols w:equalWidth="0" w:num="1">
            <w:col w:w="11420"/>
          </w:cols>
          <w:pgMar w:left="240" w:top="274" w:right="239" w:bottom="1440" w:gutter="0" w:footer="0" w:header="0"/>
        </w:sectPr>
      </w:pPr>
    </w:p>
    <w:bookmarkStart w:id="70" w:name="page71"/>
    <w:bookmarkEnd w:id="7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1" w:lineRule="exact"/>
        <w:rPr>
          <w:sz w:val="20"/>
          <w:szCs w:val="20"/>
          <w:color w:val="auto"/>
        </w:rPr>
      </w:pPr>
    </w:p>
    <w:p>
      <w:pPr>
        <w:ind w:firstLine="464"/>
        <w:spacing w:after="0" w:line="272" w:lineRule="auto"/>
        <w:tabs>
          <w:tab w:leader="none" w:pos="7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or any Significant Subsidiary in an involuntary case or proceeding under any applicable Federal or State bankruptcy, insolvency, reorganization or other similar law or (B) a decree or order adjudging the Company or any Significant Subsidiary a bankrupt or insolvent, or approving as properly filed a petition seeking reorganization, arrangement, adjustment or composition of or in respect of the Company or any Significant Subsidiary under any applicable Federal or State law, or appointing a custodian, receiver, liquidator, assignee, trustee, sequestrator or other similar official of the Company or any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 or</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commencement by the Company or any Significant Subsidiary of a voluntary case or proceeding under any applicable Federal or State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bankruptcy, insolvency, reorganization or other similar law or of any other case or proceeding to be adjudicated a bankrupt or insolvent, or the consent by it or them to the entry of a decree or order for relief in respect of the Company or any Significant Subsidiary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or any Significant Subsidiary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or any Significant Subsidiary in furtherance of any such action; or</w:t>
      </w:r>
    </w:p>
    <w:p>
      <w:pPr>
        <w:spacing w:after="0" w:line="170" w:lineRule="exact"/>
        <w:rPr>
          <w:rFonts w:ascii="Arial" w:cs="Arial" w:eastAsia="Arial" w:hAnsi="Arial"/>
          <w:sz w:val="17"/>
          <w:szCs w:val="17"/>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b w:val="1"/>
          <w:bCs w:val="1"/>
          <w:u w:val="single" w:color="auto"/>
          <w:color w:val="auto"/>
        </w:rPr>
        <w:t>Acceleration of Maturity; Rescission and Annulment.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an Event of Default (other than an Event of Default with respect to the Company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- 30</w:t>
      </w:r>
    </w:p>
    <w:p>
      <w:pPr>
        <w:sectPr>
          <w:pgSz w:w="11900" w:h="16838" w:orient="portrait"/>
          <w:cols w:equalWidth="0" w:num="1">
            <w:col w:w="11400"/>
          </w:cols>
          <w:pgMar w:left="240" w:top="274" w:right="259" w:bottom="1440" w:gutter="0" w:footer="0" w:header="0"/>
        </w:sectPr>
      </w:pPr>
    </w:p>
    <w:bookmarkStart w:id="71" w:name="page72"/>
    <w:bookmarkEnd w:id="71"/>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(or specified amount) shall become immediately due and payable. If an Event of Default with respect to the Company specified in Section 501(6) or 501 (7)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7" w:lineRule="exact"/>
        <w:rPr>
          <w:sz w:val="20"/>
          <w:szCs w:val="20"/>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right="600" w:firstLine="921"/>
        <w:spacing w:after="0" w:line="277" w:lineRule="auto"/>
        <w:tabs>
          <w:tab w:leader="none" w:pos="11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1200" w:hanging="279"/>
        <w:spacing w:after="0"/>
        <w:tabs>
          <w:tab w:leader="none" w:pos="12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or rates prescribed therefor in such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0" w:firstLine="921"/>
        <w:spacing w:after="0" w:line="277" w:lineRule="auto"/>
        <w:tabs>
          <w:tab w:leader="none" w:pos="12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b w:val="1"/>
          <w:bCs w:val="1"/>
          <w:u w:val="single" w:color="auto"/>
          <w:color w:val="auto"/>
        </w:rPr>
        <w:t>Collection of Indebtedness and Suits for Enforcement by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4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 - 31</w:t>
      </w:r>
    </w:p>
    <w:p>
      <w:pPr>
        <w:sectPr>
          <w:pgSz w:w="11900" w:h="16838" w:orient="portrait"/>
          <w:cols w:equalWidth="0" w:num="1">
            <w:col w:w="11340"/>
          </w:cols>
          <w:pgMar w:left="240" w:top="274" w:right="319" w:bottom="1440" w:gutter="0" w:footer="0" w:header="0"/>
        </w:sectPr>
      </w:pPr>
    </w:p>
    <w:bookmarkStart w:id="72" w:name="page73"/>
    <w:bookmarkEnd w:id="72"/>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b w:val="1"/>
          <w:bCs w:val="1"/>
          <w:u w:val="single" w:color="auto"/>
          <w:color w:val="auto"/>
        </w:rPr>
        <w:t>Trustee May File Proofs of Claim.</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case of any judicial proceeding relative to the Company or any other obligor upon the Securities, or the property or creditors of the Company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b w:val="1"/>
          <w:bCs w:val="1"/>
          <w:u w:val="single" w:color="auto"/>
          <w:color w:val="auto"/>
        </w:rPr>
        <w:t>Trustee May Enforce Claims Without Possession of Securities.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- 32</w:t>
      </w:r>
    </w:p>
    <w:p>
      <w:pPr>
        <w:sectPr>
          <w:pgSz w:w="11900" w:h="16838" w:orient="portrait"/>
          <w:cols w:equalWidth="0" w:num="1">
            <w:col w:w="11380"/>
          </w:cols>
          <w:pgMar w:left="240" w:top="274" w:right="279" w:bottom="1440" w:gutter="0" w:footer="0" w:header="0"/>
        </w:sectPr>
      </w:pPr>
    </w:p>
    <w:bookmarkStart w:id="73" w:name="page74"/>
    <w:bookmarkEnd w:id="73"/>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506.</w:t>
      </w:r>
      <w:r>
        <w:rPr>
          <w:sz w:val="20"/>
          <w:szCs w:val="20"/>
          <w:color w:val="auto"/>
        </w:rPr>
        <w:tab/>
      </w:r>
      <w:r>
        <w:rPr>
          <w:rFonts w:ascii="Arial" w:cs="Arial" w:eastAsia="Arial" w:hAnsi="Arial"/>
          <w:sz w:val="16"/>
          <w:szCs w:val="16"/>
          <w:b w:val="1"/>
          <w:bCs w:val="1"/>
          <w:u w:val="single" w:color="auto"/>
          <w:color w:val="auto"/>
        </w:rPr>
        <w:t>Application of Money Collected.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Company or to such other Person as a court of competent jurisdiction shall direct.</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b w:val="1"/>
          <w:bCs w:val="1"/>
          <w:u w:val="single" w:color="auto"/>
          <w:color w:val="auto"/>
        </w:rPr>
        <w:t>Limitation on Suits.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720" w:hanging="256"/>
        <w:spacing w:after="0"/>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236"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security or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 and</w:t>
      </w:r>
    </w:p>
    <w:p>
      <w:pPr>
        <w:spacing w:after="0" w:line="248" w:lineRule="exact"/>
        <w:rPr>
          <w:rFonts w:ascii="Arial" w:cs="Arial" w:eastAsia="Arial" w:hAnsi="Arial"/>
          <w:sz w:val="16"/>
          <w:szCs w:val="16"/>
          <w:color w:val="auto"/>
        </w:rPr>
      </w:pPr>
    </w:p>
    <w:p>
      <w:pPr>
        <w:ind w:firstLine="464"/>
        <w:spacing w:after="0" w:line="277"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- 33</w:t>
      </w:r>
    </w:p>
    <w:p>
      <w:pPr>
        <w:sectPr>
          <w:pgSz w:w="11900" w:h="16838" w:orient="portrait"/>
          <w:cols w:equalWidth="0" w:num="1">
            <w:col w:w="11380"/>
          </w:cols>
          <w:pgMar w:left="240" w:top="270" w:right="279" w:bottom="1440" w:gutter="0" w:footer="0" w:header="0"/>
        </w:sectPr>
      </w:pPr>
    </w:p>
    <w:bookmarkStart w:id="74" w:name="page75"/>
    <w:bookmarkEnd w:id="74"/>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508.</w:t>
      </w:r>
      <w:r>
        <w:rPr>
          <w:sz w:val="20"/>
          <w:szCs w:val="20"/>
          <w:color w:val="auto"/>
        </w:rPr>
        <w:tab/>
      </w:r>
      <w:r>
        <w:rPr>
          <w:rFonts w:ascii="Arial" w:cs="Arial" w:eastAsia="Arial" w:hAnsi="Arial"/>
          <w:sz w:val="16"/>
          <w:szCs w:val="16"/>
          <w:b w:val="1"/>
          <w:bCs w:val="1"/>
          <w:u w:val="single" w:color="auto"/>
          <w:color w:val="auto"/>
        </w:rPr>
        <w:t>Unconditional Right of Holders to Receive Principal, Premium and Interest.</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w:t>
      </w:r>
    </w:p>
    <w:p>
      <w:pPr>
        <w:spacing w:after="0" w:line="31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5"/>
          <w:szCs w:val="15"/>
          <w:b w:val="1"/>
          <w:bCs w:val="1"/>
          <w:u w:val="single" w:color="auto"/>
          <w:color w:val="auto"/>
        </w:rPr>
        <w:t>Restoration of Rights and Remedies.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9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b w:val="1"/>
          <w:bCs w:val="1"/>
          <w:u w:val="single" w:color="auto"/>
          <w:color w:val="auto"/>
        </w:rPr>
        <w:t>Rights and Remedies Cumulative.</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3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b w:val="1"/>
          <w:bCs w:val="1"/>
          <w:u w:val="single" w:color="auto"/>
          <w:color w:val="auto"/>
        </w:rPr>
        <w:t>Delay or Omission Not Waiver.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b w:val="1"/>
          <w:bCs w:val="1"/>
          <w:u w:val="single" w:color="auto"/>
          <w:color w:val="auto"/>
        </w:rPr>
        <w:t>Control by 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25" w:lineRule="exact"/>
        <w:rPr>
          <w:rFonts w:ascii="Arial" w:cs="Arial" w:eastAsia="Arial" w:hAnsi="Arial"/>
          <w:sz w:val="18"/>
          <w:szCs w:val="18"/>
          <w:color w:val="auto"/>
        </w:rPr>
      </w:pPr>
    </w:p>
    <w:p>
      <w:pPr>
        <w:ind w:left="5520" w:right="2480" w:hanging="5056"/>
        <w:spacing w:after="0" w:line="449"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I - 34</w:t>
      </w:r>
    </w:p>
    <w:p>
      <w:pPr>
        <w:sectPr>
          <w:pgSz w:w="11900" w:h="16838" w:orient="portrait"/>
          <w:cols w:equalWidth="0" w:num="1">
            <w:col w:w="11380"/>
          </w:cols>
          <w:pgMar w:left="240" w:top="270" w:right="279" w:bottom="1440" w:gutter="0" w:footer="0" w:header="0"/>
        </w:sectPr>
      </w:pPr>
    </w:p>
    <w:bookmarkStart w:id="75" w:name="page76"/>
    <w:bookmarkEnd w:id="75"/>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513.</w:t>
      </w:r>
      <w:r>
        <w:rPr>
          <w:sz w:val="20"/>
          <w:szCs w:val="20"/>
          <w:color w:val="auto"/>
        </w:rPr>
        <w:tab/>
      </w:r>
      <w:r>
        <w:rPr>
          <w:rFonts w:ascii="Arial" w:cs="Arial" w:eastAsia="Arial" w:hAnsi="Arial"/>
          <w:sz w:val="16"/>
          <w:szCs w:val="16"/>
          <w:b w:val="1"/>
          <w:bCs w:val="1"/>
          <w:u w:val="single" w:color="auto"/>
          <w:color w:val="auto"/>
        </w:rPr>
        <w:t>Waiver of Past Defaults.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70" w:lineRule="exact"/>
        <w:rPr>
          <w:sz w:val="20"/>
          <w:szCs w:val="20"/>
          <w:color w:val="auto"/>
        </w:rPr>
      </w:pPr>
    </w:p>
    <w:p>
      <w:pPr>
        <w:ind w:right="14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any Security of such series (including any Security which is required to have been purchased by the Company pursuant to an offer to purchase by the Company made pursuant to the terms of this Indenture), or</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w:t>
      </w:r>
    </w:p>
    <w:p>
      <w:pPr>
        <w:spacing w:after="0" w:line="170"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b w:val="1"/>
          <w:bCs w:val="1"/>
          <w:u w:val="single" w:color="auto"/>
          <w:color w:val="auto"/>
        </w:rPr>
        <w:t>Undertaking for Costs.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w:t>
      </w:r>
    </w:p>
    <w:p>
      <w:pPr>
        <w:spacing w:after="0" w:line="29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b w:val="1"/>
          <w:bCs w:val="1"/>
          <w:u w:val="single" w:color="auto"/>
          <w:color w:val="auto"/>
        </w:rPr>
        <w:t>Waiver of Usury, Stay or Extension Laws.</w:t>
      </w:r>
    </w:p>
    <w:p>
      <w:pPr>
        <w:spacing w:after="0" w:line="121"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- 35</w:t>
      </w:r>
    </w:p>
    <w:p>
      <w:pPr>
        <w:sectPr>
          <w:pgSz w:w="11900" w:h="16838" w:orient="portrait"/>
          <w:cols w:equalWidth="0" w:num="1">
            <w:col w:w="11420"/>
          </w:cols>
          <w:pgMar w:left="240" w:top="270" w:right="239" w:bottom="1440" w:gutter="0" w:footer="0" w:header="0"/>
        </w:sectPr>
      </w:pPr>
    </w:p>
    <w:bookmarkStart w:id="76" w:name="page77"/>
    <w:bookmarkEnd w:id="7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SIX</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TRUSTEE</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b w:val="1"/>
          <w:bCs w:val="1"/>
          <w:u w:val="single" w:color="auto"/>
          <w:color w:val="auto"/>
        </w:rPr>
        <w:t>Certain Duties and Responsibilities.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3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b w:val="1"/>
          <w:bCs w:val="1"/>
          <w:u w:val="single" w:color="auto"/>
          <w:color w:val="auto"/>
        </w:rPr>
        <w:t>Notice of Defaults.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501(5)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33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b w:val="1"/>
          <w:bCs w:val="1"/>
          <w:u w:val="single" w:color="auto"/>
          <w:color w:val="auto"/>
        </w:rPr>
        <w:t>Certain Rights of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601:</w:t>
      </w:r>
    </w:p>
    <w:p>
      <w:pPr>
        <w:spacing w:after="0" w:line="225" w:lineRule="exact"/>
        <w:rPr>
          <w:sz w:val="20"/>
          <w:szCs w:val="20"/>
          <w:color w:val="auto"/>
        </w:rPr>
      </w:pPr>
    </w:p>
    <w:p>
      <w:pPr>
        <w:ind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1"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- 36</w:t>
      </w:r>
    </w:p>
    <w:p>
      <w:pPr>
        <w:sectPr>
          <w:pgSz w:w="11900" w:h="16838" w:orient="portrait"/>
          <w:cols w:equalWidth="0" w:num="1">
            <w:col w:w="11420"/>
          </w:cols>
          <w:pgMar w:left="240" w:top="270" w:right="239" w:bottom="1440" w:gutter="0" w:footer="0" w:header="0"/>
        </w:sectPr>
      </w:pPr>
    </w:p>
    <w:bookmarkStart w:id="77" w:name="page78"/>
    <w:bookmarkEnd w:id="77"/>
    <w:p>
      <w:pPr>
        <w:ind w:right="60" w:firstLine="464"/>
        <w:spacing w:after="0" w:line="264"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ind w:firstLine="464"/>
        <w:spacing w:after="0" w:line="302" w:lineRule="auto"/>
        <w:tabs>
          <w:tab w:leader="none" w:pos="71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54" w:lineRule="exact"/>
        <w:rPr>
          <w:rFonts w:ascii="Arial" w:cs="Arial" w:eastAsia="Arial" w:hAnsi="Arial"/>
          <w:sz w:val="16"/>
          <w:szCs w:val="16"/>
          <w:color w:val="auto"/>
        </w:rPr>
      </w:pPr>
    </w:p>
    <w:p>
      <w:pPr>
        <w:ind w:right="160" w:firstLine="464"/>
        <w:spacing w:after="0" w:line="342" w:lineRule="auto"/>
        <w:tabs>
          <w:tab w:leader="none" w:pos="71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26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5"/>
          <w:szCs w:val="15"/>
          <w:b w:val="1"/>
          <w:bCs w:val="1"/>
          <w:u w:val="single" w:color="auto"/>
          <w:color w:val="auto"/>
        </w:rPr>
        <w:t>Not Responsible for Recitals or Issuance of Securities.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b w:val="1"/>
          <w:bCs w:val="1"/>
          <w:u w:val="single" w:color="auto"/>
          <w:color w:val="auto"/>
        </w:rPr>
        <w:t>May Hold Securities.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31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b w:val="1"/>
          <w:bCs w:val="1"/>
          <w:u w:val="single" w:color="auto"/>
          <w:color w:val="auto"/>
        </w:rPr>
        <w:t>Money Held in Trust.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b w:val="1"/>
          <w:bCs w:val="1"/>
          <w:u w:val="single" w:color="auto"/>
          <w:color w:val="auto"/>
        </w:rPr>
        <w:t>Compensation and Reimbursement.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right="80" w:firstLine="464"/>
        <w:spacing w:after="0" w:line="27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- 37</w:t>
      </w:r>
    </w:p>
    <w:p>
      <w:pPr>
        <w:sectPr>
          <w:pgSz w:w="11900" w:h="16838" w:orient="portrait"/>
          <w:cols w:equalWidth="0" w:num="1">
            <w:col w:w="11380"/>
          </w:cols>
          <w:pgMar w:left="240" w:top="274" w:right="279" w:bottom="1440" w:gutter="0" w:footer="0" w:header="0"/>
        </w:sectPr>
      </w:pPr>
    </w:p>
    <w:bookmarkStart w:id="78" w:name="page79"/>
    <w:bookmarkEnd w:id="78"/>
    <w:p>
      <w:pPr>
        <w:ind w:right="220" w:firstLine="464"/>
        <w:spacing w:after="0" w:line="312"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46" w:lineRule="exact"/>
        <w:rPr>
          <w:rFonts w:ascii="Arial" w:cs="Arial" w:eastAsia="Arial" w:hAnsi="Arial"/>
          <w:sz w:val="16"/>
          <w:szCs w:val="16"/>
          <w:color w:val="auto"/>
        </w:rPr>
      </w:pPr>
    </w:p>
    <w:p>
      <w:pPr>
        <w:jc w:val="both"/>
        <w:ind w:right="460" w:firstLine="464"/>
        <w:spacing w:after="0" w:line="286" w:lineRule="auto"/>
        <w:tabs>
          <w:tab w:leader="none" w:pos="7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31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b w:val="1"/>
          <w:bCs w:val="1"/>
          <w:u w:val="single" w:color="auto"/>
          <w:color w:val="auto"/>
        </w:rPr>
        <w:t>Conflicting Interests.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b w:val="1"/>
          <w:bCs w:val="1"/>
          <w:u w:val="single" w:color="auto"/>
          <w:color w:val="auto"/>
        </w:rPr>
        <w:t>Corporate Trustee Required; Eligibility.</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32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5"/>
          <w:szCs w:val="15"/>
          <w:b w:val="1"/>
          <w:bCs w:val="1"/>
          <w:u w:val="single" w:color="auto"/>
          <w:color w:val="auto"/>
        </w:rPr>
        <w:t>Resignation and Removal; Appointment of Successor.</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- 38</w:t>
      </w:r>
    </w:p>
    <w:p>
      <w:pPr>
        <w:sectPr>
          <w:pgSz w:w="11900" w:h="16838" w:orient="portrait"/>
          <w:cols w:equalWidth="0" w:num="1">
            <w:col w:w="11400"/>
          </w:cols>
          <w:pgMar w:left="240" w:top="274" w:right="25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giving of such notice of resignation, the resigning Trustee may petition any court of competent jurisdiction for the appointment of a successor Trustee with respect to the Securities of such series.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right="160" w:firstLine="464"/>
        <w:spacing w:after="0" w:line="277"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fail to comply with Section 608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609 and shall fail to resign after written request therefor by the Company or by any such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right="440" w:firstLine="464"/>
        <w:spacing w:after="0" w:line="264"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- 39</w:t>
      </w:r>
    </w:p>
    <w:p>
      <w:pPr>
        <w:sectPr>
          <w:pgSz w:w="11900" w:h="16838" w:orient="portrait"/>
          <w:cols w:equalWidth="0" w:num="1">
            <w:col w:w="11420"/>
          </w:cols>
          <w:pgMar w:left="240" w:top="274" w:right="239" w:bottom="1440" w:gutter="0" w:footer="0" w:header="0"/>
        </w:sectPr>
      </w:pPr>
    </w:p>
    <w:bookmarkStart w:id="80" w:name="page81"/>
    <w:bookmarkEnd w:id="80"/>
    <w:p>
      <w:pPr>
        <w:ind w:right="2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b w:val="1"/>
          <w:bCs w:val="1"/>
          <w:u w:val="single" w:color="auto"/>
          <w:color w:val="auto"/>
        </w:rPr>
        <w:t>Acceptance of Appointment by Successor.</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- 40</w:t>
      </w:r>
    </w:p>
    <w:p>
      <w:pPr>
        <w:sectPr>
          <w:pgSz w:w="11900" w:h="16838" w:orient="portrait"/>
          <w:cols w:equalWidth="0" w:num="1">
            <w:col w:w="11400"/>
          </w:cols>
          <w:pgMar w:left="240" w:top="274" w:right="259" w:bottom="1440" w:gutter="0" w:footer="0" w:header="0"/>
        </w:sectPr>
      </w:pPr>
    </w:p>
    <w:bookmarkStart w:id="81" w:name="page82"/>
    <w:bookmarkEnd w:id="81"/>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5"/>
          <w:szCs w:val="15"/>
          <w:b w:val="1"/>
          <w:bCs w:val="1"/>
          <w:u w:val="single" w:color="auto"/>
          <w:color w:val="auto"/>
        </w:rPr>
        <w:t>Merger, Conversion, Consolidation or Succession to Business.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2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b w:val="1"/>
          <w:bCs w:val="1"/>
          <w:u w:val="single" w:color="auto"/>
          <w:color w:val="auto"/>
        </w:rPr>
        <w:t>Preferential Collection of Claims Against Company.</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b w:val="1"/>
          <w:bCs w:val="1"/>
          <w:u w:val="single" w:color="auto"/>
          <w:color w:val="auto"/>
        </w:rPr>
        <w:t>Appointment of Authenticating Agent.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- 41</w:t>
      </w:r>
    </w:p>
    <w:p>
      <w:pPr>
        <w:sectPr>
          <w:pgSz w:w="11900" w:h="16838" w:orient="portrait"/>
          <w:cols w:equalWidth="0" w:num="1">
            <w:col w:w="11400"/>
          </w:cols>
          <w:pgMar w:left="240" w:top="274" w:right="259" w:bottom="1440" w:gutter="0" w:footer="0" w:header="0"/>
        </w:sectPr>
      </w:pPr>
    </w:p>
    <w:bookmarkStart w:id="82" w:name="page83"/>
    <w:bookmarkEnd w:id="8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288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28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 - 42</w:t>
      </w:r>
    </w:p>
    <w:p>
      <w:pPr>
        <w:sectPr>
          <w:pgSz w:w="11900" w:h="16838" w:orient="portrait"/>
          <w:cols w:equalWidth="0" w:num="1">
            <w:col w:w="11320"/>
          </w:cols>
          <w:pgMar w:left="240" w:top="274" w:right="3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SEVEN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b w:val="1"/>
          <w:bCs w:val="1"/>
          <w:u w:val="single" w:color="auto"/>
          <w:color w:val="auto"/>
        </w:rPr>
        <w:t>Company to Furnish Trustee Names and Addresses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furnish or cause to be furnished to the Trustee with respect to the Securities of each series:</w:t>
      </w:r>
    </w:p>
    <w:p>
      <w:pPr>
        <w:spacing w:after="0" w:line="225" w:lineRule="exact"/>
        <w:rPr>
          <w:sz w:val="20"/>
          <w:szCs w:val="20"/>
          <w:color w:val="auto"/>
        </w:rPr>
      </w:pPr>
    </w:p>
    <w:p>
      <w:pPr>
        <w:ind w:right="540" w:firstLine="464"/>
        <w:spacing w:after="0" w:line="277"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more than 10 days after each record date with respect to the payment of interest, if any, a list, in such form as the Trustee may reasonably require, of the names and addresses of the Holders of Securities of such series as of such record date, and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37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b w:val="1"/>
          <w:bCs w:val="1"/>
          <w:u w:val="single" w:color="auto"/>
          <w:color w:val="auto"/>
        </w:rPr>
        <w:t>Preservation of Information; Communications to Holders.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any of them shall be held accountable by reason of any disclosure of information as to names and addresses of Holders made pursuant to the Trust Indenture Act.</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b w:val="1"/>
          <w:bCs w:val="1"/>
          <w:u w:val="single" w:color="auto"/>
          <w:color w:val="auto"/>
        </w:rPr>
        <w:t>Reports by Trustee.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- 43</w:t>
      </w:r>
    </w:p>
    <w:p>
      <w:pPr>
        <w:sectPr>
          <w:pgSz w:w="11900" w:h="16838" w:orient="portrait"/>
          <w:cols w:equalWidth="0" w:num="1">
            <w:col w:w="11400"/>
          </w:cols>
          <w:pgMar w:left="240" w:top="270" w:right="259" w:bottom="1440" w:gutter="0" w:footer="0" w:header="0"/>
        </w:sectPr>
      </w:pPr>
    </w:p>
    <w:bookmarkStart w:id="84" w:name="page85"/>
    <w:bookmarkEnd w:id="84"/>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704.</w:t>
      </w:r>
      <w:r>
        <w:rPr>
          <w:sz w:val="20"/>
          <w:szCs w:val="20"/>
          <w:color w:val="auto"/>
        </w:rPr>
        <w:tab/>
      </w:r>
      <w:r>
        <w:rPr>
          <w:rFonts w:ascii="Arial" w:cs="Arial" w:eastAsia="Arial" w:hAnsi="Arial"/>
          <w:sz w:val="16"/>
          <w:szCs w:val="16"/>
          <w:b w:val="1"/>
          <w:bCs w:val="1"/>
          <w:u w:val="single" w:color="auto"/>
          <w:color w:val="auto"/>
        </w:rPr>
        <w:t>Reports by Company.</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b w:val="1"/>
          <w:bCs w:val="1"/>
          <w:u w:val="single" w:color="auto"/>
          <w:color w:val="auto"/>
        </w:rPr>
        <w:t>Company May Consolidate, Etc., Only on Certain Terms.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w:t>
      </w:r>
    </w:p>
    <w:p>
      <w:pPr>
        <w:spacing w:after="0" w:line="181" w:lineRule="exact"/>
        <w:rPr>
          <w:sz w:val="20"/>
          <w:szCs w:val="20"/>
          <w:color w:val="auto"/>
        </w:rPr>
      </w:pPr>
    </w:p>
    <w:p>
      <w:pPr>
        <w:ind w:firstLine="464"/>
        <w:spacing w:after="0" w:line="255"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 transaction in which the Company does not survive or in which the Company transfers, conveys, sells, leases or otherwise disposes of all or substantially all of its assets, the successor entity (for purposes of this Article Eight, a “Successor Company”)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93" w:lineRule="exact"/>
        <w:rPr>
          <w:rFonts w:ascii="Arial" w:cs="Arial" w:eastAsia="Arial" w:hAnsi="Arial"/>
          <w:sz w:val="18"/>
          <w:szCs w:val="18"/>
          <w:color w:val="auto"/>
        </w:rPr>
      </w:pPr>
    </w:p>
    <w:p>
      <w:pPr>
        <w:ind w:right="360" w:firstLine="464"/>
        <w:spacing w:after="0" w:line="312" w:lineRule="auto"/>
        <w:tabs>
          <w:tab w:leader="none" w:pos="7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immediately before and after giving pro forma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46" w:lineRule="exact"/>
        <w:rPr>
          <w:rFonts w:ascii="Arial" w:cs="Arial" w:eastAsia="Arial" w:hAnsi="Arial"/>
          <w:sz w:val="16"/>
          <w:szCs w:val="16"/>
          <w:color w:val="auto"/>
        </w:rPr>
      </w:pPr>
    </w:p>
    <w:p>
      <w:pPr>
        <w:ind w:firstLine="464"/>
        <w:spacing w:after="0" w:line="259"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conditions provided pursuant to Section 301 with respect to the Securities of a series are satisfied; and</w:t>
      </w:r>
    </w:p>
    <w:p>
      <w:pPr>
        <w:spacing w:after="0" w:line="225" w:lineRule="exact"/>
        <w:rPr>
          <w:rFonts w:ascii="Arial" w:cs="Arial" w:eastAsia="Arial" w:hAnsi="Arial"/>
          <w:sz w:val="18"/>
          <w:szCs w:val="18"/>
          <w:color w:val="auto"/>
        </w:rPr>
      </w:pPr>
    </w:p>
    <w:p>
      <w:pPr>
        <w:ind w:right="100" w:firstLine="464"/>
        <w:spacing w:after="0" w:line="312" w:lineRule="auto"/>
        <w:tabs>
          <w:tab w:leader="none" w:pos="7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- 44</w:t>
      </w:r>
    </w:p>
    <w:p>
      <w:pPr>
        <w:sectPr>
          <w:pgSz w:w="11900" w:h="16838" w:orient="portrait"/>
          <w:cols w:equalWidth="0" w:num="1">
            <w:col w:w="11420"/>
          </w:cols>
          <w:pgMar w:left="240" w:top="270"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color w:val="auto"/>
              </w:rPr>
              <w:t>SECTION 802.</w:t>
            </w: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[Intentionally Omitted].</w:t>
            </w:r>
          </w:p>
        </w:tc>
      </w:tr>
      <w:tr>
        <w:trPr>
          <w:trHeight w:val="561"/>
        </w:trPr>
        <w:tc>
          <w:tcPr>
            <w:tcW w:w="1940" w:type="dxa"/>
            <w:vAlign w:val="bottom"/>
          </w:tcPr>
          <w:p>
            <w:pPr>
              <w:spacing w:after="0"/>
              <w:rPr>
                <w:sz w:val="20"/>
                <w:szCs w:val="20"/>
                <w:color w:val="auto"/>
              </w:rPr>
            </w:pPr>
            <w:r>
              <w:rPr>
                <w:rFonts w:ascii="Arial" w:cs="Arial" w:eastAsia="Arial" w:hAnsi="Arial"/>
                <w:sz w:val="18"/>
                <w:szCs w:val="18"/>
                <w:color w:val="auto"/>
              </w:rPr>
              <w:t>SECTION 803.</w:t>
            </w: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Successor Substituted.</w:t>
            </w:r>
          </w:p>
        </w:tc>
        <w:tc>
          <w:tcPr>
            <w:tcW w:w="120" w:type="dxa"/>
            <w:vAlign w:val="bottom"/>
          </w:tcPr>
          <w:p>
            <w:pPr>
              <w:spacing w:after="0"/>
              <w:rPr>
                <w:sz w:val="24"/>
                <w:szCs w:val="24"/>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transfer, conveyance, sale, lease or other disposition of all or substantially all of the assets of the Company in accordance with Section 801,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b w:val="1"/>
          <w:bCs w:val="1"/>
          <w:u w:val="single" w:color="auto"/>
          <w:color w:val="auto"/>
        </w:rPr>
        <w:t>Supplemental Indentures Without Consent of Holders.</w:t>
      </w:r>
    </w:p>
    <w:p>
      <w:pPr>
        <w:spacing w:after="0" w:line="12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47" w:lineRule="exact"/>
        <w:rPr>
          <w:sz w:val="20"/>
          <w:szCs w:val="20"/>
          <w:color w:val="auto"/>
        </w:rPr>
      </w:pPr>
    </w:p>
    <w:p>
      <w:pPr>
        <w:ind w:right="100" w:firstLine="464"/>
        <w:spacing w:after="0" w:line="277"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and the assumption by any such successor of the covenants of the Company herein and in the Securities; or</w:t>
      </w:r>
    </w:p>
    <w:p>
      <w:pPr>
        <w:spacing w:after="0" w:line="170"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ind w:right="320" w:firstLine="464"/>
        <w:spacing w:after="0" w:line="264"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- 45</w:t>
      </w:r>
    </w:p>
    <w:p>
      <w:pPr>
        <w:sectPr>
          <w:pgSz w:w="11900" w:h="16838" w:orient="portrait"/>
          <w:cols w:equalWidth="0" w:num="1">
            <w:col w:w="11420"/>
          </w:cols>
          <w:pgMar w:left="240" w:top="257" w:right="239" w:bottom="1440" w:gutter="0" w:footer="0" w:header="0"/>
        </w:sectPr>
      </w:pPr>
    </w:p>
    <w:bookmarkStart w:id="86" w:name="page87"/>
    <w:bookmarkEnd w:id="86"/>
    <w:p>
      <w:pPr>
        <w:ind w:left="720" w:hanging="256"/>
        <w:spacing w:after="0"/>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secure the Securities;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defective or inconsistent with any other provision herein; or</w:t>
      </w:r>
    </w:p>
    <w:p>
      <w:pPr>
        <w:spacing w:after="0" w:line="236" w:lineRule="exact"/>
        <w:rPr>
          <w:rFonts w:ascii="Arial" w:cs="Arial" w:eastAsia="Arial" w:hAnsi="Arial"/>
          <w:sz w:val="17"/>
          <w:szCs w:val="17"/>
          <w:color w:val="auto"/>
        </w:rPr>
      </w:pPr>
    </w:p>
    <w:p>
      <w:pPr>
        <w:ind w:left="800" w:hanging="336"/>
        <w:spacing w:after="0"/>
        <w:tabs>
          <w:tab w:leader="none" w:pos="8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to make any other provisions with respect to matters or questions arising under this Indenture, provided that such action pursuant to this clause</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shall not adversely affect the interests of the Holders of Securities of any series in any material respect.</w:t>
      </w:r>
    </w:p>
    <w:p>
      <w:pPr>
        <w:spacing w:after="0" w:line="35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b w:val="1"/>
          <w:bCs w:val="1"/>
          <w:u w:val="single" w:color="auto"/>
          <w:color w:val="auto"/>
        </w:rPr>
        <w:t>Supplemental Indentures With Consent of Holders.</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58" w:lineRule="exact"/>
        <w:rPr>
          <w:sz w:val="20"/>
          <w:szCs w:val="20"/>
          <w:color w:val="auto"/>
        </w:rPr>
      </w:pPr>
    </w:p>
    <w:p>
      <w:pPr>
        <w:ind w:right="120" w:firstLine="464"/>
        <w:spacing w:after="0" w:line="284" w:lineRule="auto"/>
        <w:tabs>
          <w:tab w:leader="none" w:pos="711" w:val="left"/>
        </w:tabs>
        <w:numPr>
          <w:ilvl w:val="1"/>
          <w:numId w:val="7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 any such payment on or after the Stated Maturity thereof (or, in the case of redemption, on or after the Redemption Date or in the case of an offer to purchase Securities which has been made pursuant to a covenant contained in this Indenture, on or after the applicable purchase date) or</w:t>
      </w:r>
    </w:p>
    <w:p>
      <w:pPr>
        <w:spacing w:after="0" w:line="4" w:lineRule="exact"/>
        <w:rPr>
          <w:rFonts w:ascii="Arial" w:cs="Arial" w:eastAsia="Arial" w:hAnsi="Arial"/>
          <w:sz w:val="16"/>
          <w:szCs w:val="16"/>
          <w:color w:val="auto"/>
        </w:rPr>
      </w:pPr>
    </w:p>
    <w:p>
      <w:pPr>
        <w:ind w:right="180" w:firstLine="8"/>
        <w:spacing w:after="0" w:line="261"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conversion right with respect to any Security, or modify the provisions of this Indenture with respect to the conversion of the Securities, in a manner adverse to the Holders; or</w:t>
      </w:r>
    </w:p>
    <w:p>
      <w:pPr>
        <w:spacing w:after="0" w:line="183" w:lineRule="exact"/>
        <w:rPr>
          <w:rFonts w:ascii="Arial" w:cs="Arial" w:eastAsia="Arial" w:hAnsi="Arial"/>
          <w:sz w:val="18"/>
          <w:szCs w:val="18"/>
          <w:color w:val="auto"/>
        </w:rPr>
      </w:pPr>
    </w:p>
    <w:p>
      <w:pPr>
        <w:ind w:firstLine="464"/>
        <w:spacing w:after="0" w:line="264" w:lineRule="auto"/>
        <w:tabs>
          <w:tab w:leader="none" w:pos="711"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- 46</w:t>
      </w:r>
    </w:p>
    <w:p>
      <w:pPr>
        <w:sectPr>
          <w:pgSz w:w="11900" w:h="16838" w:orient="portrait"/>
          <w:cols w:equalWidth="0" w:num="1">
            <w:col w:w="11420"/>
          </w:cols>
          <w:pgMar w:left="240" w:top="274" w:right="239" w:bottom="1440" w:gutter="0" w:footer="0" w:header="0"/>
        </w:sectPr>
      </w:pPr>
    </w:p>
    <w:bookmarkStart w:id="87" w:name="page88"/>
    <w:bookmarkEnd w:id="87"/>
    <w:p>
      <w:pPr>
        <w:ind w:right="120" w:firstLine="464"/>
        <w:spacing w:after="0" w:line="302" w:lineRule="auto"/>
        <w:tabs>
          <w:tab w:leader="none" w:pos="711"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modify any of the provisions of this Section, Section 513 or Section 1009,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1009, or the deletion of this proviso, in accordance with the requirements of Sections 611 and 901(8); or</w:t>
      </w:r>
    </w:p>
    <w:p>
      <w:pPr>
        <w:spacing w:after="0" w:line="154" w:lineRule="exact"/>
        <w:rPr>
          <w:rFonts w:ascii="Arial" w:cs="Arial" w:eastAsia="Arial" w:hAnsi="Arial"/>
          <w:sz w:val="16"/>
          <w:szCs w:val="16"/>
          <w:color w:val="auto"/>
        </w:rPr>
      </w:pPr>
    </w:p>
    <w:p>
      <w:pPr>
        <w:ind w:right="200" w:firstLine="464"/>
        <w:spacing w:after="0" w:line="277" w:lineRule="auto"/>
        <w:tabs>
          <w:tab w:leader="none" w:pos="7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making of an offer to purchase Securities from any Holder which has been made pursuant to a covenant contained in this Indenture, modify the provisions of this Indenture with respect to such offer to purchase in a manner adverse to such Holder.</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b w:val="1"/>
          <w:bCs w:val="1"/>
          <w:u w:val="single" w:color="auto"/>
          <w:color w:val="auto"/>
        </w:rPr>
        <w:t>Execution of Supplemental Indentures.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9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b w:val="1"/>
          <w:bCs w:val="1"/>
          <w:u w:val="single" w:color="auto"/>
          <w:color w:val="auto"/>
        </w:rPr>
        <w:t>Effect of Supplemental Indentures.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b w:val="1"/>
          <w:bCs w:val="1"/>
          <w:u w:val="single" w:color="auto"/>
          <w:color w:val="auto"/>
        </w:rPr>
        <w:t>Conformity With Trust Indenture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 - 47</w:t>
      </w:r>
    </w:p>
    <w:p>
      <w:pPr>
        <w:sectPr>
          <w:pgSz w:w="11900" w:h="16838" w:orient="portrait"/>
          <w:cols w:equalWidth="0" w:num="1">
            <w:col w:w="11420"/>
          </w:cols>
          <w:pgMar w:left="240" w:top="274" w:right="239" w:bottom="1440" w:gutter="0" w:footer="0" w:header="0"/>
        </w:sectPr>
      </w:pPr>
    </w:p>
    <w:bookmarkStart w:id="88" w:name="page89"/>
    <w:bookmarkEnd w:id="88"/>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906.</w:t>
      </w:r>
      <w:r>
        <w:rPr>
          <w:sz w:val="20"/>
          <w:szCs w:val="20"/>
          <w:color w:val="auto"/>
        </w:rPr>
        <w:tab/>
      </w:r>
      <w:r>
        <w:rPr>
          <w:rFonts w:ascii="Arial" w:cs="Arial" w:eastAsia="Arial" w:hAnsi="Arial"/>
          <w:sz w:val="16"/>
          <w:szCs w:val="16"/>
          <w:b w:val="1"/>
          <w:bCs w:val="1"/>
          <w:u w:val="single" w:color="auto"/>
          <w:color w:val="auto"/>
        </w:rPr>
        <w:t>Reference in Securities to Supplemental Indentures.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such new Securities may be authenticated and delivered by the Trustee in exchange for Outstanding Securities of such series.</w:t>
      </w:r>
    </w:p>
    <w:p>
      <w:pPr>
        <w:spacing w:after="0" w:line="40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b w:val="1"/>
          <w:bCs w:val="1"/>
          <w:u w:val="single" w:color="auto"/>
          <w:color w:val="auto"/>
        </w:rPr>
        <w:t>Payment of Principal, Premium and Interest.</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by the Company in immediately available funds and designated for and sufficient to pay all principal, premium, if any, and interest then due.</w:t>
      </w:r>
    </w:p>
    <w:p>
      <w:pPr>
        <w:spacing w:after="0" w:line="33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b w:val="1"/>
          <w:bCs w:val="1"/>
          <w:u w:val="single" w:color="auto"/>
          <w:color w:val="auto"/>
        </w:rPr>
        <w:t>Maintenance of Office or Agency.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- 48</w:t>
      </w:r>
    </w:p>
    <w:p>
      <w:pPr>
        <w:sectPr>
          <w:pgSz w:w="11900" w:h="16838" w:orient="portrait"/>
          <w:cols w:equalWidth="0" w:num="1">
            <w:col w:w="11400"/>
          </w:cols>
          <w:pgMar w:left="240" w:top="270" w:right="259" w:bottom="1440" w:gutter="0" w:footer="0" w:header="0"/>
        </w:sectPr>
      </w:pPr>
    </w:p>
    <w:bookmarkStart w:id="89" w:name="page90"/>
    <w:bookmarkEnd w:id="89"/>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1003.</w:t>
      </w:r>
      <w:r>
        <w:rPr>
          <w:sz w:val="20"/>
          <w:szCs w:val="20"/>
          <w:color w:val="auto"/>
        </w:rPr>
        <w:tab/>
      </w:r>
      <w:r>
        <w:rPr>
          <w:rFonts w:ascii="Arial" w:cs="Arial" w:eastAsia="Arial" w:hAnsi="Arial"/>
          <w:sz w:val="16"/>
          <w:szCs w:val="16"/>
          <w:b w:val="1"/>
          <w:bCs w:val="1"/>
          <w:u w:val="single" w:color="auto"/>
          <w:color w:val="auto"/>
        </w:rPr>
        <w:t>Money for Securities Payments to be Held in Trust.</w:t>
      </w:r>
    </w:p>
    <w:p>
      <w:pPr>
        <w:spacing w:after="0" w:line="12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- 49</w:t>
      </w:r>
    </w:p>
    <w:p>
      <w:pPr>
        <w:sectPr>
          <w:pgSz w:w="11900" w:h="16838" w:orient="portrait"/>
          <w:cols w:equalWidth="0" w:num="1">
            <w:col w:w="11380"/>
          </w:cols>
          <w:pgMar w:left="240" w:top="270" w:right="279" w:bottom="1440" w:gutter="0" w:footer="0" w:header="0"/>
        </w:sectPr>
      </w:pPr>
    </w:p>
    <w:bookmarkStart w:id="90" w:name="page91"/>
    <w:bookmarkEnd w:id="90"/>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1004.</w:t>
      </w:r>
      <w:r>
        <w:rPr>
          <w:sz w:val="20"/>
          <w:szCs w:val="20"/>
          <w:color w:val="auto"/>
        </w:rPr>
        <w:tab/>
      </w:r>
      <w:r>
        <w:rPr>
          <w:rFonts w:ascii="Arial" w:cs="Arial" w:eastAsia="Arial" w:hAnsi="Arial"/>
          <w:sz w:val="16"/>
          <w:szCs w:val="16"/>
          <w:b w:val="1"/>
          <w:bCs w:val="1"/>
          <w:u w:val="single" w:color="auto"/>
          <w:color w:val="auto"/>
        </w:rPr>
        <w:t>Statement by Officers as to Default.</w:t>
      </w:r>
    </w:p>
    <w:p>
      <w:pPr>
        <w:spacing w:after="0" w:line="121" w:lineRule="exact"/>
        <w:rPr>
          <w:sz w:val="20"/>
          <w:szCs w:val="20"/>
          <w:color w:val="auto"/>
        </w:rPr>
      </w:pPr>
    </w:p>
    <w:p>
      <w:pPr>
        <w:ind w:right="80" w:firstLine="921"/>
        <w:spacing w:after="0" w:line="279" w:lineRule="auto"/>
        <w:tabs>
          <w:tab w:leader="none" w:pos="115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will deliver to the Trustee, within 90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1" w:lineRule="exact"/>
        <w:rPr>
          <w:rFonts w:ascii="Arial" w:cs="Arial" w:eastAsia="Arial" w:hAnsi="Arial"/>
          <w:sz w:val="17"/>
          <w:szCs w:val="17"/>
          <w:color w:val="auto"/>
        </w:rPr>
      </w:pPr>
    </w:p>
    <w:p>
      <w:pPr>
        <w:ind w:right="60" w:firstLine="921"/>
        <w:spacing w:after="0" w:line="259"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deliver to the Trustee, as soon as possible and in any event within five days after the Company becomes aware or should reasonably become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b w:val="1"/>
          <w:bCs w:val="1"/>
          <w:u w:val="single" w:color="auto"/>
          <w:color w:val="auto"/>
        </w:rPr>
        <w:t>Existence.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Article Eight,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w:t>
      </w:r>
    </w:p>
    <w:p>
      <w:pPr>
        <w:spacing w:after="0" w:line="33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b w:val="1"/>
          <w:bCs w:val="1"/>
          <w:u w:val="single" w:color="auto"/>
          <w:color w:val="auto"/>
        </w:rPr>
        <w:t>Maintenance of Properties.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30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b w:val="1"/>
          <w:bCs w:val="1"/>
          <w:u w:val="single" w:color="auto"/>
          <w:color w:val="auto"/>
        </w:rPr>
        <w:t>Payment of Taxes and Other Claims.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w:t>
      </w:r>
    </w:p>
    <w:p>
      <w:pPr>
        <w:ind w:right="260" w:firstLine="8"/>
        <w:spacing w:after="0" w:line="25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- 50</w:t>
      </w:r>
    </w:p>
    <w:p>
      <w:pPr>
        <w:sectPr>
          <w:pgSz w:w="11900" w:h="16838" w:orient="portrait"/>
          <w:cols w:equalWidth="0" w:num="1">
            <w:col w:w="11360"/>
          </w:cols>
          <w:pgMar w:left="240" w:top="270" w:right="299" w:bottom="1440" w:gutter="0" w:footer="0" w:header="0"/>
        </w:sectPr>
      </w:pPr>
    </w:p>
    <w:bookmarkStart w:id="91" w:name="page92"/>
    <w:bookmarkEnd w:id="91"/>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1008.</w:t>
      </w:r>
      <w:r>
        <w:rPr>
          <w:sz w:val="20"/>
          <w:szCs w:val="20"/>
          <w:color w:val="auto"/>
        </w:rPr>
        <w:tab/>
      </w:r>
      <w:r>
        <w:rPr>
          <w:rFonts w:ascii="Arial" w:cs="Arial" w:eastAsia="Arial" w:hAnsi="Arial"/>
          <w:sz w:val="16"/>
          <w:szCs w:val="16"/>
          <w:b w:val="1"/>
          <w:bCs w:val="1"/>
          <w:u w:val="single" w:color="auto"/>
          <w:color w:val="auto"/>
        </w:rPr>
        <w:t>Maintenance of Insurance.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b w:val="1"/>
          <w:bCs w:val="1"/>
          <w:u w:val="single" w:color="auto"/>
          <w:color w:val="auto"/>
        </w:rPr>
        <w:t>Waiver of Certain Covenants.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Except as otherwise specified as contemplated by Section 301 for Securities of such series, the Company may, with respect to the Securities of any series, omit in any particular instance to comply with any term, provision or condition set forth in any of Sections 1005 through 1008 or in any covenant provided pursuant to Section 301(21), 901(2) or 901(7)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b w:val="1"/>
          <w:bCs w:val="1"/>
          <w:u w:val="single" w:color="auto"/>
          <w:color w:val="auto"/>
        </w:rPr>
        <w:t>Applicability of Article.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b w:val="1"/>
          <w:bCs w:val="1"/>
          <w:u w:val="single" w:color="auto"/>
          <w:color w:val="auto"/>
        </w:rPr>
        <w:t>Election to Redeem; Notice to Trustee.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- 51</w:t>
      </w:r>
    </w:p>
    <w:p>
      <w:pPr>
        <w:sectPr>
          <w:pgSz w:w="11900" w:h="16838" w:orient="portrait"/>
          <w:cols w:equalWidth="0" w:num="1">
            <w:col w:w="11420"/>
          </w:cols>
          <w:pgMar w:left="240" w:top="270" w:right="239" w:bottom="1440" w:gutter="0" w:footer="0" w:header="0"/>
        </w:sectPr>
      </w:pPr>
    </w:p>
    <w:bookmarkStart w:id="92" w:name="page93"/>
    <w:bookmarkEnd w:id="92"/>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1103.</w:t>
      </w:r>
      <w:r>
        <w:rPr>
          <w:sz w:val="20"/>
          <w:szCs w:val="20"/>
          <w:color w:val="auto"/>
        </w:rPr>
        <w:tab/>
      </w:r>
      <w:r>
        <w:rPr>
          <w:rFonts w:ascii="Arial" w:cs="Arial" w:eastAsia="Arial" w:hAnsi="Arial"/>
          <w:sz w:val="15"/>
          <w:szCs w:val="15"/>
          <w:b w:val="1"/>
          <w:bCs w:val="1"/>
          <w:u w:val="single" w:color="auto"/>
          <w:color w:val="auto"/>
        </w:rPr>
        <w:t>Selection by Trustee of Securities to be Redeemed.</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32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b w:val="1"/>
          <w:bCs w:val="1"/>
          <w:u w:val="single" w:color="auto"/>
          <w:color w:val="auto"/>
        </w:rPr>
        <w:t>Notice of Redemption.</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Four.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- 52</w:t>
      </w:r>
    </w:p>
    <w:p>
      <w:pPr>
        <w:sectPr>
          <w:pgSz w:w="11900" w:h="16838" w:orient="portrait"/>
          <w:cols w:equalWidth="0" w:num="1">
            <w:col w:w="11420"/>
          </w:cols>
          <w:pgMar w:left="240" w:top="270" w:right="23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of redemption shall state:</w:t>
      </w:r>
    </w:p>
    <w:p>
      <w:pPr>
        <w:spacing w:after="0" w:line="225" w:lineRule="exact"/>
        <w:rPr>
          <w:sz w:val="20"/>
          <w:szCs w:val="20"/>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Redemption Price, if then determinable and otherwise the method of its determination,</w:t>
      </w:r>
    </w:p>
    <w:p>
      <w:pPr>
        <w:spacing w:after="0" w:line="225" w:lineRule="exact"/>
        <w:rPr>
          <w:rFonts w:ascii="Arial" w:cs="Arial" w:eastAsia="Arial" w:hAnsi="Arial"/>
          <w:sz w:val="18"/>
          <w:szCs w:val="18"/>
          <w:color w:val="auto"/>
        </w:rPr>
      </w:pPr>
    </w:p>
    <w:p>
      <w:pPr>
        <w:ind w:right="80" w:firstLine="464"/>
        <w:spacing w:after="0" w:line="312" w:lineRule="auto"/>
        <w:tabs>
          <w:tab w:leader="none" w:pos="7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46"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applicable, the conversion price then in effect and the date on which the right to convert such Securities will expire.</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29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b w:val="1"/>
          <w:bCs w:val="1"/>
          <w:u w:val="single" w:color="auto"/>
          <w:color w:val="auto"/>
        </w:rPr>
        <w:t>Deposit of Redemption Price.</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29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b w:val="1"/>
          <w:bCs w:val="1"/>
          <w:u w:val="single" w:color="auto"/>
          <w:color w:val="auto"/>
        </w:rPr>
        <w:t>Securities Payable on Redemption Date.</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 - 53</w:t>
      </w:r>
    </w:p>
    <w:p>
      <w:pPr>
        <w:sectPr>
          <w:pgSz w:w="11900" w:h="16838" w:orient="portrait"/>
          <w:cols w:equalWidth="0" w:num="1">
            <w:col w:w="11280"/>
          </w:cols>
          <w:pgMar w:left="240" w:top="274" w:right="379" w:bottom="1440" w:gutter="0" w:footer="0" w:header="0"/>
        </w:sectPr>
      </w:pPr>
    </w:p>
    <w:bookmarkStart w:id="94" w:name="page95"/>
    <w:bookmarkEnd w:id="9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b w:val="1"/>
          <w:bCs w:val="1"/>
          <w:u w:val="single" w:color="auto"/>
          <w:color w:val="auto"/>
        </w:rPr>
        <w:t>Securities Redeemed in Part.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DEFEASANCE AND COVENANT DEFEASANCE</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6"/>
          <w:szCs w:val="16"/>
          <w:b w:val="1"/>
          <w:bCs w:val="1"/>
          <w:u w:val="single" w:color="auto"/>
          <w:color w:val="auto"/>
        </w:rPr>
        <w:t>Company’s Option to Effect Defeasance or Covenant Defeasance.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may elect, at its option at any time, to have Section 1502 or Section 1503 applied to any Securities or any series of Securities, as the case may be, designated pursuant to Section 301 as being defeasible pursuant to such Section 1502 or 1503, in accordance with any applicable requirements provided pursuant to Section 301 and upon compliance with the conditions set forth below in this Article. Any such election shall be evidenced in or pursuant to a Board Resolution or in another manner specified as contemplated by Section 301 for such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- 54</w:t>
      </w:r>
    </w:p>
    <w:p>
      <w:pPr>
        <w:sectPr>
          <w:pgSz w:w="11900" w:h="16838" w:orient="portrait"/>
          <w:cols w:equalWidth="0" w:num="1">
            <w:col w:w="11380"/>
          </w:cols>
          <w:pgMar w:left="240" w:top="274" w:right="279" w:bottom="1440" w:gutter="0" w:footer="0" w:header="0"/>
        </w:sectPr>
      </w:pPr>
    </w:p>
    <w:bookmarkStart w:id="95" w:name="page96"/>
    <w:bookmarkEnd w:id="95"/>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1502.</w:t>
      </w:r>
      <w:r>
        <w:rPr>
          <w:sz w:val="20"/>
          <w:szCs w:val="20"/>
          <w:color w:val="auto"/>
        </w:rPr>
        <w:tab/>
      </w:r>
      <w:r>
        <w:rPr>
          <w:rFonts w:ascii="Arial" w:cs="Arial" w:eastAsia="Arial" w:hAnsi="Arial"/>
          <w:sz w:val="15"/>
          <w:szCs w:val="15"/>
          <w:b w:val="1"/>
          <w:bCs w:val="1"/>
          <w:u w:val="single" w:color="auto"/>
          <w:color w:val="auto"/>
        </w:rPr>
        <w:t>Defeasance and Discharge.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the Company shall be deemed to have been discharged from its obligations, as provided in this Section on and after the date the conditions set forth in Section 1504 are satisfied (herein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1504 and as more fully set forth in such Section, payments in respect of the principal of and any premium and interest on such Securities when payments are due, or, if applicable, to convert such Securities in accordance with their terms, (2) the Company’s obligations with respect to such Securities under Sections 304, 305, 306, 1002 and 1003,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1503 applied to such Securities.</w:t>
      </w:r>
    </w:p>
    <w:p>
      <w:pPr>
        <w:spacing w:after="0" w:line="3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1503.</w:t>
      </w:r>
      <w:r>
        <w:rPr>
          <w:sz w:val="20"/>
          <w:szCs w:val="20"/>
          <w:color w:val="auto"/>
        </w:rPr>
        <w:tab/>
      </w:r>
      <w:r>
        <w:rPr>
          <w:rFonts w:ascii="Arial" w:cs="Arial" w:eastAsia="Arial" w:hAnsi="Arial"/>
          <w:sz w:val="15"/>
          <w:szCs w:val="15"/>
          <w:b w:val="1"/>
          <w:bCs w:val="1"/>
          <w:u w:val="single" w:color="auto"/>
          <w:color w:val="auto"/>
        </w:rPr>
        <w:t>Covenant Defeasance.</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(1) the Company shall be released from its obligations under Section 801(3), Sections 1005 through 1008, inclusive, and any covenants provided pursuant to Section 301(21), 901(2) or 901(7) for the benefit of the Holders of such Securities, and (2) the occurrence of any event specified in Sections 501(5) (with respect to any of Section 801(3), Sections 1006 through 1008, inclusive, and any such covenants provided pursuant to Section 301(21), 901(2) or 901(7)), 501(8) and 501(9) shall be deemed not to be or result in an Event of Default in each case with respect to such Securities as provided in this Section on and after the date the conditions set forth in Section 1504 are satisfied (herein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501(5)) or Article Thirteen,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- 55</w:t>
      </w:r>
    </w:p>
    <w:p>
      <w:pPr>
        <w:sectPr>
          <w:pgSz w:w="11900" w:h="16838" w:orient="portrait"/>
          <w:cols w:equalWidth="0" w:num="1">
            <w:col w:w="11400"/>
          </w:cols>
          <w:pgMar w:left="240" w:top="270" w:right="259" w:bottom="1440" w:gutter="0" w:footer="0" w:header="0"/>
        </w:sectPr>
      </w:pPr>
    </w:p>
    <w:bookmarkStart w:id="96" w:name="page97"/>
    <w:bookmarkEnd w:id="96"/>
    <w:p>
      <w:pPr>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1504.</w:t>
      </w:r>
      <w:r>
        <w:rPr>
          <w:sz w:val="20"/>
          <w:szCs w:val="20"/>
          <w:color w:val="auto"/>
        </w:rPr>
        <w:tab/>
      </w:r>
      <w:r>
        <w:rPr>
          <w:rFonts w:ascii="Arial" w:cs="Arial" w:eastAsia="Arial" w:hAnsi="Arial"/>
          <w:sz w:val="15"/>
          <w:szCs w:val="15"/>
          <w:b w:val="1"/>
          <w:bCs w:val="1"/>
          <w:u w:val="single" w:color="auto"/>
          <w:color w:val="auto"/>
        </w:rPr>
        <w:t>Conditions to Defeasance or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shall be the conditions to the application of Section 1502 or Section 1503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ind w:right="220" w:firstLine="464"/>
        <w:spacing w:after="0" w:line="288" w:lineRule="auto"/>
        <w:tabs>
          <w:tab w:leader="none" w:pos="711"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ind w:right="20" w:firstLine="8"/>
        <w:spacing w:after="0" w:line="267" w:lineRule="auto"/>
        <w:tabs>
          <w:tab w:leader="none" w:pos="2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rFonts w:ascii="Arial" w:cs="Arial" w:eastAsia="Arial" w:hAnsi="Arial"/>
          <w:sz w:val="17"/>
          <w:szCs w:val="17"/>
          <w:color w:val="auto"/>
        </w:rPr>
      </w:pPr>
    </w:p>
    <w:p>
      <w:pPr>
        <w:ind w:firstLine="464"/>
        <w:spacing w:after="0" w:line="293" w:lineRule="auto"/>
        <w:tabs>
          <w:tab w:leader="none" w:pos="711"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the event of an election to have Section 1502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4" w:lineRule="exact"/>
        <w:rPr>
          <w:rFonts w:ascii="Arial" w:cs="Arial" w:eastAsia="Arial" w:hAnsi="Arial"/>
          <w:sz w:val="16"/>
          <w:szCs w:val="16"/>
          <w:color w:val="auto"/>
        </w:rPr>
      </w:pPr>
    </w:p>
    <w:p>
      <w:pPr>
        <w:ind w:right="20" w:firstLine="464"/>
        <w:spacing w:after="0" w:line="279" w:lineRule="auto"/>
        <w:tabs>
          <w:tab w:leader="none" w:pos="711"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the event of an election to have Section 1503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- 56</w:t>
      </w:r>
    </w:p>
    <w:p>
      <w:pPr>
        <w:sectPr>
          <w:pgSz w:w="11900" w:h="16838" w:orient="portrait"/>
          <w:cols w:equalWidth="0" w:num="1">
            <w:col w:w="11420"/>
          </w:cols>
          <w:pgMar w:left="240" w:top="270" w:right="239" w:bottom="1440" w:gutter="0" w:footer="0" w:header="0"/>
        </w:sectPr>
      </w:pPr>
    </w:p>
    <w:bookmarkStart w:id="97" w:name="page98"/>
    <w:bookmarkEnd w:id="97"/>
    <w:p>
      <w:pPr>
        <w:ind w:right="30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ind w:right="20" w:firstLine="464"/>
        <w:spacing w:after="0" w:line="312" w:lineRule="auto"/>
        <w:tabs>
          <w:tab w:leader="none" w:pos="7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 501(6), at any time on or prior to the 121st day after the date of such deposit (it being understood that this condition shall not be deemed satisfied until after such 121st day).</w:t>
      </w:r>
    </w:p>
    <w:p>
      <w:pPr>
        <w:spacing w:after="0" w:line="146" w:lineRule="exact"/>
        <w:rPr>
          <w:rFonts w:ascii="Arial" w:cs="Arial" w:eastAsia="Arial" w:hAnsi="Arial"/>
          <w:sz w:val="16"/>
          <w:szCs w:val="16"/>
          <w:color w:val="auto"/>
        </w:rPr>
      </w:pPr>
    </w:p>
    <w:p>
      <w:pPr>
        <w:ind w:right="24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right="76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other agreement or instrument to which the Company or any Subsidiary is a party or by which it is bound.</w:t>
      </w:r>
    </w:p>
    <w:p>
      <w:pPr>
        <w:spacing w:after="0" w:line="170"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such deposit shall not cause either the Trustee or the trust so created to be subject to the Investment Company Act of 1940.</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1505.</w:t>
      </w:r>
      <w:r>
        <w:rPr>
          <w:sz w:val="20"/>
          <w:szCs w:val="20"/>
          <w:color w:val="auto"/>
        </w:rPr>
        <w:tab/>
      </w:r>
      <w:r>
        <w:rPr>
          <w:rFonts w:ascii="Arial" w:cs="Arial" w:eastAsia="Arial" w:hAnsi="Arial"/>
          <w:sz w:val="16"/>
          <w:szCs w:val="16"/>
          <w:b w:val="1"/>
          <w:bCs w:val="1"/>
          <w:u w:val="single" w:color="auto"/>
          <w:color w:val="auto"/>
        </w:rPr>
        <w:t>Deposited Money and U.S. Government Obligations to be Held in Trust; Miscellaneous Provisions.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Subject to the provisions of the last paragraph of Section 1003, all money and U.S. Government Obligations (including the proceeds thereof) deposited with the Trustee or other qualifying trustee (solely for purposes of this Section and Section 1506, the Trustee and any such other trustee are referred to collectively as the “Trustee”) pursuant to Section 1504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U.S. Government Obligations held by it as provided in Section 1504 with respect to any Securities which, in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- 57</w:t>
      </w:r>
    </w:p>
    <w:p>
      <w:pPr>
        <w:sectPr>
          <w:pgSz w:w="11900" w:h="16838" w:orient="portrait"/>
          <w:cols w:equalWidth="0" w:num="1">
            <w:col w:w="11380"/>
          </w:cols>
          <w:pgMar w:left="240" w:top="274" w:right="279" w:bottom="1440" w:gutter="0" w:footer="0" w:header="0"/>
        </w:sectPr>
      </w:pPr>
    </w:p>
    <w:bookmarkStart w:id="98" w:name="page99"/>
    <w:bookmarkEnd w:id="9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32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1506.</w:t>
      </w:r>
      <w:r>
        <w:rPr>
          <w:sz w:val="20"/>
          <w:szCs w:val="20"/>
          <w:color w:val="auto"/>
        </w:rPr>
        <w:tab/>
      </w:r>
      <w:r>
        <w:rPr>
          <w:rFonts w:ascii="Arial" w:cs="Arial" w:eastAsia="Arial" w:hAnsi="Arial"/>
          <w:sz w:val="16"/>
          <w:szCs w:val="16"/>
          <w:b w:val="1"/>
          <w:bCs w:val="1"/>
          <w:u w:val="single" w:color="auto"/>
          <w:color w:val="auto"/>
        </w:rPr>
        <w:t>Reinstatement.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1502 or 1503 shall be revived and reinstated as though no deposit had occurred pursuant to this Article with respect to such Securities, until such time as the Trustee or Paying Agent is permitted to apply all money held in trust pursuant to Section 1505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SIXTEEN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FUNDS</w:t>
      </w:r>
    </w:p>
    <w:p>
      <w:pPr>
        <w:spacing w:after="0" w:line="2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6"/>
          <w:szCs w:val="16"/>
          <w:b w:val="1"/>
          <w:bCs w:val="1"/>
          <w:u w:val="single" w:color="auto"/>
          <w:color w:val="auto"/>
        </w:rPr>
        <w:t>Applicability of Article.</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301 for such Securities.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1602. Each sinking fund payment shall be applied to the redemption of Securities as provided for by the terms of such Securities.</w:t>
      </w:r>
    </w:p>
    <w:p>
      <w:pPr>
        <w:spacing w:after="0" w:line="31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6"/>
          <w:szCs w:val="16"/>
          <w:b w:val="1"/>
          <w:bCs w:val="1"/>
          <w:u w:val="single" w:color="auto"/>
          <w:color w:val="auto"/>
        </w:rPr>
        <w:t>Satisfaction of Sinking Fund Payments with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- 58</w:t>
      </w:r>
    </w:p>
    <w:p>
      <w:pPr>
        <w:sectPr>
          <w:pgSz w:w="11900" w:h="16838" w:orient="portrait"/>
          <w:cols w:equalWidth="0" w:num="1">
            <w:col w:w="11380"/>
          </w:cols>
          <w:pgMar w:left="240" w:top="274" w:right="279" w:bottom="1440" w:gutter="0" w:footer="0" w:header="0"/>
        </w:sectPr>
      </w:pPr>
    </w:p>
    <w:bookmarkStart w:id="99" w:name="page100"/>
    <w:bookmarkEnd w:id="9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Price, as specified in the Securities so to be redeemed, for redemption through operation of the sinking fund and the amount of such sinking fund payment shall be reduced accordingly.</w:t>
      </w:r>
    </w:p>
    <w:p>
      <w:pPr>
        <w:spacing w:after="0" w:line="3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6"/>
          <w:szCs w:val="16"/>
          <w:b w:val="1"/>
          <w:bCs w:val="1"/>
          <w:u w:val="single" w:color="auto"/>
          <w:color w:val="auto"/>
        </w:rPr>
        <w:t>Redemption of Securities for Sinking Fund.</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1602 and will also deliver to the Trustee any Securities to be so delivered. Not less than 32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 - 59</w:t>
      </w:r>
    </w:p>
    <w:p>
      <w:pPr>
        <w:sectPr>
          <w:pgSz w:w="11900" w:h="16838" w:orient="portrait"/>
          <w:cols w:equalWidth="0" w:num="1">
            <w:col w:w="11380"/>
          </w:cols>
          <w:pgMar w:left="240" w:top="274" w:right="279" w:bottom="1440" w:gutter="0" w:footer="0" w:header="0"/>
        </w:sectPr>
      </w:pPr>
    </w:p>
    <w:bookmarkStart w:id="100" w:name="page101"/>
    <w:bookmarkEnd w:id="10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caused this Indenture to be duly executed, all as of the day and year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288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8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 - 60</w:t>
      </w:r>
    </w:p>
    <w:p>
      <w:pPr>
        <w:sectPr>
          <w:pgSz w:w="11900" w:h="16838" w:orient="portrait"/>
          <w:cols w:equalWidth="0" w:num="1">
            <w:col w:w="11340"/>
          </w:cols>
          <w:pgMar w:left="240" w:top="274"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Subordinated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4860"/>
              <w:spacing w:after="0"/>
              <w:rPr>
                <w:sz w:val="20"/>
                <w:szCs w:val="20"/>
                <w:color w:val="auto"/>
              </w:rPr>
            </w:pPr>
            <w:r>
              <w:rPr>
                <w:rFonts w:ascii="Arial" w:cs="Arial" w:eastAsia="Arial" w:hAnsi="Arial"/>
                <w:sz w:val="18"/>
                <w:szCs w:val="18"/>
                <w:b w:val="1"/>
                <w:bCs w:val="1"/>
                <w:color w:val="auto"/>
              </w:rPr>
              <w:t>Dated as of</w:t>
            </w:r>
          </w:p>
        </w:tc>
        <w:tc>
          <w:tcPr>
            <w:tcW w:w="5420" w:type="dxa"/>
            <w:vAlign w:val="bottom"/>
          </w:tcPr>
          <w:p>
            <w:pPr>
              <w:jc w:val="right"/>
              <w:ind w:right="4750"/>
              <w:spacing w:after="0"/>
              <w:rPr>
                <w:sz w:val="20"/>
                <w:szCs w:val="20"/>
                <w:color w:val="auto"/>
              </w:rPr>
            </w:pPr>
            <w:r>
              <w:rPr>
                <w:rFonts w:ascii="Arial" w:cs="Arial" w:eastAsia="Arial" w:hAnsi="Arial"/>
                <w:sz w:val="18"/>
                <w:szCs w:val="18"/>
                <w:b w:val="1"/>
                <w:bCs w:val="1"/>
                <w:color w:val="auto"/>
              </w:rPr>
              <w:t>, 20</w:t>
            </w:r>
          </w:p>
        </w:tc>
      </w:tr>
      <w:tr>
        <w:trPr>
          <w:trHeight w:val="270"/>
        </w:trPr>
        <w:tc>
          <w:tcPr>
            <w:tcW w:w="6000" w:type="dxa"/>
            <w:vAlign w:val="bottom"/>
            <w:tcBorders>
              <w:bottom w:val="single" w:sz="8" w:color="auto"/>
            </w:tcBorders>
          </w:tcPr>
          <w:p>
            <w:pPr>
              <w:spacing w:after="0"/>
              <w:rPr>
                <w:sz w:val="23"/>
                <w:szCs w:val="23"/>
                <w:color w:val="auto"/>
              </w:rPr>
            </w:pPr>
          </w:p>
        </w:tc>
        <w:tc>
          <w:tcPr>
            <w:tcW w:w="542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380" w:type="dxa"/>
            <w:vAlign w:val="bottom"/>
          </w:tcPr>
          <w:p>
            <w:pPr>
              <w:spacing w:after="0"/>
              <w:rPr>
                <w:sz w:val="17"/>
                <w:szCs w:val="17"/>
                <w:color w:val="auto"/>
              </w:rPr>
            </w:pPr>
          </w:p>
        </w:tc>
      </w:tr>
      <w:tr>
        <w:trPr>
          <w:trHeight w:val="412"/>
        </w:trPr>
        <w:tc>
          <w:tcPr>
            <w:tcW w:w="48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304"/>
        </w:trPr>
        <w:tc>
          <w:tcPr>
            <w:tcW w:w="10940" w:type="dxa"/>
            <w:vAlign w:val="bottom"/>
            <w:gridSpan w:val="3"/>
          </w:tcPr>
          <w:p>
            <w:pPr>
              <w:ind w:left="2220"/>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380" w:type="dxa"/>
            <w:vAlign w:val="bottom"/>
          </w:tcPr>
          <w:p>
            <w:pPr>
              <w:spacing w:after="0"/>
              <w:rPr>
                <w:sz w:val="24"/>
                <w:szCs w:val="24"/>
                <w:color w:val="auto"/>
              </w:rPr>
            </w:pPr>
          </w:p>
        </w:tc>
      </w:tr>
      <w:tr>
        <w:trPr>
          <w:trHeight w:val="310"/>
        </w:trPr>
        <w:tc>
          <w:tcPr>
            <w:tcW w:w="10940" w:type="dxa"/>
            <w:vAlign w:val="bottom"/>
            <w:gridSpan w:val="3"/>
          </w:tcPr>
          <w:p>
            <w:pPr>
              <w:spacing w:after="0"/>
              <w:rPr>
                <w:sz w:val="20"/>
                <w:szCs w:val="20"/>
                <w:color w:val="auto"/>
              </w:rPr>
            </w:pPr>
            <w:r>
              <w:rPr>
                <w:rFonts w:ascii="Arial" w:cs="Arial" w:eastAsia="Arial" w:hAnsi="Arial"/>
                <w:sz w:val="18"/>
                <w:szCs w:val="18"/>
                <w:color w:val="auto"/>
              </w:rPr>
              <w:t>SECTION 101. DEFINITIONS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“Act”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“Affiliate”</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“Authenticating Agent”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“Board of Directors”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“Board Resolution”</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“Business Day”</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“Capital Stock”</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“Commission”</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“Common Stock”</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“Company Request” or “Company Order”</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“Conversion Agent”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“Corporate Trust Office”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“corporation”</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“Covenant Defeasance”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“Defaulted 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“Defeasance”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“Depositary”</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“Event of Default”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“Exchange Act”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“Expiration Date”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“Global Security”</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“Holder”</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“Indenture”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“Interest Payment Date”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“Investment Company Act”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“Maturity”</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“Notice of Default”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“Officers’ Certificate”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“Opinion of Counsel”</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“Original Issue Discount Security”</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“Outstanding”</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“Paying Agent”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“Person”</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“Place of Payment”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“Predecessor Security”</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“Redemption Date”</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940" w:type="dxa"/>
            <w:vAlign w:val="bottom"/>
            <w:gridSpan w:val="3"/>
          </w:tcPr>
          <w:p>
            <w:pPr>
              <w:ind w:left="360"/>
              <w:spacing w:after="0"/>
              <w:rPr>
                <w:sz w:val="20"/>
                <w:szCs w:val="20"/>
                <w:color w:val="auto"/>
              </w:rPr>
            </w:pPr>
            <w:r>
              <w:rPr>
                <w:rFonts w:ascii="Arial" w:cs="Arial" w:eastAsia="Arial" w:hAnsi="Arial"/>
                <w:sz w:val="18"/>
                <w:szCs w:val="18"/>
                <w:color w:val="auto"/>
              </w:rPr>
              <w:t>“Redemption Price”</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47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“Regular Record Date”</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“Securities Act”</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“Security Register” and “Security Registrar”</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“Senior Debt”</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“Significant Subsidiary”</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“Special Record Date”</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“Stated Maturity”</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“Subsidiary”</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“Trust Indenture Act”</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“U.S. Government Obligation”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“Vice President”</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“Voting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“Wholly Owned Subsidiary”</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102. COMPLIANCE CERTIFICATES AND OPINIONS</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103. FORM OF DOCUMENTS DELIVERED TO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104. ACTS OF HOLDERS; RECORD DATES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105. NOTICES, ETC., TO TRUSTEE AND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106. NOTICE TO HOLDERS; WAIVER</w:t>
            </w:r>
          </w:p>
        </w:tc>
        <w:tc>
          <w:tcPr>
            <w:tcW w:w="2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107. CONFLICT WITH TRUST INDENTURE ACT</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108. EFFECT OF HEADINGS AND TABLE OF CONTENTS</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109. SUCCESSORS AND ASSIGNS</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110. SEPARABILITY CLAUSE</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111. BENEFITS OF INDENTURE</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112. GOVERNING LAW</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113. LEGAL HOLIDAYS</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114. NO RECOURSE AGAINST OTHERS</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20" w:type="dxa"/>
            <w:vAlign w:val="bottom"/>
          </w:tcPr>
          <w:p>
            <w:pPr>
              <w:ind w:left="4280"/>
              <w:spacing w:after="0"/>
              <w:rPr>
                <w:sz w:val="20"/>
                <w:szCs w:val="20"/>
                <w:color w:val="auto"/>
              </w:rPr>
            </w:pPr>
            <w:r>
              <w:rPr>
                <w:rFonts w:ascii="Arial" w:cs="Arial" w:eastAsia="Arial" w:hAnsi="Arial"/>
                <w:sz w:val="18"/>
                <w:szCs w:val="18"/>
                <w:color w:val="auto"/>
              </w:rPr>
              <w:t>ARTICLE TWO SECURITY FORMS</w:t>
            </w:r>
          </w:p>
        </w:tc>
        <w:tc>
          <w:tcPr>
            <w:tcW w:w="2200" w:type="dxa"/>
            <w:vAlign w:val="bottom"/>
          </w:tcPr>
          <w:p>
            <w:pPr>
              <w:spacing w:after="0"/>
              <w:rPr>
                <w:sz w:val="24"/>
                <w:szCs w:val="24"/>
                <w:color w:val="auto"/>
              </w:rPr>
            </w:pPr>
          </w:p>
        </w:tc>
      </w:tr>
      <w:tr>
        <w:trPr>
          <w:trHeight w:val="310"/>
        </w:trPr>
        <w:tc>
          <w:tcPr>
            <w:tcW w:w="9120" w:type="dxa"/>
            <w:vAlign w:val="bottom"/>
          </w:tcPr>
          <w:p>
            <w:pPr>
              <w:spacing w:after="0"/>
              <w:rPr>
                <w:sz w:val="20"/>
                <w:szCs w:val="20"/>
                <w:color w:val="auto"/>
              </w:rPr>
            </w:pPr>
            <w:r>
              <w:rPr>
                <w:rFonts w:ascii="Arial" w:cs="Arial" w:eastAsia="Arial" w:hAnsi="Arial"/>
                <w:sz w:val="18"/>
                <w:szCs w:val="18"/>
                <w:color w:val="auto"/>
              </w:rPr>
              <w:t>SECTION 201. FORMS GENERALLY</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202. FORM OF FACE OF SECURITY</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203. FORM OF REVERSE OF SECURITY</w:t>
            </w:r>
          </w:p>
        </w:tc>
        <w:tc>
          <w:tcPr>
            <w:tcW w:w="2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204. [INTENTIONALLY OMITTED]</w:t>
            </w: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205. FORM OF LEGEND FOR GLOBAL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206. FORM OF TRUSTEE’S CERTIFICATE OF AUTHENTICATION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207. FORM OF CONVERSION NOTICE</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120" w:type="dxa"/>
            <w:vAlign w:val="bottom"/>
          </w:tcPr>
          <w:p>
            <w:pPr>
              <w:ind w:left="4240"/>
              <w:spacing w:after="0"/>
              <w:rPr>
                <w:sz w:val="20"/>
                <w:szCs w:val="20"/>
                <w:color w:val="auto"/>
              </w:rPr>
            </w:pPr>
            <w:r>
              <w:rPr>
                <w:rFonts w:ascii="Arial" w:cs="Arial" w:eastAsia="Arial" w:hAnsi="Arial"/>
                <w:sz w:val="18"/>
                <w:szCs w:val="18"/>
                <w:color w:val="auto"/>
              </w:rPr>
              <w:t>ARTICLE THREE THE SECURITIES</w:t>
            </w:r>
          </w:p>
        </w:tc>
        <w:tc>
          <w:tcPr>
            <w:tcW w:w="2200" w:type="dxa"/>
            <w:vAlign w:val="bottom"/>
          </w:tcPr>
          <w:p>
            <w:pPr>
              <w:spacing w:after="0"/>
              <w:rPr>
                <w:sz w:val="24"/>
                <w:szCs w:val="24"/>
                <w:color w:val="auto"/>
              </w:rPr>
            </w:pPr>
          </w:p>
        </w:tc>
      </w:tr>
      <w:tr>
        <w:trPr>
          <w:trHeight w:val="310"/>
        </w:trPr>
        <w:tc>
          <w:tcPr>
            <w:tcW w:w="9120" w:type="dxa"/>
            <w:vAlign w:val="bottom"/>
          </w:tcPr>
          <w:p>
            <w:pPr>
              <w:spacing w:after="0"/>
              <w:rPr>
                <w:sz w:val="20"/>
                <w:szCs w:val="20"/>
                <w:color w:val="auto"/>
              </w:rPr>
            </w:pPr>
            <w:r>
              <w:rPr>
                <w:rFonts w:ascii="Arial" w:cs="Arial" w:eastAsia="Arial" w:hAnsi="Arial"/>
                <w:sz w:val="18"/>
                <w:szCs w:val="18"/>
                <w:color w:val="auto"/>
              </w:rPr>
              <w:t>SECTION 301. AMOUNT UNLIMITED; ISSUABLE IN SERIES</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302. DENOMINATIONS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303. EXECUTION, AUTHENTICATION, DELIVERY AND DATING</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304. TEMPORARY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SECTION 305. REGISTRATION, REGISTRATION OF TRANSFER AND EXCHANGE</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SECTION 306. MUTILATED, DESTROYED, LOST AND STOLEN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49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307. PAYMENT OF INTEREST; INTEREST RIGHTS PRESERVED</w:t>
            </w: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308. PERSONS DEEMED OWNERS</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309. CANCELLATION</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SECTION 310. COMPUTATION OF INTEREST</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920" w:type="dxa"/>
            <w:vAlign w:val="bottom"/>
          </w:tcPr>
          <w:p>
            <w:pPr>
              <w:jc w:val="center"/>
              <w:ind w:left="1310"/>
              <w:spacing w:after="0"/>
              <w:rPr>
                <w:sz w:val="20"/>
                <w:szCs w:val="20"/>
                <w:color w:val="auto"/>
              </w:rPr>
            </w:pPr>
            <w:r>
              <w:rPr>
                <w:rFonts w:ascii="Arial" w:cs="Arial" w:eastAsia="Arial" w:hAnsi="Arial"/>
                <w:sz w:val="18"/>
                <w:szCs w:val="18"/>
                <w:color w:val="auto"/>
                <w:w w:val="96"/>
              </w:rPr>
              <w:t>ARTICLE FOUR SATISFACTION AND DISCHARGE</w:t>
            </w:r>
          </w:p>
        </w:tc>
        <w:tc>
          <w:tcPr>
            <w:tcW w:w="1400" w:type="dxa"/>
            <w:vAlign w:val="bottom"/>
          </w:tcPr>
          <w:p>
            <w:pPr>
              <w:spacing w:after="0"/>
              <w:rPr>
                <w:sz w:val="24"/>
                <w:szCs w:val="24"/>
                <w:color w:val="auto"/>
              </w:rPr>
            </w:pPr>
          </w:p>
        </w:tc>
      </w:tr>
      <w:tr>
        <w:trPr>
          <w:trHeight w:val="310"/>
        </w:trPr>
        <w:tc>
          <w:tcPr>
            <w:tcW w:w="9920" w:type="dxa"/>
            <w:vAlign w:val="bottom"/>
          </w:tcPr>
          <w:p>
            <w:pPr>
              <w:spacing w:after="0"/>
              <w:rPr>
                <w:sz w:val="20"/>
                <w:szCs w:val="20"/>
                <w:color w:val="auto"/>
              </w:rPr>
            </w:pPr>
            <w:r>
              <w:rPr>
                <w:rFonts w:ascii="Arial" w:cs="Arial" w:eastAsia="Arial" w:hAnsi="Arial"/>
                <w:sz w:val="18"/>
                <w:szCs w:val="18"/>
                <w:color w:val="auto"/>
              </w:rPr>
              <w:t>SECTION 401. SATISFACTION AND DISCHARGE OF INDENTURE</w:t>
            </w: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SECTION 402. APPLICATION OF TRUST MONEY</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920" w:type="dxa"/>
            <w:vAlign w:val="bottom"/>
          </w:tcPr>
          <w:p>
            <w:pPr>
              <w:jc w:val="center"/>
              <w:ind w:left="1330"/>
              <w:spacing w:after="0"/>
              <w:rPr>
                <w:sz w:val="20"/>
                <w:szCs w:val="20"/>
                <w:color w:val="auto"/>
              </w:rPr>
            </w:pPr>
            <w:r>
              <w:rPr>
                <w:rFonts w:ascii="Arial" w:cs="Arial" w:eastAsia="Arial" w:hAnsi="Arial"/>
                <w:sz w:val="18"/>
                <w:szCs w:val="18"/>
                <w:color w:val="auto"/>
                <w:w w:val="97"/>
              </w:rPr>
              <w:t>ARTICLE FIVE REMEDIES</w:t>
            </w:r>
          </w:p>
        </w:tc>
        <w:tc>
          <w:tcPr>
            <w:tcW w:w="1400" w:type="dxa"/>
            <w:vAlign w:val="bottom"/>
          </w:tcPr>
          <w:p>
            <w:pPr>
              <w:spacing w:after="0"/>
              <w:rPr>
                <w:sz w:val="24"/>
                <w:szCs w:val="24"/>
                <w:color w:val="auto"/>
              </w:rPr>
            </w:pPr>
          </w:p>
        </w:tc>
      </w:tr>
      <w:tr>
        <w:trPr>
          <w:trHeight w:val="310"/>
        </w:trPr>
        <w:tc>
          <w:tcPr>
            <w:tcW w:w="9920" w:type="dxa"/>
            <w:vAlign w:val="bottom"/>
          </w:tcPr>
          <w:p>
            <w:pPr>
              <w:spacing w:after="0"/>
              <w:rPr>
                <w:sz w:val="20"/>
                <w:szCs w:val="20"/>
                <w:color w:val="auto"/>
              </w:rPr>
            </w:pPr>
            <w:r>
              <w:rPr>
                <w:rFonts w:ascii="Arial" w:cs="Arial" w:eastAsia="Arial" w:hAnsi="Arial"/>
                <w:sz w:val="18"/>
                <w:szCs w:val="18"/>
                <w:color w:val="auto"/>
              </w:rPr>
              <w:t>SECTION 501. EVENTS OF DEFAULT</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502. ACCELERATION OF MATURITY; RESCISSION AND ANNULMENT</w:t>
            </w: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504. TRUSTEE MAY FILE PROOFS OF CLAIM</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505. TRUSTEE MAY ENFORCE CLAIMS WITHOUT POSSESSION OF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506. APPLICATION OF MONEY COLLECTED</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507. LIMITATION ON SUITS</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509. RESTORATION OF RIGHTS AND REMEDIES</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510. RIGHTS AND REMEDIES CUMULATIVE</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511. DELAY OR OMISSION NOT WAIVER</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512. CONTROL BY 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513. WAIVER OF PAST DEFAULTS</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514. UNDERTAKING FOR COSTS</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SECTION 515. WAIVER OF USURY, STAY OR EXTENSION LAWS</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920" w:type="dxa"/>
            <w:vAlign w:val="bottom"/>
          </w:tcPr>
          <w:p>
            <w:pPr>
              <w:jc w:val="center"/>
              <w:ind w:left="1310"/>
              <w:spacing w:after="0"/>
              <w:rPr>
                <w:sz w:val="20"/>
                <w:szCs w:val="20"/>
                <w:color w:val="auto"/>
              </w:rPr>
            </w:pPr>
            <w:r>
              <w:rPr>
                <w:rFonts w:ascii="Arial" w:cs="Arial" w:eastAsia="Arial" w:hAnsi="Arial"/>
                <w:sz w:val="18"/>
                <w:szCs w:val="18"/>
                <w:color w:val="auto"/>
                <w:w w:val="96"/>
              </w:rPr>
              <w:t>ARTICLE SIX THE TRUSTEE</w:t>
            </w:r>
          </w:p>
        </w:tc>
        <w:tc>
          <w:tcPr>
            <w:tcW w:w="1400" w:type="dxa"/>
            <w:vAlign w:val="bottom"/>
          </w:tcPr>
          <w:p>
            <w:pPr>
              <w:spacing w:after="0"/>
              <w:rPr>
                <w:sz w:val="24"/>
                <w:szCs w:val="24"/>
                <w:color w:val="auto"/>
              </w:rPr>
            </w:pPr>
          </w:p>
        </w:tc>
      </w:tr>
      <w:tr>
        <w:trPr>
          <w:trHeight w:val="310"/>
        </w:trPr>
        <w:tc>
          <w:tcPr>
            <w:tcW w:w="9920" w:type="dxa"/>
            <w:vAlign w:val="bottom"/>
          </w:tcPr>
          <w:p>
            <w:pPr>
              <w:spacing w:after="0"/>
              <w:rPr>
                <w:sz w:val="20"/>
                <w:szCs w:val="20"/>
                <w:color w:val="auto"/>
              </w:rPr>
            </w:pPr>
            <w:r>
              <w:rPr>
                <w:rFonts w:ascii="Arial" w:cs="Arial" w:eastAsia="Arial" w:hAnsi="Arial"/>
                <w:sz w:val="18"/>
                <w:szCs w:val="18"/>
                <w:color w:val="auto"/>
              </w:rPr>
              <w:t>SECTION 601. CERTAIN DUTIES AND RESPONSIBILITIES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602. NOTICE OF DEFAULTS</w:t>
            </w: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603. CERTAIN RIGHTS OF TRUSTEE</w:t>
            </w: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604. NOT RESPONSIBLE FOR RECITALS OR ISSUANCE OF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605. MAY HOLD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606. MONEY HELD IN TRUST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607. COMPENSATION AND REIMBURSEMENT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608. CONFLICTING INTERESTS</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609. CORPORATE TRUSTEE REQUIRED; ELIGIBILITY</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610. RESIGNATION AND REMOVAL; APPOINTMENT OF SUCCESSOR</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611. ACCEPTANCE OF APPOINTMENT BY SUCCESSOR</w:t>
            </w: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SECTION 613. PREFERENTIAL COLLECTION OF CLAIMS AGAINST COMPANY</w:t>
            </w: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49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614. APPOINTMENT OF AUTHENTICATING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120" w:type="dxa"/>
            <w:vAlign w:val="bottom"/>
          </w:tcPr>
          <w:p>
            <w:pPr>
              <w:ind w:left="2380"/>
              <w:spacing w:after="0"/>
              <w:rPr>
                <w:sz w:val="20"/>
                <w:szCs w:val="20"/>
                <w:color w:val="auto"/>
              </w:rPr>
            </w:pPr>
            <w:r>
              <w:rPr>
                <w:rFonts w:ascii="Arial" w:cs="Arial" w:eastAsia="Arial" w:hAnsi="Arial"/>
                <w:sz w:val="18"/>
                <w:szCs w:val="18"/>
                <w:color w:val="auto"/>
              </w:rPr>
              <w:t>ARTICLE SEVEN HOLDERS’ LISTS AND REPORTS BY TRUSTEE AND COMPANY</w:t>
            </w:r>
          </w:p>
        </w:tc>
        <w:tc>
          <w:tcPr>
            <w:tcW w:w="1200" w:type="dxa"/>
            <w:vAlign w:val="bottom"/>
          </w:tcPr>
          <w:p>
            <w:pPr>
              <w:spacing w:after="0"/>
              <w:rPr>
                <w:sz w:val="24"/>
                <w:szCs w:val="24"/>
                <w:color w:val="auto"/>
              </w:rPr>
            </w:pPr>
          </w:p>
        </w:tc>
      </w:tr>
      <w:tr>
        <w:trPr>
          <w:trHeight w:val="310"/>
        </w:trPr>
        <w:tc>
          <w:tcPr>
            <w:tcW w:w="10120" w:type="dxa"/>
            <w:vAlign w:val="bottom"/>
          </w:tcPr>
          <w:p>
            <w:pPr>
              <w:spacing w:after="0"/>
              <w:rPr>
                <w:sz w:val="20"/>
                <w:szCs w:val="20"/>
                <w:color w:val="auto"/>
              </w:rPr>
            </w:pPr>
            <w:r>
              <w:rPr>
                <w:rFonts w:ascii="Arial" w:cs="Arial" w:eastAsia="Arial" w:hAnsi="Arial"/>
                <w:sz w:val="18"/>
                <w:szCs w:val="18"/>
                <w:color w:val="auto"/>
              </w:rPr>
              <w:t>SECTION 701. COMPANY TO FURNISH TRUSTEE NAMES AND ADDRESSES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702. PRESERVATION OF INFORMATION; COMMUNICATIONS TO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703. REPORTS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704. REPORTS BY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120" w:type="dxa"/>
            <w:vAlign w:val="bottom"/>
          </w:tcPr>
          <w:p>
            <w:pPr>
              <w:ind w:left="2220"/>
              <w:spacing w:after="0"/>
              <w:rPr>
                <w:sz w:val="20"/>
                <w:szCs w:val="20"/>
                <w:color w:val="auto"/>
              </w:rPr>
            </w:pPr>
            <w:r>
              <w:rPr>
                <w:rFonts w:ascii="Arial" w:cs="Arial" w:eastAsia="Arial" w:hAnsi="Arial"/>
                <w:sz w:val="18"/>
                <w:szCs w:val="18"/>
                <w:color w:val="auto"/>
              </w:rPr>
              <w:t>ARTICLE EIGHT CONSOLIDATION, MERGER, CONVEYANCE, TRANSFER OR LEASE</w:t>
            </w:r>
          </w:p>
        </w:tc>
        <w:tc>
          <w:tcPr>
            <w:tcW w:w="1200" w:type="dxa"/>
            <w:vAlign w:val="bottom"/>
          </w:tcPr>
          <w:p>
            <w:pPr>
              <w:spacing w:after="0"/>
              <w:rPr>
                <w:sz w:val="24"/>
                <w:szCs w:val="24"/>
                <w:color w:val="auto"/>
              </w:rPr>
            </w:pPr>
          </w:p>
        </w:tc>
      </w:tr>
      <w:tr>
        <w:trPr>
          <w:trHeight w:val="310"/>
        </w:trPr>
        <w:tc>
          <w:tcPr>
            <w:tcW w:w="10120" w:type="dxa"/>
            <w:vAlign w:val="bottom"/>
          </w:tcPr>
          <w:p>
            <w:pPr>
              <w:spacing w:after="0"/>
              <w:rPr>
                <w:sz w:val="20"/>
                <w:szCs w:val="20"/>
                <w:color w:val="auto"/>
              </w:rPr>
            </w:pPr>
            <w:r>
              <w:rPr>
                <w:rFonts w:ascii="Arial" w:cs="Arial" w:eastAsia="Arial" w:hAnsi="Arial"/>
                <w:sz w:val="18"/>
                <w:szCs w:val="18"/>
                <w:color w:val="auto"/>
              </w:rPr>
              <w:t>SECTION 801. COMPANY MAY CONSOLIDATE, ETC., ONLY ON CERTAIN TERMS</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802. [INTENTIONALLY OMITTED]</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803. SUCCESSOR SUBSTITUTED</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0120" w:type="dxa"/>
            <w:vAlign w:val="bottom"/>
          </w:tcPr>
          <w:p>
            <w:pPr>
              <w:jc w:val="center"/>
              <w:ind w:left="670"/>
              <w:spacing w:after="0"/>
              <w:rPr>
                <w:sz w:val="20"/>
                <w:szCs w:val="20"/>
                <w:color w:val="auto"/>
              </w:rPr>
            </w:pPr>
            <w:r>
              <w:rPr>
                <w:rFonts w:ascii="Arial" w:cs="Arial" w:eastAsia="Arial" w:hAnsi="Arial"/>
                <w:sz w:val="18"/>
                <w:szCs w:val="18"/>
                <w:color w:val="auto"/>
                <w:w w:val="97"/>
              </w:rPr>
              <w:t>ARTICLE NINE SUPPLEMENTAL INDENTURES</w:t>
            </w:r>
          </w:p>
        </w:tc>
        <w:tc>
          <w:tcPr>
            <w:tcW w:w="1200" w:type="dxa"/>
            <w:vAlign w:val="bottom"/>
          </w:tcPr>
          <w:p>
            <w:pPr>
              <w:spacing w:after="0"/>
              <w:rPr>
                <w:sz w:val="24"/>
                <w:szCs w:val="24"/>
                <w:color w:val="auto"/>
              </w:rPr>
            </w:pPr>
          </w:p>
        </w:tc>
      </w:tr>
      <w:tr>
        <w:trPr>
          <w:trHeight w:val="310"/>
        </w:trPr>
        <w:tc>
          <w:tcPr>
            <w:tcW w:w="10120" w:type="dxa"/>
            <w:vAlign w:val="bottom"/>
          </w:tcPr>
          <w:p>
            <w:pPr>
              <w:spacing w:after="0"/>
              <w:rPr>
                <w:sz w:val="20"/>
                <w:szCs w:val="20"/>
                <w:color w:val="auto"/>
              </w:rPr>
            </w:pPr>
            <w:r>
              <w:rPr>
                <w:rFonts w:ascii="Arial" w:cs="Arial" w:eastAsia="Arial" w:hAnsi="Arial"/>
                <w:sz w:val="18"/>
                <w:szCs w:val="18"/>
                <w:color w:val="auto"/>
              </w:rPr>
              <w:t>SECTION 901. SUPPLEMENTAL INDENTURES WITHOUT CONSENT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902. SUPPLEMENTAL INDENTURES WITH CONSENT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903. EXECUTION OF SUPPLEMENTAL INDENTURES</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904. EFFECT OF SUPPLEMENTAL INDENTURES</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905. CONFORMITY WITH TRUST INDENTURE ACT</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906. REFERENCE IN SECURITIES TO SUPPLEMENTAL INDENTURES</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120" w:type="dxa"/>
            <w:vAlign w:val="bottom"/>
          </w:tcPr>
          <w:p>
            <w:pPr>
              <w:jc w:val="center"/>
              <w:ind w:left="670"/>
              <w:spacing w:after="0"/>
              <w:rPr>
                <w:sz w:val="20"/>
                <w:szCs w:val="20"/>
                <w:color w:val="auto"/>
              </w:rPr>
            </w:pPr>
            <w:r>
              <w:rPr>
                <w:rFonts w:ascii="Arial" w:cs="Arial" w:eastAsia="Arial" w:hAnsi="Arial"/>
                <w:sz w:val="18"/>
                <w:szCs w:val="18"/>
                <w:color w:val="auto"/>
                <w:w w:val="97"/>
              </w:rPr>
              <w:t>ARTICLE TEN COVENANTS</w:t>
            </w:r>
          </w:p>
        </w:tc>
        <w:tc>
          <w:tcPr>
            <w:tcW w:w="1200" w:type="dxa"/>
            <w:vAlign w:val="bottom"/>
          </w:tcPr>
          <w:p>
            <w:pPr>
              <w:spacing w:after="0"/>
              <w:rPr>
                <w:sz w:val="24"/>
                <w:szCs w:val="24"/>
                <w:color w:val="auto"/>
              </w:rPr>
            </w:pPr>
          </w:p>
        </w:tc>
      </w:tr>
      <w:tr>
        <w:trPr>
          <w:trHeight w:val="310"/>
        </w:trPr>
        <w:tc>
          <w:tcPr>
            <w:tcW w:w="10120" w:type="dxa"/>
            <w:vAlign w:val="bottom"/>
          </w:tcPr>
          <w:p>
            <w:pPr>
              <w:spacing w:after="0"/>
              <w:rPr>
                <w:sz w:val="20"/>
                <w:szCs w:val="20"/>
                <w:color w:val="auto"/>
              </w:rPr>
            </w:pPr>
            <w:r>
              <w:rPr>
                <w:rFonts w:ascii="Arial" w:cs="Arial" w:eastAsia="Arial" w:hAnsi="Arial"/>
                <w:sz w:val="18"/>
                <w:szCs w:val="18"/>
                <w:color w:val="auto"/>
              </w:rPr>
              <w:t>SECTION 1001. PAYMENT OF PRINCIPAL, PREMIUM AND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1002. MAINTENANCE OF OFFICE OR AGENCY</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1003. MONEY FOR SECURITIES PAYMENTS TO BE HELD IN TRUST</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1004. STATEMENT BY OFFICERS AS TO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1005. EXISTENCE</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1006. MAINTENANCE OF PROPERTIES</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1007. PAYMENT OF TAXES AND OTHER CLAIMS</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1008. MAINTENANCE OF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1009. WAIVER OF CERTAIN COVENANTS</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120" w:type="dxa"/>
            <w:vAlign w:val="bottom"/>
          </w:tcPr>
          <w:p>
            <w:pPr>
              <w:jc w:val="center"/>
              <w:ind w:left="670"/>
              <w:spacing w:after="0"/>
              <w:rPr>
                <w:sz w:val="20"/>
                <w:szCs w:val="20"/>
                <w:color w:val="auto"/>
              </w:rPr>
            </w:pPr>
            <w:r>
              <w:rPr>
                <w:rFonts w:ascii="Arial" w:cs="Arial" w:eastAsia="Arial" w:hAnsi="Arial"/>
                <w:sz w:val="18"/>
                <w:szCs w:val="18"/>
                <w:color w:val="auto"/>
                <w:w w:val="96"/>
              </w:rPr>
              <w:t>ARTICLE ELEVEN REDEMPTION OF SECURITIES</w:t>
            </w:r>
          </w:p>
        </w:tc>
        <w:tc>
          <w:tcPr>
            <w:tcW w:w="1200" w:type="dxa"/>
            <w:vAlign w:val="bottom"/>
          </w:tcPr>
          <w:p>
            <w:pPr>
              <w:spacing w:after="0"/>
              <w:rPr>
                <w:sz w:val="24"/>
                <w:szCs w:val="24"/>
                <w:color w:val="auto"/>
              </w:rPr>
            </w:pPr>
          </w:p>
        </w:tc>
      </w:tr>
      <w:tr>
        <w:trPr>
          <w:trHeight w:val="310"/>
        </w:trPr>
        <w:tc>
          <w:tcPr>
            <w:tcW w:w="10120" w:type="dxa"/>
            <w:vAlign w:val="bottom"/>
          </w:tcPr>
          <w:p>
            <w:pPr>
              <w:spacing w:after="0"/>
              <w:rPr>
                <w:sz w:val="20"/>
                <w:szCs w:val="20"/>
                <w:color w:val="auto"/>
              </w:rPr>
            </w:pPr>
            <w:r>
              <w:rPr>
                <w:rFonts w:ascii="Arial" w:cs="Arial" w:eastAsia="Arial" w:hAnsi="Arial"/>
                <w:sz w:val="18"/>
                <w:szCs w:val="18"/>
                <w:color w:val="auto"/>
              </w:rPr>
              <w:t>SECTION 1101. APPLICABILITY OF ARTICLE</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1102. ELECTION TO REDEEM; NOTICE TO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1103. SELECTION BY TRUSTEE OF SECURITIES TO BE REDEEMED</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1104. NOTICE OF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1105. DEPOSIT OF REDEMPTION PRICE</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SECTION 1106. SECURITIES PAYABLE ON REDEMPTION DATE</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SECTION 1107. SECURITIES REDEEMED IN PART</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320"/>
          </w:cols>
          <w:pgMar w:left="240" w:top="49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0820" w:type="dxa"/>
            <w:vAlign w:val="bottom"/>
          </w:tcPr>
          <w:p>
            <w:pPr>
              <w:ind w:left="3480"/>
              <w:spacing w:after="0"/>
              <w:rPr>
                <w:sz w:val="20"/>
                <w:szCs w:val="20"/>
                <w:color w:val="auto"/>
              </w:rPr>
            </w:pPr>
            <w:r>
              <w:rPr>
                <w:rFonts w:ascii="Arial" w:cs="Arial" w:eastAsia="Arial" w:hAnsi="Arial"/>
                <w:sz w:val="18"/>
                <w:szCs w:val="18"/>
                <w:color w:val="auto"/>
              </w:rPr>
              <w:t>ARTICLE TWELVE SUBORDINATION OF SECURITIES</w:t>
            </w:r>
          </w:p>
        </w:tc>
        <w:tc>
          <w:tcPr>
            <w:tcW w:w="500" w:type="dxa"/>
            <w:vAlign w:val="bottom"/>
          </w:tcPr>
          <w:p>
            <w:pPr>
              <w:spacing w:after="0"/>
              <w:rPr>
                <w:sz w:val="20"/>
                <w:szCs w:val="20"/>
                <w:color w:val="auto"/>
              </w:rPr>
            </w:pPr>
          </w:p>
        </w:tc>
      </w:tr>
      <w:tr>
        <w:trPr>
          <w:trHeight w:val="310"/>
        </w:trPr>
        <w:tc>
          <w:tcPr>
            <w:tcW w:w="10820" w:type="dxa"/>
            <w:vAlign w:val="bottom"/>
          </w:tcPr>
          <w:p>
            <w:pPr>
              <w:spacing w:after="0"/>
              <w:rPr>
                <w:sz w:val="20"/>
                <w:szCs w:val="20"/>
                <w:color w:val="auto"/>
              </w:rPr>
            </w:pPr>
            <w:r>
              <w:rPr>
                <w:rFonts w:ascii="Arial" w:cs="Arial" w:eastAsia="Arial" w:hAnsi="Arial"/>
                <w:sz w:val="18"/>
                <w:szCs w:val="18"/>
                <w:color w:val="auto"/>
              </w:rPr>
              <w:t>SECTION 1201. APPLICABILITY OF ARTICLE</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1202. SECURITIES SUBORDINATE TO SENIOR DEBT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1203. PAYMENT OVER OF PROCEEDS UPON DISSOLUTION, ETC.</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1204. NO PAYMENT WHEN SENIOR DEBT OF THE COMPANY IN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1205. PAYMENT PERMITTED IF NO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1206. SUBROGATION TO RIGHTS OF HOLDERS OF SENIOR DEBT OF THE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1207. PROVISIONS SOLELY TO DEFINE RELATIVE RIGHTS</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1208. TRUSTEE TO EFFECTUATE SUBORDINATION</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1209. NO WAIVER OF SUBORDINATION PROVISIONS</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1210. NOTICE TO TRUSTEE</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1211. RELIANCE ON JUDICIAL ORDER OR CERTIFICATE OF LIQUIDATING AGENT</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1212. TRUSTEE NOT FIDUCIARY FOR HOLDERS OF SENIOR DEBT OF THE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w w:val="96"/>
              </w:rPr>
              <w:t>SECTION 1213. RIGHTS OF TRUSTEE AS HOLDER OF SENIOR DEBT OF THE COMPANY; PRESERVATION OF TRUSTEE’S RIGHTS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1214. ARTICLE APPLICABLE TO PAYING AGENTS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820" w:type="dxa"/>
            <w:vAlign w:val="bottom"/>
          </w:tcPr>
          <w:p>
            <w:pPr>
              <w:spacing w:after="0"/>
              <w:rPr>
                <w:sz w:val="20"/>
                <w:szCs w:val="20"/>
                <w:color w:val="auto"/>
              </w:rPr>
            </w:pPr>
            <w:r>
              <w:rPr>
                <w:rFonts w:ascii="Arial" w:cs="Arial" w:eastAsia="Arial" w:hAnsi="Arial"/>
                <w:sz w:val="18"/>
                <w:szCs w:val="18"/>
                <w:color w:val="auto"/>
              </w:rPr>
              <w:t>SECTION 1215. DEFEASANCE OF THIS ARTICLE TWELVE</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820" w:type="dxa"/>
            <w:vAlign w:val="bottom"/>
          </w:tcPr>
          <w:p>
            <w:pPr>
              <w:jc w:val="center"/>
              <w:spacing w:after="0"/>
              <w:rPr>
                <w:sz w:val="20"/>
                <w:szCs w:val="20"/>
                <w:color w:val="auto"/>
              </w:rPr>
            </w:pPr>
            <w:r>
              <w:rPr>
                <w:rFonts w:ascii="Arial" w:cs="Arial" w:eastAsia="Arial" w:hAnsi="Arial"/>
                <w:sz w:val="18"/>
                <w:szCs w:val="18"/>
                <w:color w:val="auto"/>
                <w:w w:val="99"/>
              </w:rPr>
              <w:t>ARTICLE THIRTEEN [INTENTIONALLY OMITTED]</w:t>
            </w:r>
          </w:p>
        </w:tc>
        <w:tc>
          <w:tcPr>
            <w:tcW w:w="500" w:type="dxa"/>
            <w:vAlign w:val="bottom"/>
          </w:tcPr>
          <w:p>
            <w:pPr>
              <w:spacing w:after="0"/>
              <w:rPr>
                <w:sz w:val="24"/>
                <w:szCs w:val="24"/>
                <w:color w:val="auto"/>
              </w:rPr>
            </w:pPr>
          </w:p>
        </w:tc>
      </w:tr>
      <w:tr>
        <w:trPr>
          <w:trHeight w:val="324"/>
        </w:trPr>
        <w:tc>
          <w:tcPr>
            <w:tcW w:w="10820" w:type="dxa"/>
            <w:vAlign w:val="bottom"/>
          </w:tcPr>
          <w:p>
            <w:pPr>
              <w:jc w:val="center"/>
              <w:spacing w:after="0"/>
              <w:rPr>
                <w:sz w:val="20"/>
                <w:szCs w:val="20"/>
                <w:color w:val="auto"/>
              </w:rPr>
            </w:pPr>
            <w:r>
              <w:rPr>
                <w:rFonts w:ascii="Arial" w:cs="Arial" w:eastAsia="Arial" w:hAnsi="Arial"/>
                <w:sz w:val="18"/>
                <w:szCs w:val="18"/>
                <w:color w:val="auto"/>
                <w:w w:val="98"/>
              </w:rPr>
              <w:t>ARTICLE FOURTEEN [INTENTIONALLY OMITTED]</w:t>
            </w:r>
          </w:p>
        </w:tc>
        <w:tc>
          <w:tcPr>
            <w:tcW w:w="500" w:type="dxa"/>
            <w:vAlign w:val="bottom"/>
          </w:tcPr>
          <w:p>
            <w:pPr>
              <w:spacing w:after="0"/>
              <w:rPr>
                <w:sz w:val="24"/>
                <w:szCs w:val="24"/>
                <w:color w:val="auto"/>
              </w:rPr>
            </w:pPr>
          </w:p>
        </w:tc>
      </w:tr>
      <w:tr>
        <w:trPr>
          <w:trHeight w:val="324"/>
        </w:trPr>
        <w:tc>
          <w:tcPr>
            <w:tcW w:w="10820" w:type="dxa"/>
            <w:vAlign w:val="bottom"/>
          </w:tcPr>
          <w:p>
            <w:pPr>
              <w:jc w:val="center"/>
              <w:spacing w:after="0"/>
              <w:rPr>
                <w:sz w:val="20"/>
                <w:szCs w:val="20"/>
                <w:color w:val="auto"/>
              </w:rPr>
            </w:pPr>
            <w:r>
              <w:rPr>
                <w:rFonts w:ascii="Arial" w:cs="Arial" w:eastAsia="Arial" w:hAnsi="Arial"/>
                <w:sz w:val="18"/>
                <w:szCs w:val="18"/>
                <w:color w:val="auto"/>
                <w:w w:val="96"/>
              </w:rPr>
              <w:t>ARTICLE FIFTEEN DEFEASANCE AND COVENANT DEFEASANCE</w:t>
            </w:r>
          </w:p>
        </w:tc>
        <w:tc>
          <w:tcPr>
            <w:tcW w:w="500" w:type="dxa"/>
            <w:vAlign w:val="bottom"/>
          </w:tcPr>
          <w:p>
            <w:pPr>
              <w:spacing w:after="0"/>
              <w:rPr>
                <w:sz w:val="24"/>
                <w:szCs w:val="24"/>
                <w:color w:val="auto"/>
              </w:rPr>
            </w:pPr>
          </w:p>
        </w:tc>
      </w:tr>
      <w:tr>
        <w:trPr>
          <w:trHeight w:val="310"/>
        </w:trPr>
        <w:tc>
          <w:tcPr>
            <w:tcW w:w="10820" w:type="dxa"/>
            <w:vAlign w:val="bottom"/>
          </w:tcPr>
          <w:p>
            <w:pPr>
              <w:spacing w:after="0"/>
              <w:rPr>
                <w:sz w:val="20"/>
                <w:szCs w:val="20"/>
                <w:color w:val="auto"/>
              </w:rPr>
            </w:pPr>
            <w:r>
              <w:rPr>
                <w:rFonts w:ascii="Arial" w:cs="Arial" w:eastAsia="Arial" w:hAnsi="Arial"/>
                <w:sz w:val="18"/>
                <w:szCs w:val="18"/>
                <w:color w:val="auto"/>
              </w:rPr>
              <w:t>SECTION 1501. COMPANY’S OPTION TO EFFECT DEFEASANCE OR COVENANT DEFEASANCE</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1502. DEFEASANCE AND DISCHARGE</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1503. COVENANT DEFEASANCE</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1504. CONDITIONS TO DEFEASANCE OR COVENANT DEFEASANCE</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1505. DEPOSITED MONEY AND U.S. GOVERNMENT OBLIGATIONS TO BE HELD IN TRUST; MISCELLANEOUS</w:t>
            </w:r>
          </w:p>
        </w:tc>
        <w:tc>
          <w:tcPr>
            <w:tcW w:w="500" w:type="dxa"/>
            <w:vAlign w:val="bottom"/>
          </w:tcPr>
          <w:p>
            <w:pPr>
              <w:spacing w:after="0"/>
              <w:rPr>
                <w:sz w:val="18"/>
                <w:szCs w:val="18"/>
                <w:color w:val="auto"/>
              </w:rPr>
            </w:pPr>
          </w:p>
        </w:tc>
      </w:tr>
      <w:tr>
        <w:trPr>
          <w:trHeight w:val="216"/>
        </w:trPr>
        <w:tc>
          <w:tcPr>
            <w:tcW w:w="1082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0820" w:type="dxa"/>
            <w:vAlign w:val="bottom"/>
          </w:tcPr>
          <w:p>
            <w:pPr>
              <w:spacing w:after="0"/>
              <w:rPr>
                <w:sz w:val="20"/>
                <w:szCs w:val="20"/>
                <w:color w:val="auto"/>
              </w:rPr>
            </w:pPr>
            <w:r>
              <w:rPr>
                <w:rFonts w:ascii="Arial" w:cs="Arial" w:eastAsia="Arial" w:hAnsi="Arial"/>
                <w:sz w:val="18"/>
                <w:szCs w:val="18"/>
                <w:color w:val="auto"/>
              </w:rPr>
              <w:t>SECTION 1506. REINSTATEMENT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820" w:type="dxa"/>
            <w:vAlign w:val="bottom"/>
          </w:tcPr>
          <w:p>
            <w:pPr>
              <w:ind w:left="4180"/>
              <w:spacing w:after="0"/>
              <w:rPr>
                <w:sz w:val="20"/>
                <w:szCs w:val="20"/>
                <w:color w:val="auto"/>
              </w:rPr>
            </w:pPr>
            <w:r>
              <w:rPr>
                <w:rFonts w:ascii="Arial" w:cs="Arial" w:eastAsia="Arial" w:hAnsi="Arial"/>
                <w:sz w:val="18"/>
                <w:szCs w:val="18"/>
                <w:color w:val="auto"/>
              </w:rPr>
              <w:t>ARTICLE SIXTEEN SINKING FUNDS</w:t>
            </w:r>
          </w:p>
        </w:tc>
        <w:tc>
          <w:tcPr>
            <w:tcW w:w="500" w:type="dxa"/>
            <w:vAlign w:val="bottom"/>
          </w:tcPr>
          <w:p>
            <w:pPr>
              <w:spacing w:after="0"/>
              <w:rPr>
                <w:sz w:val="24"/>
                <w:szCs w:val="24"/>
                <w:color w:val="auto"/>
              </w:rPr>
            </w:pPr>
          </w:p>
        </w:tc>
      </w:tr>
      <w:tr>
        <w:trPr>
          <w:trHeight w:val="310"/>
        </w:trPr>
        <w:tc>
          <w:tcPr>
            <w:tcW w:w="10820" w:type="dxa"/>
            <w:vAlign w:val="bottom"/>
          </w:tcPr>
          <w:p>
            <w:pPr>
              <w:spacing w:after="0"/>
              <w:rPr>
                <w:sz w:val="20"/>
                <w:szCs w:val="20"/>
                <w:color w:val="auto"/>
              </w:rPr>
            </w:pPr>
            <w:r>
              <w:rPr>
                <w:rFonts w:ascii="Arial" w:cs="Arial" w:eastAsia="Arial" w:hAnsi="Arial"/>
                <w:sz w:val="18"/>
                <w:szCs w:val="18"/>
                <w:color w:val="auto"/>
              </w:rPr>
              <w:t>SECTION 1601. APPLICABILITY OF ARTICLE</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SECTION 1602. SATISFACTION OF SINKING FUND PAYMENTS WITH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820" w:type="dxa"/>
            <w:vAlign w:val="bottom"/>
          </w:tcPr>
          <w:p>
            <w:pPr>
              <w:spacing w:after="0"/>
              <w:rPr>
                <w:sz w:val="20"/>
                <w:szCs w:val="20"/>
                <w:color w:val="auto"/>
              </w:rPr>
            </w:pPr>
            <w:r>
              <w:rPr>
                <w:rFonts w:ascii="Arial" w:cs="Arial" w:eastAsia="Arial" w:hAnsi="Arial"/>
                <w:sz w:val="18"/>
                <w:szCs w:val="18"/>
                <w:color w:val="auto"/>
              </w:rPr>
              <w:t>SECTION 1603. REDEMPTION OF SECURITIES FOR SINKING FUND</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v -</w:t>
      </w:r>
    </w:p>
    <w:p>
      <w:pPr>
        <w:sectPr>
          <w:pgSz w:w="11900" w:h="16838" w:orient="portrait"/>
          <w:cols w:equalWidth="0" w:num="1">
            <w:col w:w="11320"/>
          </w:cols>
          <w:pgMar w:left="240" w:top="59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SECTIONS OF THIS INDENTURE RELATING TO SECTIONS 310 THROUGH 318, INCLUSIVE,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TRUST INDENTURE ACT OF 1939: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20" w:type="dxa"/>
            <w:vAlign w:val="bottom"/>
          </w:tcPr>
          <w:p>
            <w:pPr>
              <w:spacing w:after="0"/>
              <w:rPr>
                <w:sz w:val="20"/>
                <w:szCs w:val="20"/>
                <w:color w:val="auto"/>
              </w:rPr>
            </w:pPr>
            <w:r>
              <w:rPr>
                <w:rFonts w:ascii="Arial" w:cs="Arial" w:eastAsia="Arial" w:hAnsi="Arial"/>
                <w:sz w:val="14"/>
                <w:szCs w:val="14"/>
                <w:color w:val="auto"/>
              </w:rPr>
              <w:t>TRUST INDENTURE ACT SECTION</w:t>
            </w: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 SECTION</w:t>
            </w:r>
          </w:p>
        </w:tc>
      </w:tr>
      <w:tr>
        <w:trPr>
          <w:trHeight w:val="195"/>
        </w:trPr>
        <w:tc>
          <w:tcPr>
            <w:tcW w:w="9720" w:type="dxa"/>
            <w:vAlign w:val="bottom"/>
          </w:tcPr>
          <w:p>
            <w:pPr>
              <w:spacing w:after="0" w:line="195" w:lineRule="exact"/>
              <w:rPr>
                <w:sz w:val="20"/>
                <w:szCs w:val="20"/>
                <w:color w:val="auto"/>
              </w:rPr>
            </w:pPr>
            <w:r>
              <w:rPr>
                <w:rFonts w:ascii="Arial" w:cs="Arial" w:eastAsia="Arial" w:hAnsi="Arial"/>
                <w:sz w:val="18"/>
                <w:szCs w:val="18"/>
                <w:color w:val="auto"/>
              </w:rPr>
              <w:t>Section 310(a)(1)</w:t>
            </w: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609</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(a)(2)</w:t>
            </w:r>
          </w:p>
        </w:tc>
        <w:tc>
          <w:tcPr>
            <w:tcW w:w="1700" w:type="dxa"/>
            <w:vAlign w:val="bottom"/>
          </w:tcPr>
          <w:p>
            <w:pPr>
              <w:spacing w:after="0"/>
              <w:rPr>
                <w:sz w:val="20"/>
                <w:szCs w:val="20"/>
                <w:color w:val="auto"/>
              </w:rPr>
            </w:pPr>
            <w:r>
              <w:rPr>
                <w:rFonts w:ascii="Arial" w:cs="Arial" w:eastAsia="Arial" w:hAnsi="Arial"/>
                <w:sz w:val="18"/>
                <w:szCs w:val="18"/>
                <w:color w:val="auto"/>
              </w:rPr>
              <w:t>609</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(a)(3)</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(a)(4)</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608</w:t>
            </w:r>
          </w:p>
        </w:tc>
      </w:tr>
      <w:tr>
        <w:trPr>
          <w:trHeight w:val="216"/>
        </w:trPr>
        <w:tc>
          <w:tcPr>
            <w:tcW w:w="97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610</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311(a)</w:t>
            </w:r>
          </w:p>
        </w:tc>
        <w:tc>
          <w:tcPr>
            <w:tcW w:w="1700" w:type="dxa"/>
            <w:vAlign w:val="bottom"/>
          </w:tcPr>
          <w:p>
            <w:pPr>
              <w:spacing w:after="0"/>
              <w:rPr>
                <w:sz w:val="20"/>
                <w:szCs w:val="20"/>
                <w:color w:val="auto"/>
              </w:rPr>
            </w:pPr>
            <w:r>
              <w:rPr>
                <w:rFonts w:ascii="Arial" w:cs="Arial" w:eastAsia="Arial" w:hAnsi="Arial"/>
                <w:sz w:val="18"/>
                <w:szCs w:val="18"/>
                <w:color w:val="auto"/>
              </w:rPr>
              <w:t>613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613</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312(a)</w:t>
            </w:r>
          </w:p>
        </w:tc>
        <w:tc>
          <w:tcPr>
            <w:tcW w:w="170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97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w:t>
            </w:r>
          </w:p>
        </w:tc>
        <w:tc>
          <w:tcPr>
            <w:tcW w:w="170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313(a)</w:t>
            </w:r>
          </w:p>
        </w:tc>
        <w:tc>
          <w:tcPr>
            <w:tcW w:w="170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w:t>
            </w:r>
          </w:p>
        </w:tc>
        <w:tc>
          <w:tcPr>
            <w:tcW w:w="170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(d)</w:t>
            </w:r>
          </w:p>
        </w:tc>
        <w:tc>
          <w:tcPr>
            <w:tcW w:w="170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314(a)</w:t>
            </w:r>
          </w:p>
        </w:tc>
        <w:tc>
          <w:tcPr>
            <w:tcW w:w="1700" w:type="dxa"/>
            <w:vAlign w:val="bottom"/>
          </w:tcPr>
          <w:p>
            <w:pPr>
              <w:spacing w:after="0"/>
              <w:rPr>
                <w:sz w:val="20"/>
                <w:szCs w:val="20"/>
                <w:color w:val="auto"/>
              </w:rPr>
            </w:pPr>
            <w:r>
              <w:rPr>
                <w:rFonts w:ascii="Arial" w:cs="Arial" w:eastAsia="Arial" w:hAnsi="Arial"/>
                <w:sz w:val="18"/>
                <w:szCs w:val="18"/>
                <w:color w:val="auto"/>
              </w:rPr>
              <w:t>704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(a)(4)</w:t>
            </w:r>
          </w:p>
        </w:tc>
        <w:tc>
          <w:tcPr>
            <w:tcW w:w="1700" w:type="dxa"/>
            <w:vAlign w:val="bottom"/>
          </w:tcPr>
          <w:p>
            <w:pPr>
              <w:spacing w:after="0"/>
              <w:rPr>
                <w:sz w:val="20"/>
                <w:szCs w:val="20"/>
                <w:color w:val="auto"/>
              </w:rPr>
            </w:pPr>
            <w:r>
              <w:rPr>
                <w:rFonts w:ascii="Arial" w:cs="Arial" w:eastAsia="Arial" w:hAnsi="Arial"/>
                <w:sz w:val="18"/>
                <w:szCs w:val="18"/>
                <w:color w:val="auto"/>
              </w:rPr>
              <w:t>101</w:t>
            </w:r>
          </w:p>
        </w:tc>
      </w:tr>
      <w:tr>
        <w:trPr>
          <w:trHeight w:val="216"/>
        </w:trPr>
        <w:tc>
          <w:tcPr>
            <w:tcW w:w="97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1004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(c)(1)</w:t>
            </w:r>
          </w:p>
        </w:tc>
        <w:tc>
          <w:tcPr>
            <w:tcW w:w="17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(c)(2)</w:t>
            </w:r>
          </w:p>
        </w:tc>
        <w:tc>
          <w:tcPr>
            <w:tcW w:w="17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(c)(3)</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(d)</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(e)</w:t>
            </w:r>
          </w:p>
        </w:tc>
        <w:tc>
          <w:tcPr>
            <w:tcW w:w="17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315(a)</w:t>
            </w:r>
          </w:p>
        </w:tc>
        <w:tc>
          <w:tcPr>
            <w:tcW w:w="170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w:t>
            </w:r>
          </w:p>
        </w:tc>
        <w:tc>
          <w:tcPr>
            <w:tcW w:w="170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(d)</w:t>
            </w:r>
          </w:p>
        </w:tc>
        <w:tc>
          <w:tcPr>
            <w:tcW w:w="170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(e)</w:t>
            </w:r>
          </w:p>
        </w:tc>
        <w:tc>
          <w:tcPr>
            <w:tcW w:w="1700" w:type="dxa"/>
            <w:vAlign w:val="bottom"/>
          </w:tcPr>
          <w:p>
            <w:pPr>
              <w:spacing w:after="0"/>
              <w:rPr>
                <w:sz w:val="20"/>
                <w:szCs w:val="20"/>
                <w:color w:val="auto"/>
              </w:rPr>
            </w:pPr>
            <w:r>
              <w:rPr>
                <w:rFonts w:ascii="Arial" w:cs="Arial" w:eastAsia="Arial" w:hAnsi="Arial"/>
                <w:sz w:val="18"/>
                <w:szCs w:val="18"/>
                <w:color w:val="auto"/>
              </w:rPr>
              <w:t>514</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316(a)</w:t>
            </w:r>
          </w:p>
        </w:tc>
        <w:tc>
          <w:tcPr>
            <w:tcW w:w="1700" w:type="dxa"/>
            <w:vAlign w:val="bottom"/>
          </w:tcPr>
          <w:p>
            <w:pPr>
              <w:spacing w:after="0"/>
              <w:rPr>
                <w:sz w:val="20"/>
                <w:szCs w:val="20"/>
                <w:color w:val="auto"/>
              </w:rPr>
            </w:pPr>
            <w:r>
              <w:rPr>
                <w:rFonts w:ascii="Arial" w:cs="Arial" w:eastAsia="Arial" w:hAnsi="Arial"/>
                <w:sz w:val="18"/>
                <w:szCs w:val="18"/>
                <w:color w:val="auto"/>
              </w:rPr>
              <w:t>101</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(a)(1)(A)</w:t>
            </w:r>
          </w:p>
        </w:tc>
        <w:tc>
          <w:tcPr>
            <w:tcW w:w="1700" w:type="dxa"/>
            <w:vAlign w:val="bottom"/>
          </w:tcPr>
          <w:p>
            <w:pPr>
              <w:spacing w:after="0"/>
              <w:rPr>
                <w:sz w:val="20"/>
                <w:szCs w:val="20"/>
                <w:color w:val="auto"/>
              </w:rPr>
            </w:pPr>
            <w:r>
              <w:rPr>
                <w:rFonts w:ascii="Arial" w:cs="Arial" w:eastAsia="Arial" w:hAnsi="Arial"/>
                <w:sz w:val="18"/>
                <w:szCs w:val="18"/>
                <w:color w:val="auto"/>
              </w:rPr>
              <w:t>502</w:t>
            </w:r>
          </w:p>
        </w:tc>
      </w:tr>
      <w:tr>
        <w:trPr>
          <w:trHeight w:val="216"/>
        </w:trPr>
        <w:tc>
          <w:tcPr>
            <w:tcW w:w="97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512</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(a)(1)(B)</w:t>
            </w:r>
          </w:p>
        </w:tc>
        <w:tc>
          <w:tcPr>
            <w:tcW w:w="170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(a)(2)</w:t>
            </w:r>
          </w:p>
        </w:tc>
        <w:tc>
          <w:tcPr>
            <w:tcW w:w="17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508</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(c)</w:t>
            </w:r>
          </w:p>
        </w:tc>
        <w:tc>
          <w:tcPr>
            <w:tcW w:w="1700" w:type="dxa"/>
            <w:vAlign w:val="bottom"/>
          </w:tcPr>
          <w:p>
            <w:pPr>
              <w:spacing w:after="0"/>
              <w:rPr>
                <w:sz w:val="20"/>
                <w:szCs w:val="20"/>
                <w:color w:val="auto"/>
              </w:rPr>
            </w:pPr>
            <w:r>
              <w:rPr>
                <w:rFonts w:ascii="Arial" w:cs="Arial" w:eastAsia="Arial" w:hAnsi="Arial"/>
                <w:sz w:val="18"/>
                <w:szCs w:val="18"/>
                <w:color w:val="auto"/>
              </w:rPr>
              <w:t>104</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Section 317(a)(1)</w:t>
            </w:r>
          </w:p>
        </w:tc>
        <w:tc>
          <w:tcPr>
            <w:tcW w:w="170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(a)(2)</w:t>
            </w:r>
          </w:p>
        </w:tc>
        <w:tc>
          <w:tcPr>
            <w:tcW w:w="1700" w:type="dxa"/>
            <w:vAlign w:val="bottom"/>
          </w:tcPr>
          <w:p>
            <w:pPr>
              <w:spacing w:after="0"/>
              <w:rPr>
                <w:sz w:val="20"/>
                <w:szCs w:val="20"/>
                <w:color w:val="auto"/>
              </w:rPr>
            </w:pPr>
            <w:r>
              <w:rPr>
                <w:rFonts w:ascii="Arial" w:cs="Arial" w:eastAsia="Arial" w:hAnsi="Arial"/>
                <w:sz w:val="18"/>
                <w:szCs w:val="18"/>
                <w:color w:val="auto"/>
              </w:rPr>
              <w:t>504</w:t>
            </w:r>
          </w:p>
        </w:tc>
      </w:tr>
      <w:tr>
        <w:trPr>
          <w:trHeight w:val="216"/>
        </w:trPr>
        <w:tc>
          <w:tcPr>
            <w:tcW w:w="9720" w:type="dxa"/>
            <w:vAlign w:val="bottom"/>
          </w:tcPr>
          <w:p>
            <w:pPr>
              <w:ind w:left="360"/>
              <w:spacing w:after="0"/>
              <w:rPr>
                <w:sz w:val="20"/>
                <w:szCs w:val="20"/>
                <w:color w:val="auto"/>
              </w:rPr>
            </w:pPr>
            <w:r>
              <w:rPr>
                <w:rFonts w:ascii="Arial" w:cs="Arial" w:eastAsia="Arial" w:hAnsi="Arial"/>
                <w:sz w:val="18"/>
                <w:szCs w:val="18"/>
                <w:color w:val="auto"/>
              </w:rPr>
              <w:t>(b)</w:t>
            </w:r>
          </w:p>
        </w:tc>
        <w:tc>
          <w:tcPr>
            <w:tcW w:w="1700" w:type="dxa"/>
            <w:vAlign w:val="bottom"/>
          </w:tcPr>
          <w:p>
            <w:pPr>
              <w:spacing w:after="0"/>
              <w:rPr>
                <w:sz w:val="20"/>
                <w:szCs w:val="20"/>
                <w:color w:val="auto"/>
              </w:rPr>
            </w:pPr>
            <w:r>
              <w:rPr>
                <w:rFonts w:ascii="Arial" w:cs="Arial" w:eastAsia="Arial" w:hAnsi="Arial"/>
                <w:sz w:val="18"/>
                <w:szCs w:val="18"/>
                <w:color w:val="auto"/>
              </w:rPr>
              <w:t>1003</w:t>
            </w:r>
          </w:p>
        </w:tc>
      </w:t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Section 318(a)</w:t>
            </w:r>
          </w:p>
        </w:tc>
        <w:tc>
          <w:tcPr>
            <w:tcW w:w="1700" w:type="dxa"/>
            <w:vAlign w:val="bottom"/>
          </w:tcPr>
          <w:p>
            <w:pPr>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vi -</w:t>
      </w:r>
    </w:p>
    <w:p>
      <w:pPr>
        <w:sectPr>
          <w:pgSz w:w="11900" w:h="16838" w:orient="portrait"/>
          <w:cols w:equalWidth="0" w:num="1">
            <w:col w:w="11420"/>
          </w:cols>
          <w:pgMar w:left="240" w:top="490" w:right="239" w:bottom="1440" w:gutter="0" w:footer="0" w:header="0"/>
        </w:sectPr>
      </w:pPr>
    </w:p>
    <w:bookmarkStart w:id="108" w:name="page109"/>
    <w:bookmarkEnd w:id="108"/>
    <w:p>
      <w:pPr>
        <w:ind w:left="10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4.2</w:t>
      </w:r>
    </w:p>
    <w:p>
      <w:pPr>
        <w:spacing w:after="0" w:line="24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 among ClearOne, Inc., a corporation duly organized and existing under the laws of the State of Utah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called the “Company”), having its principal office at 5225 Wiley Post Way, Suite 500, Salt Lake City, Utah 84116 and , a banking corporation duly organized and existing under the laws of the State of , as Trustee (herein called the “Trustee”).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GENERAL APPLICATION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other terms used herein which are defined in the Trust Indenture Act, either directly or by reference therein, have the meanings assigned to them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pacing w:after="0" w:line="210" w:lineRule="exact"/>
        <w:rPr>
          <w:rFonts w:ascii="Arial" w:cs="Arial" w:eastAsia="Arial" w:hAnsi="Arial"/>
          <w:sz w:val="16"/>
          <w:szCs w:val="16"/>
          <w:color w:val="auto"/>
        </w:rPr>
      </w:pPr>
    </w:p>
    <w:p>
      <w:pPr>
        <w:ind w:right="80" w:firstLine="464"/>
        <w:spacing w:after="0" w:line="286" w:lineRule="auto"/>
        <w:tabs>
          <w:tab w:leader="none" w:pos="71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w:t>
      </w:r>
    </w:p>
    <w:p>
      <w:pPr>
        <w:spacing w:after="0" w:line="165" w:lineRule="exact"/>
        <w:rPr>
          <w:rFonts w:ascii="Arial" w:cs="Arial" w:eastAsia="Arial" w:hAnsi="Arial"/>
          <w:sz w:val="17"/>
          <w:szCs w:val="17"/>
          <w:color w:val="auto"/>
        </w:rPr>
      </w:pPr>
    </w:p>
    <w:p>
      <w:pPr>
        <w:ind w:right="520" w:firstLine="464"/>
        <w:spacing w:after="0" w:line="277"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Indenture as a whole and not to any particular Article, Section or other subdivision.</w:t>
      </w:r>
    </w:p>
    <w:p>
      <w:pPr>
        <w:sectPr>
          <w:pgSz w:w="11900" w:h="16838" w:orient="portrait"/>
          <w:cols w:equalWidth="0" w:num="1">
            <w:col w:w="11420"/>
          </w:cols>
          <w:pgMar w:left="240" w:top="270" w:right="239"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w:t>
      </w:r>
      <w:r>
        <w:rPr>
          <w:rFonts w:ascii="Arial" w:cs="Arial" w:eastAsia="Arial" w:hAnsi="Arial"/>
          <w:sz w:val="18"/>
          <w:szCs w:val="18"/>
          <w:color w:val="auto"/>
        </w:rPr>
        <w:t>t” when used with respect to any Holder, has the meaning specified in Section 104.</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provided that direct or indirect beneficial ownership of 10% or more of the Voting Stock of a Person shall be deemed to control.</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any Person authorized by the Trustee pursuant to Section 614 to act on behalf of the Trustee to authenticate Securities of one or more series.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Company or any committee of that board duly authorized to act for it in respect hereof.</w:t>
      </w:r>
    </w:p>
    <w:p>
      <w:pPr>
        <w:spacing w:after="0" w:line="24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to have been duly adopted by its Board of Directors and to be in full force and effect on the date of such certification, and delivered to the Trustee.</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corporate stock or other equity participations, including partnership interests, whether general or limited, of such Person.</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common stock. $0.001 par value per share, of the Company as the same exists at the date of execution and delivery of this Indenture or other Capital Stock of the Company into which such common stock is converted, reclassified or changed from time to time.</w:t>
      </w:r>
    </w:p>
    <w:p>
      <w:pPr>
        <w:spacing w:after="0" w:line="138"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its Chairman of the Board of Directors, its Vice Chairman of the Board of Directors, its President or a Vice President, and by its Treasurer, an Assistant Treasurer, its Secretary or an Assistant Secretary, and delivered to the Trustee.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Conversion Agent</w:t>
      </w:r>
      <w:r>
        <w:rPr>
          <w:rFonts w:ascii="Arial" w:cs="Arial" w:eastAsia="Arial" w:hAnsi="Arial"/>
          <w:sz w:val="18"/>
          <w:szCs w:val="18"/>
          <w:color w:val="auto"/>
        </w:rPr>
        <w:t>” means any Person authorized by the Company to convert any Securities on behalf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principal office of the Trustee at which at any particular time its corporate trust business shall be administered,</w:t>
      </w:r>
    </w:p>
    <w:p>
      <w:pPr>
        <w:spacing w:after="0" w:line="5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such office being located on the date hereof at</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a corporation, association, limited liability company, joint-stock company or business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has the meaning specified in Section 1503.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w:t>
      </w:r>
      <w:r>
        <w:rPr>
          <w:rFonts w:ascii="Arial" w:cs="Arial" w:eastAsia="Arial" w:hAnsi="Arial"/>
          <w:sz w:val="18"/>
          <w:szCs w:val="18"/>
          <w:color w:val="auto"/>
        </w:rPr>
        <w:t>” has the meaning specified in Section 1502.</w:t>
      </w:r>
    </w:p>
    <w:p>
      <w:pPr>
        <w:spacing w:after="0" w:line="225"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has the meaning specified in Section 104.</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that evidences all or part of the Securities of any series and bears the legend set forth in Section 205 (or such legend as may be specified as contemplated by Section 301 for such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Security is registered in the Security Register.</w:t>
      </w:r>
    </w:p>
    <w:p>
      <w:pPr>
        <w:spacing w:after="0" w:line="225"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15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0" w:right="379" w:bottom="1440" w:gutter="0" w:footer="0" w:header="0"/>
        </w:sectPr>
      </w:pPr>
    </w:p>
    <w:bookmarkStart w:id="111" w:name="page112"/>
    <w:bookmarkEnd w:id="111"/>
    <w:p>
      <w:pPr>
        <w:jc w:val="both"/>
        <w:ind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means a written notice of the kind specified in Section 501(4).</w:t>
      </w:r>
    </w:p>
    <w:p>
      <w:pPr>
        <w:spacing w:after="0" w:line="225"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by the Chairman of the Board of Directors, a Vice Chairman of the Board of Directors,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of counsel, who shall be acceptable to the Trustee.</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66" w:lineRule="exact"/>
        <w:rPr>
          <w:sz w:val="20"/>
          <w:szCs w:val="20"/>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right="140" w:firstLine="464"/>
        <w:spacing w:after="0" w:line="259"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1502; and</w:t>
      </w:r>
    </w:p>
    <w:p>
      <w:pPr>
        <w:spacing w:after="0" w:line="225" w:lineRule="exact"/>
        <w:rPr>
          <w:rFonts w:ascii="Arial" w:cs="Arial" w:eastAsia="Arial" w:hAnsi="Arial"/>
          <w:sz w:val="18"/>
          <w:szCs w:val="18"/>
          <w:color w:val="auto"/>
        </w:rPr>
      </w:pPr>
    </w:p>
    <w:p>
      <w:pPr>
        <w:ind w:right="160" w:firstLine="464"/>
        <w:spacing w:after="0" w:line="291"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112" w:name="page113"/>
    <w:bookmarkEnd w:id="11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4" w:lineRule="exact"/>
        <w:rPr>
          <w:sz w:val="20"/>
          <w:szCs w:val="20"/>
          <w:color w:val="auto"/>
        </w:rPr>
      </w:pPr>
    </w:p>
    <w:p>
      <w:pPr>
        <w:jc w:val="both"/>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w:t>
      </w:r>
      <w:r>
        <w:rPr>
          <w:rFonts w:ascii="Arial" w:cs="Arial" w:eastAsia="Arial" w:hAnsi="Arial"/>
          <w:sz w:val="18"/>
          <w:szCs w:val="18"/>
          <w:color w:val="auto"/>
        </w:rPr>
        <w:t>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Person authorized by the Company to pay the principal of or any premium or interest on any Securities on behalf of the Company.</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when used with respect to the Securities of any series, means the place or places where the principal of and any premium and interest on the Securities of that series are payable as specified as contemplated by Section 301.</w:t>
      </w:r>
    </w:p>
    <w:p>
      <w:pPr>
        <w:spacing w:after="0" w:line="162" w:lineRule="exact"/>
        <w:rPr>
          <w:sz w:val="20"/>
          <w:szCs w:val="20"/>
          <w:color w:val="auto"/>
        </w:rPr>
      </w:pPr>
    </w:p>
    <w:p>
      <w:pPr>
        <w:jc w:val="both"/>
        <w:ind w:right="24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w:t>
      </w:r>
      <w:r>
        <w:rPr>
          <w:rFonts w:ascii="Arial" w:cs="Arial" w:eastAsia="Arial" w:hAnsi="Arial"/>
          <w:sz w:val="16"/>
          <w:szCs w:val="16"/>
          <w:color w:val="auto"/>
        </w:rPr>
        <w:t>e”, when used with respect to any Security to be redeemed, means the price at which it is to be redeemed pursuant to this Indenture.</w:t>
      </w:r>
    </w:p>
    <w:p>
      <w:pPr>
        <w:spacing w:after="0" w:line="24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w:t>
      </w:r>
      <w:r>
        <w:rPr>
          <w:rFonts w:ascii="Arial" w:cs="Arial" w:eastAsia="Arial" w:hAnsi="Arial"/>
          <w:sz w:val="18"/>
          <w:szCs w:val="18"/>
          <w:color w:val="auto"/>
        </w:rPr>
        <w:t>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Securities Act of 1933 and any statute successor thereto, in each case as amended from time to time.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with respect to any series of Securities shall have the meaning specified as contemplated by Section 301.</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38"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5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has the meaning specified in Section 1504.</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62"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114" w:name="page115"/>
    <w:bookmarkEnd w:id="114"/>
    <w:p>
      <w:pPr>
        <w:ind w:right="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u w:val="single" w:color="auto"/>
          <w:color w:val="auto"/>
        </w:rPr>
        <w:t>Compliance Certificates and Opinions.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720" w:hanging="256"/>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 thereto;</w:t>
      </w:r>
    </w:p>
    <w:p>
      <w:pPr>
        <w:spacing w:after="0" w:line="248"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b w:val="1"/>
          <w:bCs w:val="1"/>
          <w:u w:val="single" w:color="auto"/>
          <w:color w:val="auto"/>
        </w:rPr>
        <w:t>Form of Documents Delivered to Trustee.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15" w:name="page116"/>
    <w:bookmarkEnd w:id="115"/>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4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b w:val="1"/>
          <w:bCs w:val="1"/>
          <w:u w:val="single" w:color="auto"/>
          <w:color w:val="auto"/>
        </w:rPr>
        <w:t>Acts of Holders; Record Dates.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“Act” of the relevant Holders. Proof of execution of any such instrument or of a writing appointing any such agent or proxy shall be sufficient for any purpose of this Indenture and (subject to Section 601) conclusive in favor of the Trustee and the Company, if made in the manner provided in this Section.</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6" w:name="page117"/>
    <w:bookmarkEnd w:id="11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7" w:name="page118"/>
    <w:bookmarkEnd w:id="11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b w:val="1"/>
          <w:bCs w:val="1"/>
          <w:u w:val="single" w:color="auto"/>
          <w:color w:val="auto"/>
        </w:rPr>
        <w:t>Notices, Etc., to Trustee and Company.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right="360" w:firstLine="464"/>
        <w:spacing w:after="0" w:line="277" w:lineRule="auto"/>
        <w:tabs>
          <w:tab w:leader="none" w:pos="7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in the English language to or with the Trustee at its Corporate Trust Office, Attention: Corporate Trust Department; or</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in the English language and mailed, first-class postage prepaid, addressed to it at the address of its principal office specified in the first paragraph of this instrument or at any other address previously furnished in writing to the Trustee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b w:val="1"/>
          <w:bCs w:val="1"/>
          <w:u w:val="single" w:color="auto"/>
          <w:color w:val="auto"/>
        </w:rPr>
        <w:t>Notice to Holders; Waiver.</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107. </w:t>
      </w:r>
      <w:r>
        <w:rPr>
          <w:rFonts w:ascii="Arial" w:cs="Arial" w:eastAsia="Arial" w:hAnsi="Arial"/>
          <w:sz w:val="18"/>
          <w:szCs w:val="18"/>
          <w:b w:val="1"/>
          <w:bCs w:val="1"/>
          <w:u w:val="single" w:color="auto"/>
          <w:color w:val="auto"/>
        </w:rPr>
        <w:t>Conflict with Trust Indenture Act.</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b w:val="1"/>
          <w:bCs w:val="1"/>
          <w:u w:val="single" w:color="auto"/>
          <w:color w:val="auto"/>
        </w:rPr>
        <w:t>Effect of Headings and Table of Contents.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b w:val="1"/>
          <w:bCs w:val="1"/>
          <w:u w:val="single" w:color="auto"/>
          <w:color w:val="auto"/>
        </w:rPr>
        <w:t>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b w:val="1"/>
          <w:bCs w:val="1"/>
          <w:u w:val="single" w:color="auto"/>
          <w:color w:val="auto"/>
        </w:rPr>
        <w:t>Separability Clause.</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case any provision in this Indenture or the Securities shall be invalid, illegal or unenforceable, the validity, legality and enforce ability of the remaining provisions shall not in any way be affected or impaired thereby.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Benefits of Indenture.</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Nothing in this Indenture or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and the Securities shall be governed by and construed in accordance with the law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b w:val="1"/>
          <w:bCs w:val="1"/>
          <w:u w:val="single" w:color="auto"/>
          <w:color w:val="auto"/>
        </w:rPr>
        <w:t>Legal Holidays.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114. </w:t>
      </w:r>
      <w:r>
        <w:rPr>
          <w:rFonts w:ascii="Arial" w:cs="Arial" w:eastAsia="Arial" w:hAnsi="Arial"/>
          <w:sz w:val="18"/>
          <w:szCs w:val="18"/>
          <w:b w:val="1"/>
          <w:bCs w:val="1"/>
          <w:u w:val="single" w:color="auto"/>
          <w:color w:val="auto"/>
        </w:rPr>
        <w:t>No Recourse Against Others.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directors, officers, employees and stockholders of the Company, as such, shall have no liability for any obligations of the Company under the Securities,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u w:val="single" w:color="auto"/>
          <w:color w:val="auto"/>
        </w:rPr>
        <w:t>Forms Generally.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p>
    <w:p>
      <w:pPr>
        <w:spacing w:after="0" w:line="192"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b w:val="1"/>
          <w:bCs w:val="1"/>
          <w:u w:val="single" w:color="auto"/>
          <w:color w:val="auto"/>
        </w:rPr>
        <w:t>Form of Face of Security.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413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10080" w:space="720"/>
            <w:col w:w="600"/>
          </w:cols>
          <w:pgMar w:left="240" w:top="270" w:right="259" w:bottom="1440" w:gutter="0" w:footer="0" w:header="0"/>
          <w:type w:val="continuous"/>
        </w:sectPr>
      </w:pPr>
    </w:p>
    <w:p>
      <w:pPr>
        <w:spacing w:after="0" w:line="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ClearOne, Inc., a corporation duly organized and existing under the laws of Utah (herein called the “Company,” which term includes any successor Person under the Indenture hereinafter referred to), for value received, hereby promises to pay to , or registered assigns, the principal sum of Dollars on [if the Security is to bear interest prior to Maturity, insert — , and to pay interest thereon from or from the most recent Interest Payment Date to which interest has been paid or duly provided for, semi-annually on and in each year, commencing , at the rate of per annum, until the principal hereof is paid or made available for payment, provided that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08" w:lineRule="exact"/>
        <w:rPr>
          <w:sz w:val="20"/>
          <w:szCs w:val="20"/>
          <w:color w:val="auto"/>
        </w:rPr>
      </w:pPr>
    </w:p>
    <w:p>
      <w:pPr>
        <w:sectPr>
          <w:pgSz w:w="11900" w:h="16838" w:orient="portrait"/>
          <w:cols w:equalWidth="0" w:num="2">
            <w:col w:w="11060" w:space="140"/>
            <w:col w:w="200"/>
          </w:cols>
          <w:pgMar w:left="240" w:top="27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70" w:right="259" w:bottom="1440" w:gutter="0" w:footer="0" w:header="0"/>
          <w:type w:val="continuous"/>
        </w:sectPr>
      </w:pPr>
    </w:p>
    <w:bookmarkStart w:id="120" w:name="page121"/>
    <w:bookmarkEnd w:id="1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of the principal of (and premium, if any) and [if applicable, insert — any such] interest on this Security will be made at the office or agency of</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maintained for that purpose in ,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b w:val="1"/>
          <w:bCs w:val="1"/>
          <w:u w:val="single" w:color="auto"/>
          <w:color w:val="auto"/>
        </w:rPr>
        <w:t>Form of Reverse of Security.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series under an Indenture, dated as of , 20 (herein called the “Indenture”, which term shall have the meaning assigned to it in such instrument), among the Company and , as Trustee (herein called the “Trustee”, which term includes any successor trustee under the Indenture), and reference is</w:t>
      </w:r>
    </w:p>
    <w:p>
      <w:pPr>
        <w:spacing w:after="0" w:line="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hereby made to the Indenture for a statement of the respective rights, limitations of rights, duties and immunities thereunder of the Company, the Trustee, the holders of Senior Debt and the Holders of the Securities and of the terms upon which the Securities are, and are to be, authenticated and delivered.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9540" w:val="left"/>
        </w:tabs>
        <w:rPr>
          <w:sz w:val="20"/>
          <w:szCs w:val="20"/>
          <w:color w:val="auto"/>
        </w:rPr>
      </w:pPr>
      <w:r>
        <w:rPr>
          <w:rFonts w:ascii="Arial" w:cs="Arial" w:eastAsia="Arial" w:hAnsi="Arial"/>
          <w:sz w:val="17"/>
          <w:szCs w:val="17"/>
          <w:color w:val="auto"/>
        </w:rPr>
        <w:t>Security is one of the series designated on the face hereof [if applicable, insert — , limited in aggregate principal amount to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[If applicable, insert — The Securities of this series are subject to redemption upon not less than 30 days’ notice by mail, [if applicable, insert — (1) on in any year commencing with the year and ending with the year through operation of the sinking fund for this series at a Redemption Price equal to 100% of the principal amount, and (2)] at any time [if applicable, insert — on or after , 20 ], as a whole or in part, at the</w:t>
      </w:r>
    </w:p>
    <w:p>
      <w:pPr>
        <w:spacing w:after="0"/>
        <w:rPr>
          <w:sz w:val="20"/>
          <w:szCs w:val="20"/>
          <w:color w:val="auto"/>
        </w:rPr>
      </w:pPr>
      <w:r>
        <w:rPr>
          <w:rFonts w:ascii="Arial" w:cs="Arial" w:eastAsia="Arial" w:hAnsi="Arial"/>
          <w:sz w:val="16"/>
          <w:szCs w:val="16"/>
          <w:color w:val="auto"/>
        </w:rPr>
        <w:t>election of the Company, at the following Redemption Prices (expressed as percentages of the principal amount): If redeemed [if applicable, insert — on 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before</w:t>
            </w:r>
          </w:p>
        </w:tc>
        <w:tc>
          <w:tcPr>
            <w:tcW w:w="4860" w:type="dxa"/>
            <w:vAlign w:val="bottom"/>
            <w:gridSpan w:val="2"/>
          </w:tcPr>
          <w:p>
            <w:pPr>
              <w:ind w:left="80"/>
              <w:spacing w:after="0"/>
              <w:rPr>
                <w:sz w:val="20"/>
                <w:szCs w:val="20"/>
                <w:color w:val="auto"/>
              </w:rPr>
            </w:pPr>
            <w:r>
              <w:rPr>
                <w:rFonts w:ascii="Arial" w:cs="Arial" w:eastAsia="Arial" w:hAnsi="Arial"/>
                <w:sz w:val="18"/>
                <w:szCs w:val="18"/>
                <w:color w:val="auto"/>
                <w:w w:val="99"/>
              </w:rPr>
              <w:t>,  %, and if redeemed] during the 12-month period beginning</w:t>
            </w:r>
          </w:p>
        </w:tc>
        <w:tc>
          <w:tcPr>
            <w:tcW w:w="2960" w:type="dxa"/>
            <w:vAlign w:val="bottom"/>
            <w:gridSpan w:val="3"/>
          </w:tcPr>
          <w:p>
            <w:pPr>
              <w:ind w:left="300"/>
              <w:spacing w:after="0"/>
              <w:rPr>
                <w:sz w:val="20"/>
                <w:szCs w:val="20"/>
                <w:color w:val="auto"/>
              </w:rPr>
            </w:pPr>
            <w:r>
              <w:rPr>
                <w:rFonts w:ascii="Arial" w:cs="Arial" w:eastAsia="Arial" w:hAnsi="Arial"/>
                <w:sz w:val="18"/>
                <w:szCs w:val="18"/>
                <w:color w:val="auto"/>
              </w:rPr>
              <w:t>of the years indicated,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500" w:type="dxa"/>
            <w:vAlign w:val="bottom"/>
          </w:tcPr>
          <w:p>
            <w:pPr>
              <w:spacing w:after="0"/>
              <w:rPr>
                <w:sz w:val="24"/>
                <w:szCs w:val="24"/>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Redemption</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vMerge w:val="continue"/>
          </w:tcPr>
          <w:p>
            <w:pPr>
              <w:spacing w:after="0"/>
              <w:rPr>
                <w:sz w:val="14"/>
                <w:szCs w:val="14"/>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380" w:firstLine="456"/>
        <w:spacing w:after="0" w:line="274" w:lineRule="auto"/>
        <w:rPr>
          <w:sz w:val="20"/>
          <w:szCs w:val="20"/>
          <w:color w:val="auto"/>
        </w:rPr>
      </w:pPr>
      <w:r>
        <w:rPr>
          <w:rFonts w:ascii="Arial" w:cs="Arial" w:eastAsia="Arial" w:hAnsi="Arial"/>
          <w:sz w:val="17"/>
          <w:szCs w:val="17"/>
          <w:color w:val="auto"/>
        </w:rPr>
        <w:t>[If applicable, insert — The Securities of this series are subject to redemption upon not less than 30 days’ notice by mail, (1) on in any year commencing with the year and ending with the year through operation of the sinking fund for this series at the Redemption Prices for</w:t>
      </w:r>
    </w:p>
    <w:p>
      <w:pPr>
        <w:spacing w:after="0"/>
        <w:rPr>
          <w:sz w:val="20"/>
          <w:szCs w:val="20"/>
          <w:color w:val="auto"/>
        </w:rPr>
      </w:pPr>
      <w:r>
        <w:rPr>
          <w:rFonts w:ascii="Arial" w:cs="Arial" w:eastAsia="Arial" w:hAnsi="Arial"/>
          <w:sz w:val="17"/>
          <w:szCs w:val="17"/>
          <w:color w:val="auto"/>
        </w:rPr>
        <w:t>redemption through operation of the sinking fund (expressed as percentages of the principal amount) set forth in the table below, and (2) at any time [if</w:t>
      </w:r>
    </w:p>
    <w:p>
      <w:pPr>
        <w:spacing w:after="0" w:line="21" w:lineRule="exact"/>
        <w:rPr>
          <w:sz w:val="20"/>
          <w:szCs w:val="20"/>
          <w:color w:val="auto"/>
        </w:rPr>
      </w:pPr>
    </w:p>
    <w:p>
      <w:pPr>
        <w:ind w:right="60"/>
        <w:spacing w:after="0" w:line="396" w:lineRule="auto"/>
        <w:rPr>
          <w:sz w:val="20"/>
          <w:szCs w:val="20"/>
          <w:color w:val="auto"/>
        </w:rPr>
      </w:pPr>
      <w:r>
        <w:rPr>
          <w:rFonts w:ascii="Arial" w:cs="Arial" w:eastAsia="Arial" w:hAnsi="Arial"/>
          <w:sz w:val="17"/>
          <w:szCs w:val="17"/>
          <w:color w:val="auto"/>
        </w:rPr>
        <w:t>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beginning</w:t>
      </w:r>
      <w:r>
        <w:rPr>
          <w:sz w:val="20"/>
          <w:szCs w:val="20"/>
          <w:color w:val="auto"/>
        </w:rPr>
        <w:tab/>
      </w:r>
      <w:r>
        <w:rPr>
          <w:rFonts w:ascii="Arial" w:cs="Arial" w:eastAsia="Arial" w:hAnsi="Arial"/>
          <w:sz w:val="18"/>
          <w:szCs w:val="18"/>
          <w:color w:val="auto"/>
        </w:rPr>
        <w:t>of the years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2" w:name="page123"/>
    <w:bookmarkEnd w:id="122"/>
    <w:tbl>
      <w:tblPr>
        <w:tblLayout w:type="fixed"/>
        <w:tblInd w:w="13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1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 Otherwise</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5440" w:type="dxa"/>
            <w:vAlign w:val="bottom"/>
            <w:gridSpan w:val="2"/>
          </w:tcPr>
          <w:p>
            <w:pPr>
              <w:jc w:val="center"/>
              <w:ind w:left="3328"/>
              <w:spacing w:after="0" w:line="149" w:lineRule="exact"/>
              <w:rPr>
                <w:sz w:val="20"/>
                <w:szCs w:val="20"/>
                <w:color w:val="auto"/>
              </w:rPr>
            </w:pPr>
            <w:r>
              <w:rPr>
                <w:rFonts w:ascii="Arial" w:cs="Arial" w:eastAsia="Arial" w:hAnsi="Arial"/>
                <w:sz w:val="14"/>
                <w:szCs w:val="14"/>
                <w:b w:val="1"/>
                <w:bCs w:val="1"/>
                <w:color w:val="auto"/>
                <w:w w:val="94"/>
              </w:rPr>
              <w:t>Redemption Through Operation</w:t>
            </w:r>
          </w:p>
        </w:tc>
        <w:tc>
          <w:tcPr>
            <w:tcW w:w="2940" w:type="dxa"/>
            <w:vAlign w:val="bottom"/>
            <w:gridSpan w:val="2"/>
          </w:tcPr>
          <w:p>
            <w:pPr>
              <w:jc w:val="center"/>
              <w:ind w:left="1268"/>
              <w:spacing w:after="0" w:line="149" w:lineRule="exact"/>
              <w:rPr>
                <w:sz w:val="20"/>
                <w:szCs w:val="20"/>
                <w:color w:val="auto"/>
              </w:rPr>
            </w:pPr>
            <w:r>
              <w:rPr>
                <w:rFonts w:ascii="Arial" w:cs="Arial" w:eastAsia="Arial" w:hAnsi="Arial"/>
                <w:sz w:val="14"/>
                <w:szCs w:val="14"/>
                <w:b w:val="1"/>
                <w:bCs w:val="1"/>
                <w:color w:val="auto"/>
                <w:w w:val="95"/>
              </w:rPr>
              <w:t>Than Through Operation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the Sinking Fund</w:t>
            </w:r>
          </w:p>
        </w:tc>
        <w:tc>
          <w:tcPr>
            <w:tcW w:w="13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the Sinking Fund</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40"/>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applicable, insert — Notwithstanding the foregoing, the Company may not, prior to ,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[If applicable, insert — The sinking fund for this series provides for the redemption on in each year beginning with the year and ending with the year of [if applicable, insert — not less than $ (“mandatory sinking fund”) and not more than] $ aggregate principal amount of</w:t>
      </w:r>
    </w:p>
    <w:p>
      <w:pPr>
        <w:spacing w:after="0" w:line="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19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the Security is subject to conversion, insert — Subject to the provisions of the Indenture, the Holder has the right to convert the principal amount of this Security into fully paid and nonassessable shares of Common Stock of the Company at the initial conversion price per share of Common Stock of</w:t>
      </w:r>
    </w:p>
    <w:p>
      <w:pPr>
        <w:jc w:val="both"/>
        <w:spacing w:after="0" w:line="255" w:lineRule="auto"/>
        <w:rPr>
          <w:sz w:val="20"/>
          <w:szCs w:val="20"/>
          <w:color w:val="auto"/>
        </w:rPr>
      </w:pPr>
      <w:r>
        <w:rPr>
          <w:rFonts w:ascii="Arial" w:cs="Arial" w:eastAsia="Arial" w:hAnsi="Arial"/>
          <w:sz w:val="18"/>
          <w:szCs w:val="18"/>
          <w:color w:val="auto"/>
        </w:rPr>
        <w:t>$ (or $ in principal amount of Securities for each 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w:t>
      </w:r>
    </w:p>
    <w:p>
      <w:pPr>
        <w:spacing w:after="0" w:line="19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indebtedness evidenced by this Security is, to the extent provided in the Indenture, subordinate and subject in right of payment to the prior payment in full of all Senior Debt of the Company, and this Security is issued subject to the provisions of the Indenture with respect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53" w:right="239" w:bottom="1440" w:gutter="0" w:footer="0" w:header="0"/>
        </w:sectPr>
      </w:pPr>
    </w:p>
    <w:bookmarkStart w:id="123" w:name="page124"/>
    <w:bookmarkEnd w:id="123"/>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24"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24" w:name="page125"/>
    <w:bookmarkEnd w:id="124"/>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[if applicable, insert — and to convert this Security in accordance with its terms].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204. [Intentionally Omitted]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8"/>
          <w:szCs w:val="18"/>
          <w:b w:val="1"/>
          <w:bCs w:val="1"/>
          <w:u w:val="single" w:color="auto"/>
          <w:color w:val="auto"/>
        </w:rPr>
        <w:t>Form of Legend for Global Securities.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u w:val="single" w:color="auto"/>
          <w:color w:val="auto"/>
        </w:rPr>
        <w:t>Form of Trustee’s Certificate of Authentication.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003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2143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Officer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b w:val="1"/>
          <w:bCs w:val="1"/>
          <w:u w:val="single" w:color="auto"/>
          <w:color w:val="auto"/>
        </w:rPr>
        <w:t>Form of Conversion Notice.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convertible Security shall have attached thereto, or set forth on the reverse of the Security, a notice of conversion in substantially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Notice</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ClearOne, Inc.</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owner of this Security hereby: (i) irrevocably exercises the option to convert this Security, or the portion hereof below designated, for shares of Common Stock of ClearOne, Inc.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Fill in for registration of shares if to be delivered, and of Securities if to be issued, otherwise than to and in the name of the registered holder. 18</w:t>
      </w:r>
    </w:p>
    <w:p>
      <w:pPr>
        <w:sectPr>
          <w:pgSz w:w="11900" w:h="16838" w:orient="portrait"/>
          <w:cols w:equalWidth="0" w:num="1">
            <w:col w:w="11400"/>
          </w:cols>
          <w:pgMar w:left="240" w:top="270" w:right="259" w:bottom="1440" w:gutter="0" w:footer="0" w:header="0"/>
        </w:sectPr>
      </w:pPr>
    </w:p>
    <w:bookmarkStart w:id="126" w:name="page127"/>
    <w:bookmarkEnd w:id="126"/>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Social Security or other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2670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2670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 (if less than 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Participant in a recognized Signature Guarantee Medallion Program (or other signature acceptable to the Trustee).</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u w:val="single" w:color="auto"/>
          <w:color w:val="auto"/>
        </w:rPr>
        <w:t>Amount Unlimited; Issuable in Series.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1" w:lineRule="exact"/>
        <w:rPr>
          <w:sz w:val="20"/>
          <w:szCs w:val="20"/>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change to the subordination provisions which applies to the Securities of the series from those contained in Article Twelve with respect to the Securities and the definitions of Senior Debt and Designated Senior Debt which shall apply to the Securities of the series;</w:t>
      </w:r>
    </w:p>
    <w:p>
      <w:pPr>
        <w:spacing w:after="0" w:line="170"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4" w:right="319" w:bottom="1440" w:gutter="0" w:footer="0" w:header="0"/>
        </w:sectPr>
      </w:pPr>
    </w:p>
    <w:bookmarkStart w:id="127" w:name="page128"/>
    <w:bookmarkEnd w:id="127"/>
    <w:p>
      <w:pPr>
        <w:ind w:left="-20" w:right="240" w:firstLine="464"/>
        <w:spacing w:after="0" w:line="277" w:lineRule="auto"/>
        <w:tabs>
          <w:tab w:leader="none" w:pos="691"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ind w:left="-20" w:right="100" w:firstLine="464"/>
        <w:spacing w:after="0" w:line="342" w:lineRule="auto"/>
        <w:tabs>
          <w:tab w:leader="none" w:pos="6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ind w:left="-20" w:right="260" w:firstLine="464"/>
        <w:spacing w:after="0" w:line="264" w:lineRule="auto"/>
        <w:tabs>
          <w:tab w:leader="none" w:pos="69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ind w:left="-20" w:right="20" w:firstLine="464"/>
        <w:spacing w:after="0" w:line="264" w:lineRule="auto"/>
        <w:tabs>
          <w:tab w:leader="none" w:pos="7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780" w:hanging="336"/>
        <w:spacing w:after="0"/>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 issuable;</w:t>
      </w:r>
    </w:p>
    <w:p>
      <w:pPr>
        <w:spacing w:after="0" w:line="248" w:lineRule="exact"/>
        <w:rPr>
          <w:rFonts w:ascii="Arial" w:cs="Arial" w:eastAsia="Arial" w:hAnsi="Arial"/>
          <w:sz w:val="16"/>
          <w:szCs w:val="16"/>
          <w:color w:val="auto"/>
        </w:rPr>
      </w:pPr>
    </w:p>
    <w:p>
      <w:pPr>
        <w:ind w:left="-20" w:right="20" w:firstLine="464"/>
        <w:spacing w:after="0" w:line="277" w:lineRule="auto"/>
        <w:tabs>
          <w:tab w:leader="none" w:pos="7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left="-20" w:right="140" w:firstLine="464"/>
        <w:spacing w:after="0" w:line="264" w:lineRule="auto"/>
        <w:tabs>
          <w:tab w:leader="none" w:pos="7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81" w:lineRule="exact"/>
        <w:rPr>
          <w:rFonts w:ascii="Arial" w:cs="Arial" w:eastAsia="Arial" w:hAnsi="Arial"/>
          <w:sz w:val="18"/>
          <w:szCs w:val="18"/>
          <w:color w:val="auto"/>
        </w:rPr>
      </w:pPr>
    </w:p>
    <w:p>
      <w:pPr>
        <w:ind w:left="-20" w:firstLine="464"/>
        <w:spacing w:after="0" w:line="302" w:lineRule="auto"/>
        <w:tabs>
          <w:tab w:leader="none" w:pos="7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54" w:lineRule="exact"/>
        <w:rPr>
          <w:rFonts w:ascii="Arial" w:cs="Arial" w:eastAsia="Arial" w:hAnsi="Arial"/>
          <w:sz w:val="16"/>
          <w:szCs w:val="16"/>
          <w:color w:val="auto"/>
        </w:rPr>
      </w:pPr>
    </w:p>
    <w:p>
      <w:pPr>
        <w:ind w:left="-20" w:right="320" w:firstLine="464"/>
        <w:spacing w:after="0" w:line="277" w:lineRule="auto"/>
        <w:tabs>
          <w:tab w:leader="none" w:pos="7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4" w:right="239" w:bottom="1440" w:gutter="0" w:footer="0" w:header="0"/>
        </w:sectPr>
      </w:pPr>
    </w:p>
    <w:bookmarkStart w:id="128" w:name="page129"/>
    <w:bookmarkEnd w:id="128"/>
    <w:p>
      <w:pPr>
        <w:ind w:right="40" w:firstLine="464"/>
        <w:spacing w:after="0" w:line="257" w:lineRule="auto"/>
        <w:tabs>
          <w:tab w:leader="none" w:pos="801"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right="160" w:firstLine="464"/>
        <w:spacing w:after="0" w:line="342" w:lineRule="auto"/>
        <w:tabs>
          <w:tab w:leader="none" w:pos="8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applicable, that the Securities of the series, in whole or any specified part, shall be defeasible pursuant to Section 1502 or Section 1503 or both such Sections and, if other than by a Board Resolution, the manner in which any election by the Company to defease such Securities shall be evidenced;</w:t>
      </w:r>
    </w:p>
    <w:p>
      <w:pPr>
        <w:spacing w:after="0" w:line="123" w:lineRule="exact"/>
        <w:rPr>
          <w:rFonts w:ascii="Arial" w:cs="Arial" w:eastAsia="Arial" w:hAnsi="Arial"/>
          <w:sz w:val="16"/>
          <w:szCs w:val="16"/>
          <w:color w:val="auto"/>
        </w:rPr>
      </w:pPr>
    </w:p>
    <w:p>
      <w:pPr>
        <w:ind w:firstLine="464"/>
        <w:spacing w:after="0" w:line="276" w:lineRule="auto"/>
        <w:tabs>
          <w:tab w:leader="none" w:pos="8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205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72" w:lineRule="exact"/>
        <w:rPr>
          <w:rFonts w:ascii="Arial" w:cs="Arial" w:eastAsia="Arial" w:hAnsi="Arial"/>
          <w:sz w:val="17"/>
          <w:szCs w:val="17"/>
          <w:color w:val="auto"/>
        </w:rPr>
      </w:pPr>
    </w:p>
    <w:p>
      <w:pPr>
        <w:ind w:right="300" w:firstLine="464"/>
        <w:spacing w:after="0" w:line="277" w:lineRule="auto"/>
        <w:tabs>
          <w:tab w:leader="none" w:pos="8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Ten which applies to Securities of the series;</w:t>
      </w:r>
    </w:p>
    <w:p>
      <w:pPr>
        <w:spacing w:after="0" w:line="225" w:lineRule="exact"/>
        <w:rPr>
          <w:rFonts w:ascii="Arial" w:cs="Arial" w:eastAsia="Arial" w:hAnsi="Arial"/>
          <w:sz w:val="18"/>
          <w:szCs w:val="18"/>
          <w:color w:val="auto"/>
        </w:rPr>
      </w:pPr>
    </w:p>
    <w:p>
      <w:pPr>
        <w:ind w:right="140" w:firstLine="464"/>
        <w:spacing w:after="0" w:line="277" w:lineRule="auto"/>
        <w:tabs>
          <w:tab w:leader="none" w:pos="8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Capital Stock (or cash in lieu thereof) and, if so, the terms and conditions upon which such conversion will be effected; and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 Section 901(5)).</w:t>
      </w:r>
    </w:p>
    <w:p>
      <w:pPr>
        <w:spacing w:after="0" w:line="24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shall be subordinated in right of payment to Senior Debt of the Company as provided in Article Twelve.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u w:val="single" w:color="auto"/>
          <w:color w:val="auto"/>
        </w:rPr>
        <w:t>Denominations.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b w:val="1"/>
          <w:bCs w:val="1"/>
          <w:u w:val="single" w:color="auto"/>
          <w:color w:val="auto"/>
        </w:rPr>
        <w:t>Execution, Authentication, Delivery and Dating.</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of Directors, its Vice Chairman of the Board of Directors, its President or one of its Vice Presidents. If its corporate seal is reproduced thereon, then it shall be attested by its Secretary or one of its Assistant Secretaries. The signature of any of these officers on the Securities may be manual or facsimile.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93" w:lineRule="exact"/>
        <w:rPr>
          <w:sz w:val="20"/>
          <w:szCs w:val="20"/>
          <w:color w:val="auto"/>
        </w:rPr>
      </w:pPr>
    </w:p>
    <w:p>
      <w:pPr>
        <w:ind w:right="620" w:firstLine="464"/>
        <w:spacing w:after="0" w:line="277" w:lineRule="auto"/>
        <w:tabs>
          <w:tab w:leader="none" w:pos="7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201, that such form has been established in conformity with the provisions of this Indenture;</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301,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right="160" w:firstLine="464"/>
        <w:spacing w:after="0" w:line="259" w:lineRule="auto"/>
        <w:tabs>
          <w:tab w:leader="none" w:pos="71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130" w:name="page131"/>
    <w:bookmarkEnd w:id="130"/>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b w:val="1"/>
          <w:bCs w:val="1"/>
          <w:u w:val="single" w:color="auto"/>
          <w:color w:val="auto"/>
        </w:rPr>
        <w:t>Temporary Securities.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with such appropriate insertions, omissions, substitutions and other variations as the officers executing such Securities may determine, as evidenced by their execution of such Securities.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b w:val="1"/>
          <w:bCs w:val="1"/>
          <w:u w:val="single" w:color="auto"/>
          <w:color w:val="auto"/>
        </w:rPr>
        <w:t>Registration, Registration of Transfer and Exchange.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otherwise not involving any transfer.</w:t>
      </w:r>
    </w:p>
    <w:p>
      <w:pPr>
        <w:spacing w:after="0" w:line="181"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clauses (1), (2), (3) and (4) below shall apply only to Global Securities:</w:t>
      </w:r>
    </w:p>
    <w:p>
      <w:pPr>
        <w:spacing w:after="0" w:line="225" w:lineRule="exact"/>
        <w:rPr>
          <w:sz w:val="20"/>
          <w:szCs w:val="20"/>
          <w:color w:val="auto"/>
        </w:rPr>
      </w:pPr>
    </w:p>
    <w:p>
      <w:pPr>
        <w:ind w:right="60" w:firstLine="464"/>
        <w:spacing w:after="0" w:line="264" w:lineRule="auto"/>
        <w:tabs>
          <w:tab w:leader="none" w:pos="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ind w:firstLine="464"/>
        <w:spacing w:after="0" w:line="286" w:lineRule="auto"/>
        <w:tabs>
          <w:tab w:leader="none" w:pos="711"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w:t>
      </w:r>
    </w:p>
    <w:p>
      <w:pPr>
        <w:spacing w:after="0" w:line="1" w:lineRule="exact"/>
        <w:rPr>
          <w:rFonts w:ascii="Arial" w:cs="Arial" w:eastAsia="Arial" w:hAnsi="Arial"/>
          <w:sz w:val="16"/>
          <w:szCs w:val="16"/>
          <w:color w:val="auto"/>
        </w:rPr>
      </w:pPr>
    </w:p>
    <w:p>
      <w:pPr>
        <w:ind w:right="20" w:firstLine="8"/>
        <w:spacing w:after="0" w:line="255" w:lineRule="auto"/>
        <w:tabs>
          <w:tab w:leader="none" w:pos="2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such Global Security and the Depositary shall have notified the Trustee of its decision to exchange such Global Security for Securities in certificated form or (C) there shall exist such circumstances, if any, in addition to or in lieu of the foregoing as have been specified for this purpose as contemplated by Section 301.</w:t>
      </w:r>
    </w:p>
    <w:p>
      <w:pPr>
        <w:spacing w:after="0" w:line="190" w:lineRule="exact"/>
        <w:rPr>
          <w:rFonts w:ascii="Arial" w:cs="Arial" w:eastAsia="Arial" w:hAnsi="Arial"/>
          <w:sz w:val="18"/>
          <w:szCs w:val="18"/>
          <w:color w:val="auto"/>
        </w:rPr>
      </w:pPr>
    </w:p>
    <w:p>
      <w:pPr>
        <w:ind w:right="320" w:firstLine="464"/>
        <w:spacing w:after="0" w:line="342" w:lineRule="auto"/>
        <w:tabs>
          <w:tab w:leader="none" w:pos="711" w:val="left"/>
        </w:tabs>
        <w:numPr>
          <w:ilvl w:val="1"/>
          <w:numId w:val="91"/>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23" w:lineRule="exact"/>
        <w:rPr>
          <w:rFonts w:ascii="Arial" w:cs="Arial" w:eastAsia="Arial" w:hAnsi="Arial"/>
          <w:sz w:val="16"/>
          <w:szCs w:val="16"/>
          <w:color w:val="auto"/>
        </w:rPr>
      </w:pPr>
    </w:p>
    <w:p>
      <w:pPr>
        <w:ind w:firstLine="464"/>
        <w:spacing w:after="0" w:line="286" w:lineRule="auto"/>
        <w:tabs>
          <w:tab w:leader="none" w:pos="711"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u w:val="single" w:color="auto"/>
          <w:color w:val="auto"/>
        </w:rPr>
        <w:t>Mutilated, Destroyed, Lost and Stolen Securities.</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133" w:name="page134"/>
    <w:bookmarkEnd w:id="133"/>
    <w:p>
      <w:pPr>
        <w:jc w:val="cente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u w:val="single" w:color="auto"/>
          <w:color w:val="auto"/>
        </w:rPr>
        <w:t>Payment of Interest; Interest Rights Preserved.</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ind w:right="40" w:firstLine="464"/>
        <w:spacing w:after="0" w:line="287" w:lineRule="auto"/>
        <w:tabs>
          <w:tab w:leader="none" w:pos="71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34" w:name="page135"/>
    <w:bookmarkEnd w:id="134"/>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81" w:lineRule="exact"/>
        <w:rPr>
          <w:sz w:val="20"/>
          <w:szCs w:val="20"/>
          <w:color w:val="auto"/>
        </w:rPr>
      </w:pPr>
    </w:p>
    <w:p>
      <w:pPr>
        <w:ind w:right="200" w:firstLine="464"/>
        <w:spacing w:after="0" w:line="312" w:lineRule="auto"/>
        <w:tabs>
          <w:tab w:leader="none" w:pos="71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b w:val="1"/>
          <w:bCs w:val="1"/>
          <w:u w:val="single" w:color="auto"/>
          <w:color w:val="auto"/>
        </w:rPr>
        <w:t>Persons Deemed Owners.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b w:val="1"/>
          <w:bCs w:val="1"/>
          <w:u w:val="single" w:color="auto"/>
          <w:color w:val="auto"/>
        </w:rPr>
        <w:t>Cancellation.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 Company Order.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b w:val="1"/>
          <w:bCs w:val="1"/>
          <w:u w:val="single" w:color="auto"/>
          <w:color w:val="auto"/>
        </w:rPr>
        <w:t>Computation of Interest.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b w:val="1"/>
          <w:bCs w:val="1"/>
          <w:u w:val="single" w:color="auto"/>
          <w:color w:val="auto"/>
        </w:rPr>
        <w:t>Satisfaction and Discharge of Indenture.</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conversion, registration of transfer or exchange of Securities herein expressly provided for) with respect to the Securities of any series, and the Trustee, at the expense of the Company, shall execute proper instruments acknowledging satisfaction and discharge of this Indenture, when</w:t>
      </w:r>
    </w:p>
    <w:p>
      <w:pPr>
        <w:spacing w:after="0" w:line="181" w:lineRule="exact"/>
        <w:rPr>
          <w:sz w:val="20"/>
          <w:szCs w:val="20"/>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20" w:firstLine="443"/>
        <w:spacing w:after="0" w:line="259" w:lineRule="auto"/>
        <w:tabs>
          <w:tab w:leader="none" w:pos="1193"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78" w:lineRule="exact"/>
        <w:rPr>
          <w:rFonts w:ascii="Arial" w:cs="Arial" w:eastAsia="Arial" w:hAnsi="Arial"/>
          <w:sz w:val="18"/>
          <w:szCs w:val="18"/>
          <w:color w:val="auto"/>
        </w:rPr>
      </w:pPr>
    </w:p>
    <w:p>
      <w:pPr>
        <w:ind w:left="1180" w:hanging="277"/>
        <w:spacing w:after="0"/>
        <w:tabs>
          <w:tab w:leader="none" w:pos="11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20" w:firstLine="421"/>
        <w:spacing w:after="0" w:line="297" w:lineRule="auto"/>
        <w:tabs>
          <w:tab w:leader="none" w:pos="1655" w:val="left"/>
        </w:tabs>
        <w:numPr>
          <w:ilvl w:val="2"/>
          <w:numId w:val="94"/>
        </w:numPr>
        <w:rPr>
          <w:rFonts w:ascii="Arial" w:cs="Arial" w:eastAsia="Arial" w:hAnsi="Arial"/>
          <w:sz w:val="16"/>
          <w:szCs w:val="16"/>
          <w:color w:val="auto"/>
        </w:rPr>
      </w:pPr>
      <w:r>
        <w:rPr>
          <w:rFonts w:ascii="Arial" w:cs="Arial" w:eastAsia="Arial" w:hAnsi="Arial"/>
          <w:sz w:val="16"/>
          <w:szCs w:val="16"/>
          <w:color w:val="auto"/>
        </w:rPr>
        <w:t>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402. </w:t>
      </w:r>
      <w:r>
        <w:rPr>
          <w:rFonts w:ascii="Arial" w:cs="Arial" w:eastAsia="Arial" w:hAnsi="Arial"/>
          <w:sz w:val="18"/>
          <w:szCs w:val="18"/>
          <w:b w:val="1"/>
          <w:bCs w:val="1"/>
          <w:u w:val="single" w:color="auto"/>
          <w:color w:val="auto"/>
        </w:rPr>
        <w:t>Application of Trust Money.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b w:val="1"/>
          <w:bCs w:val="1"/>
          <w:u w:val="single" w:color="auto"/>
          <w:color w:val="auto"/>
        </w:rPr>
        <w:t>Events of Default.</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“Event of Default”, wherever used herein with respect to Securities of any series, means any one of the following events (whatever the reason for such Event of Default and whether it shall be occasioned by the provisions of Article Twelve or be voluntary or involuntary or be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ind w:right="460" w:firstLine="464"/>
        <w:spacing w:after="0" w:line="277"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or</w:t>
      </w:r>
    </w:p>
    <w:p>
      <w:pPr>
        <w:spacing w:after="0" w:line="225" w:lineRule="exact"/>
        <w:rPr>
          <w:rFonts w:ascii="Arial" w:cs="Arial" w:eastAsia="Arial" w:hAnsi="Arial"/>
          <w:sz w:val="18"/>
          <w:szCs w:val="18"/>
          <w:color w:val="auto"/>
        </w:rPr>
      </w:pPr>
    </w:p>
    <w:p>
      <w:pPr>
        <w:ind w:right="20" w:firstLine="464"/>
        <w:spacing w:after="0" w:line="255"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3"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or any Significant Subsidiary in an involuntary case or proceeding under any applicable Federal or State bankruptcy, insolvency, reorganization or other similar law or (B) a decree or order adjudging the Company or any Significant Subsidiary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137" w:name="page138"/>
    <w:bookmarkEnd w:id="137"/>
    <w:p>
      <w:pPr>
        <w:ind w:right="4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bankrupt or insolvent, or approving as properly filed a petition seeking reorganization, arrangement, adjustment or composition of or in respect of the Company or any Significant Subsidiary under any applicable Federal or State law, or appointing a custodian, receiver, liquidator, assignee, trustee, sequestrator or other similar official of the Company or any Significant or of any substantial part of its or their property, or ordering the winding up or liquidation of its or their affairs, and the continuance of any such decree or order for relief or any such other decree or order unstayed and in effect for a period of 60 consecutive days; or</w:t>
      </w:r>
    </w:p>
    <w:p>
      <w:pPr>
        <w:spacing w:after="0" w:line="188" w:lineRule="exact"/>
        <w:rPr>
          <w:sz w:val="20"/>
          <w:szCs w:val="20"/>
          <w:color w:val="auto"/>
        </w:rPr>
      </w:pPr>
    </w:p>
    <w:p>
      <w:pPr>
        <w:ind w:left="720" w:hanging="256"/>
        <w:spacing w:after="0"/>
        <w:tabs>
          <w:tab w:leader="none" w:pos="7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commencement by the Company or any Significant Subsidiary of a voluntary case or proceeding under any applicable Federal or State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bankruptcy, insolvency, reorganization or other similar law or of any other case or proceeding to be adjudicated a bankrupt or insolvent, or the consent by it or them to the entry of a decree or order for relief in respect of the Company or any Significant Subsidiary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or any Significant Subsidiary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or any Significant Subsidiary in furtherance of any such action; or</w:t>
      </w:r>
    </w:p>
    <w:p>
      <w:pPr>
        <w:spacing w:after="0" w:line="170" w:lineRule="exact"/>
        <w:rPr>
          <w:rFonts w:ascii="Arial" w:cs="Arial" w:eastAsia="Arial" w:hAnsi="Arial"/>
          <w:sz w:val="17"/>
          <w:szCs w:val="17"/>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b w:val="1"/>
          <w:bCs w:val="1"/>
          <w:u w:val="single" w:color="auto"/>
          <w:color w:val="auto"/>
        </w:rPr>
        <w:t>Acceleration of Maturity; Rescission and Annulment.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an Event of Default (other than an Event of Default with respect to the Company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with respect to the Company specified in Section 501(6) or 501 (7)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38" w:name="page139"/>
    <w:bookmarkEnd w:id="138"/>
    <w:p>
      <w:pPr>
        <w:ind w:right="4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7" w:lineRule="exact"/>
        <w:rPr>
          <w:sz w:val="20"/>
          <w:szCs w:val="20"/>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8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1180" w:hanging="277"/>
        <w:spacing w:after="0"/>
        <w:tabs>
          <w:tab w:leader="none" w:pos="11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or rates prescribed therefor in such Securities,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60" w:right="100" w:firstLine="443"/>
        <w:spacing w:after="0" w:line="277" w:lineRule="auto"/>
        <w:tabs>
          <w:tab w:leader="none" w:pos="119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right="440" w:firstLine="464"/>
        <w:spacing w:after="0" w:line="27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b w:val="1"/>
          <w:bCs w:val="1"/>
          <w:u w:val="single" w:color="auto"/>
          <w:color w:val="auto"/>
        </w:rPr>
        <w:t>Collection of Indebtedness and Suits for Enforcement by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80" w:firstLine="464"/>
        <w:spacing w:after="0" w:line="277"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39" w:name="page140"/>
    <w:bookmarkEnd w:id="139"/>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b w:val="1"/>
          <w:bCs w:val="1"/>
          <w:u w:val="single" w:color="auto"/>
          <w:color w:val="auto"/>
        </w:rPr>
        <w:t>Trustee May File Proofs of Claim.</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case of any judicial proceeding relative to the Company or any other obligor upon the Securities, or the property or creditors of the Company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b w:val="1"/>
          <w:bCs w:val="1"/>
          <w:u w:val="single" w:color="auto"/>
          <w:color w:val="auto"/>
        </w:rPr>
        <w:t>Trustee May Enforce Claims Without Possession of Securities.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b w:val="1"/>
          <w:bCs w:val="1"/>
          <w:u w:val="single" w:color="auto"/>
          <w:color w:val="auto"/>
        </w:rPr>
        <w:t>Application of Money Collected.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607; and</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SECOND: Subject to Article Twelve,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b w:val="1"/>
          <w:bCs w:val="1"/>
          <w:u w:val="single" w:color="auto"/>
          <w:color w:val="auto"/>
        </w:rPr>
        <w:t>Limitation on Suits.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720" w:hanging="256"/>
        <w:spacing w:after="0"/>
        <w:tabs>
          <w:tab w:leader="none" w:pos="7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236"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b w:val="1"/>
          <w:bCs w:val="1"/>
          <w:u w:val="single" w:color="auto"/>
          <w:color w:val="auto"/>
        </w:rPr>
        <w:t>Unconditional Right of Holders to Receive Principal, Premium and Interest.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offer by the Company to purchase the Securities pursuant to the terms of this Indenture, on the Redemption Date or purchase date, as applicable) and to institute suit for the enforcement of any such payment, and such rights shall not be impaired without the consent of such Holder.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0" w:right="2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509. </w:t>
      </w:r>
      <w:r>
        <w:rPr>
          <w:rFonts w:ascii="Arial" w:cs="Arial" w:eastAsia="Arial" w:hAnsi="Arial"/>
          <w:sz w:val="18"/>
          <w:szCs w:val="18"/>
          <w:b w:val="1"/>
          <w:bCs w:val="1"/>
          <w:u w:val="single" w:color="auto"/>
          <w:color w:val="auto"/>
        </w:rPr>
        <w:t>Restoration of Rights and Remedies.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b w:val="1"/>
          <w:bCs w:val="1"/>
          <w:u w:val="single" w:color="auto"/>
          <w:color w:val="auto"/>
        </w:rPr>
        <w:t>Rights and Remedies Cumulative.</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b w:val="1"/>
          <w:bCs w:val="1"/>
          <w:u w:val="single" w:color="auto"/>
          <w:color w:val="auto"/>
        </w:rPr>
        <w:t>Delay or Omission Not Waiver.</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u w:val="single" w:color="auto"/>
          <w:color w:val="auto"/>
        </w:rPr>
        <w:t>Control by Holders.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b w:val="1"/>
          <w:bCs w:val="1"/>
          <w:u w:val="single" w:color="auto"/>
          <w:color w:val="auto"/>
        </w:rPr>
        <w:t>Waiver of Past Defaults.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142" w:name="page143"/>
    <w:bookmarkEnd w:id="142"/>
    <w:p>
      <w:pPr>
        <w:ind w:right="100" w:firstLine="464"/>
        <w:spacing w:after="0" w:line="277" w:lineRule="auto"/>
        <w:tabs>
          <w:tab w:leader="none" w:pos="7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payment of the principal of or any premium or interest on any Security of such series (including any Security which is required to have been purchased by the Company pursuant to an offer to purchase by the Company made pursuant to the terms of this Indenture), or</w:t>
      </w:r>
    </w:p>
    <w:p>
      <w:pPr>
        <w:spacing w:after="0" w:line="170"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70"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b w:val="1"/>
          <w:bCs w:val="1"/>
          <w:u w:val="single" w:color="auto"/>
          <w:color w:val="auto"/>
        </w:rPr>
        <w:t>Undertaking for Costs.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b w:val="1"/>
          <w:bCs w:val="1"/>
          <w:u w:val="single" w:color="auto"/>
          <w:color w:val="auto"/>
        </w:rPr>
        <w:t>Waiver of Usury, Stay or Extension Laws.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b w:val="1"/>
          <w:bCs w:val="1"/>
          <w:u w:val="single" w:color="auto"/>
          <w:color w:val="auto"/>
        </w:rPr>
        <w:t>Certain Duties and Responsibilities.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8"/>
          <w:szCs w:val="18"/>
          <w:b w:val="1"/>
          <w:bCs w:val="1"/>
          <w:u w:val="single" w:color="auto"/>
          <w:color w:val="auto"/>
        </w:rPr>
        <w:t>Notice of Defaults.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b w:val="1"/>
          <w:bCs w:val="1"/>
          <w:u w:val="single" w:color="auto"/>
          <w:color w:val="auto"/>
        </w:rPr>
        <w:t>Certain Rights of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601:</w:t>
      </w:r>
    </w:p>
    <w:p>
      <w:pPr>
        <w:spacing w:after="0" w:line="225" w:lineRule="exact"/>
        <w:rPr>
          <w:sz w:val="20"/>
          <w:szCs w:val="20"/>
          <w:color w:val="auto"/>
        </w:rPr>
      </w:pPr>
    </w:p>
    <w:p>
      <w:pPr>
        <w:ind w:firstLine="464"/>
        <w:spacing w:after="0" w:line="264"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1"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0"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ind w:right="40" w:firstLine="464"/>
        <w:spacing w:after="0" w:line="302" w:lineRule="auto"/>
        <w:tabs>
          <w:tab w:leader="none" w:pos="7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54" w:lineRule="exact"/>
        <w:rPr>
          <w:rFonts w:ascii="Arial" w:cs="Arial" w:eastAsia="Arial" w:hAnsi="Arial"/>
          <w:sz w:val="16"/>
          <w:szCs w:val="16"/>
          <w:color w:val="auto"/>
        </w:rPr>
      </w:pPr>
    </w:p>
    <w:p>
      <w:pPr>
        <w:ind w:right="200" w:firstLine="464"/>
        <w:spacing w:after="0" w:line="342" w:lineRule="auto"/>
        <w:tabs>
          <w:tab w:leader="none" w:pos="7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8"/>
          <w:szCs w:val="18"/>
          <w:b w:val="1"/>
          <w:bCs w:val="1"/>
          <w:u w:val="single" w:color="auto"/>
          <w:color w:val="auto"/>
        </w:rPr>
        <w:t>Not Responsible for Recitals or Issuance of Securities.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b w:val="1"/>
          <w:bCs w:val="1"/>
          <w:u w:val="single" w:color="auto"/>
          <w:color w:val="auto"/>
        </w:rPr>
        <w:t>May Hold Securities.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b w:val="1"/>
          <w:bCs w:val="1"/>
          <w:u w:val="single" w:color="auto"/>
          <w:color w:val="auto"/>
        </w:rPr>
        <w:t>Money Held in Trust.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b w:val="1"/>
          <w:bCs w:val="1"/>
          <w:u w:val="single" w:color="auto"/>
          <w:color w:val="auto"/>
        </w:rPr>
        <w:t>Compensation and Reimbursement.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right="60" w:firstLine="464"/>
        <w:spacing w:after="0" w:line="277"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ind w:right="180" w:firstLine="464"/>
        <w:spacing w:after="0" w:line="312" w:lineRule="auto"/>
        <w:tabs>
          <w:tab w:leader="none" w:pos="7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46" w:lineRule="exact"/>
        <w:rPr>
          <w:rFonts w:ascii="Arial" w:cs="Arial" w:eastAsia="Arial" w:hAnsi="Arial"/>
          <w:sz w:val="16"/>
          <w:szCs w:val="16"/>
          <w:color w:val="auto"/>
        </w:rPr>
      </w:pPr>
    </w:p>
    <w:p>
      <w:pPr>
        <w:jc w:val="both"/>
        <w:ind w:right="420" w:firstLine="464"/>
        <w:spacing w:after="0" w:line="286" w:lineRule="auto"/>
        <w:tabs>
          <w:tab w:leader="none" w:pos="7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0" w:right="2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608. </w:t>
      </w:r>
      <w:r>
        <w:rPr>
          <w:rFonts w:ascii="Arial" w:cs="Arial" w:eastAsia="Arial" w:hAnsi="Arial"/>
          <w:sz w:val="18"/>
          <w:szCs w:val="18"/>
          <w:b w:val="1"/>
          <w:bCs w:val="1"/>
          <w:u w:val="single" w:color="auto"/>
          <w:color w:val="auto"/>
        </w:rPr>
        <w:t>Conflicting Interests.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b w:val="1"/>
          <w:bCs w:val="1"/>
          <w:u w:val="single" w:color="auto"/>
          <w:color w:val="auto"/>
        </w:rPr>
        <w:t>Corporate Trustee Required; Eligibility.</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b w:val="1"/>
          <w:bCs w:val="1"/>
          <w:u w:val="single" w:color="auto"/>
          <w:color w:val="auto"/>
        </w:rPr>
        <w:t>Resignation and Removal; Appointment of Successor.</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right="140" w:firstLine="464"/>
        <w:spacing w:after="0" w:line="277"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fail to comply with Section 608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609 and shall fail to resign after written request therefor by the Company or by any such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146" w:name="page147"/>
    <w:bookmarkEnd w:id="146"/>
    <w:p>
      <w:pPr>
        <w:ind w:right="380" w:firstLine="464"/>
        <w:spacing w:after="0" w:line="255"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9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8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b w:val="1"/>
          <w:bCs w:val="1"/>
          <w:u w:val="single" w:color="auto"/>
          <w:color w:val="auto"/>
        </w:rPr>
        <w:t>Acceptance of Appointment by Successor.</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147" w:name="page148"/>
    <w:bookmarkEnd w:id="14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b w:val="1"/>
          <w:bCs w:val="1"/>
          <w:u w:val="single" w:color="auto"/>
          <w:color w:val="auto"/>
        </w:rPr>
        <w:t>Merger, Conversion, Consolidation or Succession to Business.</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Holders of the Securities then outstanding. In case any Securities shall have been authenticated, but not delivered, by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148" w:name="page149"/>
    <w:bookmarkEnd w:id="148"/>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b w:val="1"/>
          <w:bCs w:val="1"/>
          <w:u w:val="single" w:color="auto"/>
          <w:color w:val="auto"/>
        </w:rPr>
        <w:t>Preferential Collection of Claims Against Company.</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b w:val="1"/>
          <w:bCs w:val="1"/>
          <w:u w:val="single" w:color="auto"/>
          <w:color w:val="auto"/>
        </w:rPr>
        <w:t>Appointment of Authenticating Agent.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74" w:right="319" w:bottom="1440" w:gutter="0" w:footer="0" w:header="0"/>
        </w:sectPr>
      </w:pPr>
    </w:p>
    <w:bookmarkStart w:id="149" w:name="page150"/>
    <w:bookmarkEnd w:id="14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0" w:type="dxa"/>
            <w:vAlign w:val="bottom"/>
            <w:gridSpan w:val="2"/>
          </w:tcPr>
          <w:p>
            <w:pPr>
              <w:jc w:val="right"/>
              <w:spacing w:after="0"/>
              <w:rPr>
                <w:sz w:val="20"/>
                <w:szCs w:val="20"/>
                <w:color w:val="auto"/>
              </w:rPr>
            </w:pPr>
            <w:r>
              <w:rPr>
                <w:rFonts w:ascii="Arial" w:cs="Arial" w:eastAsia="Arial" w:hAnsi="Arial"/>
                <w:sz w:val="18"/>
                <w:szCs w:val="18"/>
                <w:color w:val="auto"/>
                <w:w w:val="92"/>
              </w:rPr>
              <w:t>This is one of the Securities of the series designated therein referred to in the within-mentioned Indenture.</w:t>
            </w:r>
          </w:p>
        </w:tc>
      </w:tr>
      <w:tr>
        <w:trPr>
          <w:trHeight w:val="459"/>
        </w:trPr>
        <w:tc>
          <w:tcPr>
            <w:tcW w:w="260" w:type="dxa"/>
            <w:vAlign w:val="bottom"/>
          </w:tcPr>
          <w:p>
            <w:pPr>
              <w:spacing w:after="0"/>
              <w:rPr>
                <w:sz w:val="24"/>
                <w:szCs w:val="24"/>
                <w:color w:val="auto"/>
              </w:rPr>
            </w:pPr>
          </w:p>
        </w:tc>
        <w:tc>
          <w:tcPr>
            <w:tcW w:w="7840" w:type="dxa"/>
            <w:vAlign w:val="bottom"/>
            <w:gridSpan w:val="3"/>
          </w:tcPr>
          <w:p>
            <w:pPr>
              <w:jc w:val="right"/>
              <w:ind w:right="354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As Trustee</w:t>
            </w:r>
          </w:p>
        </w:tc>
        <w:tc>
          <w:tcPr>
            <w:tcW w:w="3620" w:type="dxa"/>
            <w:vAlign w:val="bottom"/>
          </w:tcPr>
          <w:p>
            <w:pPr>
              <w:spacing w:after="0"/>
              <w:rPr>
                <w:sz w:val="19"/>
                <w:szCs w:val="19"/>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7840" w:type="dxa"/>
            <w:vAlign w:val="bottom"/>
            <w:gridSpan w:val="3"/>
          </w:tcPr>
          <w:p>
            <w:pPr>
              <w:jc w:val="right"/>
              <w:ind w:right="354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c>
          <w:tcPr>
            <w:tcW w:w="3620" w:type="dxa"/>
            <w:vAlign w:val="bottom"/>
          </w:tcPr>
          <w:p>
            <w:pPr>
              <w:spacing w:after="0"/>
              <w:rPr>
                <w:sz w:val="19"/>
                <w:szCs w:val="19"/>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7840" w:type="dxa"/>
            <w:vAlign w:val="bottom"/>
            <w:gridSpan w:val="3"/>
          </w:tcPr>
          <w:p>
            <w:pPr>
              <w:jc w:val="right"/>
              <w:ind w:right="354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3620" w:type="dxa"/>
            <w:vAlign w:val="bottom"/>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b w:val="1"/>
          <w:bCs w:val="1"/>
          <w:u w:val="single" w:color="auto"/>
          <w:color w:val="auto"/>
        </w:rPr>
        <w:t>Company to Furnish Trustee Names and Addresses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furnish or cause to be furnished to the Trustee with respect to the Securities of each series:</w:t>
      </w:r>
    </w:p>
    <w:p>
      <w:pPr>
        <w:spacing w:after="0" w:line="225" w:lineRule="exact"/>
        <w:rPr>
          <w:sz w:val="20"/>
          <w:szCs w:val="20"/>
          <w:color w:val="auto"/>
        </w:rPr>
      </w:pPr>
    </w:p>
    <w:p>
      <w:pPr>
        <w:ind w:right="500" w:firstLine="464"/>
        <w:spacing w:after="0" w:line="277"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more than 10 days after each record date with respect to the payment of interest, if any, a list, in such form as the Trustee may reasonably require, of the names and addresses of the Holders of Securities of such series as of such record date, and</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4" w:right="2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from any such list names and addresses received by the Trustee in its capacity as Security Registrar.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b w:val="1"/>
          <w:bCs w:val="1"/>
          <w:u w:val="single" w:color="auto"/>
          <w:color w:val="auto"/>
        </w:rPr>
        <w:t>Preservation of Information; Communications to Holders.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any of them shall be held accountable by reason of any disclosure of information as to names and addresses of Holders made pursuant to the Trust Indenture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b w:val="1"/>
          <w:bCs w:val="1"/>
          <w:u w:val="single" w:color="auto"/>
          <w:color w:val="auto"/>
        </w:rPr>
        <w:t>Reports by Trustee.</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b w:val="1"/>
          <w:bCs w:val="1"/>
          <w:u w:val="single" w:color="auto"/>
          <w:color w:val="auto"/>
        </w:rPr>
        <w:t>Reports by Company.</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b w:val="1"/>
          <w:bCs w:val="1"/>
          <w:u w:val="single" w:color="auto"/>
          <w:color w:val="auto"/>
        </w:rPr>
        <w:t>Company May Consolidate, Etc., Only on Certain Terms.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not, in a single transaction or a series of related transactions, consolidate with or merge into any other Person or permit any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Person to consolidate with or merge into the Company or transfer, convey, sell, lease or otherwise dispose of all or substantially all of its assets, unless:</w:t>
      </w:r>
    </w:p>
    <w:p>
      <w:pPr>
        <w:spacing w:after="0" w:line="222" w:lineRule="exact"/>
        <w:rPr>
          <w:sz w:val="20"/>
          <w:szCs w:val="20"/>
          <w:color w:val="auto"/>
        </w:rPr>
      </w:pPr>
    </w:p>
    <w:p>
      <w:pPr>
        <w:ind w:firstLine="464"/>
        <w:spacing w:after="0" w:line="255"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 transaction in which the Company does not survive or in which the Company transfers, conveys, sells, leases or otherwise disposes of all or substantially all of its assets, the successor entity (for purposes of this Article Eight, a “Successor Company”)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51" w:name="page152"/>
    <w:bookmarkEnd w:id="151"/>
    <w:p>
      <w:pPr>
        <w:ind w:right="20" w:firstLine="464"/>
        <w:spacing w:after="0" w:line="286" w:lineRule="auto"/>
        <w:tabs>
          <w:tab w:leader="none" w:pos="711"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giving pro forma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65" w:lineRule="exact"/>
        <w:rPr>
          <w:rFonts w:ascii="Arial" w:cs="Arial" w:eastAsia="Arial" w:hAnsi="Arial"/>
          <w:sz w:val="17"/>
          <w:szCs w:val="17"/>
          <w:color w:val="auto"/>
        </w:rPr>
      </w:pPr>
    </w:p>
    <w:p>
      <w:pPr>
        <w:ind w:firstLine="464"/>
        <w:spacing w:after="0" w:line="259" w:lineRule="auto"/>
        <w:tabs>
          <w:tab w:leader="none" w:pos="7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conditions provided pursuant to Section 301 with respect to the Securities of a series are satisfied; and</w:t>
      </w:r>
    </w:p>
    <w:p>
      <w:pPr>
        <w:spacing w:after="0" w:line="225" w:lineRule="exact"/>
        <w:rPr>
          <w:rFonts w:ascii="Arial" w:cs="Arial" w:eastAsia="Arial" w:hAnsi="Arial"/>
          <w:sz w:val="18"/>
          <w:szCs w:val="18"/>
          <w:color w:val="auto"/>
        </w:rPr>
      </w:pPr>
    </w:p>
    <w:p>
      <w:pPr>
        <w:ind w:right="100" w:firstLine="464"/>
        <w:spacing w:after="0" w:line="312" w:lineRule="auto"/>
        <w:tabs>
          <w:tab w:leader="none" w:pos="71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SECTION 802. [Intentionally Omitted]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b w:val="1"/>
          <w:bCs w:val="1"/>
          <w:u w:val="single" w:color="auto"/>
          <w:color w:val="auto"/>
        </w:rPr>
        <w:t>Successor Substituted.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transfer, conveyance, sale, lease or other disposition of all or substantially all of the assets of the Company in accordance with Section 801,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NINE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b w:val="1"/>
          <w:bCs w:val="1"/>
          <w:u w:val="single" w:color="auto"/>
          <w:color w:val="auto"/>
        </w:rPr>
        <w:t>Supplemental Indentures Without Consent of Holders.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47" w:lineRule="exact"/>
        <w:rPr>
          <w:sz w:val="20"/>
          <w:szCs w:val="20"/>
          <w:color w:val="auto"/>
        </w:rPr>
      </w:pPr>
    </w:p>
    <w:p>
      <w:pPr>
        <w:ind w:right="220" w:firstLine="464"/>
        <w:spacing w:after="0" w:line="277"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or</w:t>
      </w:r>
    </w:p>
    <w:p>
      <w:pPr>
        <w:spacing w:after="0" w:line="170" w:lineRule="exact"/>
        <w:rPr>
          <w:rFonts w:ascii="Arial" w:cs="Arial" w:eastAsia="Arial" w:hAnsi="Arial"/>
          <w:sz w:val="18"/>
          <w:szCs w:val="18"/>
          <w:color w:val="auto"/>
        </w:rPr>
      </w:pPr>
    </w:p>
    <w:p>
      <w:pPr>
        <w:ind w:right="200" w:firstLine="464"/>
        <w:spacing w:after="0" w:line="264"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right="100" w:firstLine="464"/>
        <w:spacing w:after="0" w:line="264"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ind w:right="260" w:firstLine="464"/>
        <w:spacing w:after="0" w:line="264"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right="20" w:firstLine="464"/>
        <w:spacing w:after="0" w:line="259"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herein which may be defective or inconsistent with any other provision herein; or</w:t>
      </w:r>
    </w:p>
    <w:p>
      <w:pPr>
        <w:spacing w:after="0" w:line="248" w:lineRule="exact"/>
        <w:rPr>
          <w:rFonts w:ascii="Arial" w:cs="Arial" w:eastAsia="Arial" w:hAnsi="Arial"/>
          <w:sz w:val="16"/>
          <w:szCs w:val="16"/>
          <w:color w:val="auto"/>
        </w:rPr>
      </w:pPr>
    </w:p>
    <w:p>
      <w:pPr>
        <w:ind w:left="800" w:hanging="336"/>
        <w:spacing w:after="0"/>
        <w:tabs>
          <w:tab w:leader="none" w:pos="8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to make any other provisions with respect to matters or questions arising under this Indenture, provided that such action pursuant to clause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above shall not adversely affect the interests of the Holders of Securities of any series in any material respect.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0" w:right="2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b w:val="1"/>
          <w:bCs w:val="1"/>
          <w:u w:val="single" w:color="auto"/>
          <w:color w:val="auto"/>
        </w:rPr>
        <w:t>Supplemental Indentures With Consent of Holders.</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58" w:lineRule="exact"/>
        <w:rPr>
          <w:sz w:val="20"/>
          <w:szCs w:val="20"/>
          <w:color w:val="auto"/>
        </w:rPr>
      </w:pPr>
    </w:p>
    <w:p>
      <w:pPr>
        <w:ind w:right="20" w:firstLine="464"/>
        <w:spacing w:after="0" w:line="291" w:lineRule="auto"/>
        <w:tabs>
          <w:tab w:leader="none" w:pos="71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 in the case of an offer to purchase Securities which has been made pursuant to a covenant contained in this Indenture, on or after the applicable purchase date), or modify the provisions of this Indenture with respect to the subordination of the Securities in a manner adverse to the Holders; or</w:t>
      </w:r>
    </w:p>
    <w:p>
      <w:pPr>
        <w:spacing w:after="0" w:line="167" w:lineRule="exact"/>
        <w:rPr>
          <w:rFonts w:ascii="Arial" w:cs="Arial" w:eastAsia="Arial" w:hAnsi="Arial"/>
          <w:sz w:val="16"/>
          <w:szCs w:val="16"/>
          <w:color w:val="auto"/>
        </w:rPr>
      </w:pPr>
    </w:p>
    <w:p>
      <w:pPr>
        <w:ind w:firstLine="464"/>
        <w:spacing w:after="0" w:line="264"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ind w:right="120" w:firstLine="464"/>
        <w:spacing w:after="0" w:line="302" w:lineRule="auto"/>
        <w:tabs>
          <w:tab w:leader="none" w:pos="71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modify any of the provisions of this Section, Section 513 or Section 1009,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1009, or the deletion of this proviso, in accordance with the requirements of Sections 611 and 901(8); or</w:t>
      </w:r>
    </w:p>
    <w:p>
      <w:pPr>
        <w:spacing w:after="0" w:line="154" w:lineRule="exact"/>
        <w:rPr>
          <w:rFonts w:ascii="Arial" w:cs="Arial" w:eastAsia="Arial" w:hAnsi="Arial"/>
          <w:sz w:val="16"/>
          <w:szCs w:val="16"/>
          <w:color w:val="auto"/>
        </w:rPr>
      </w:pPr>
    </w:p>
    <w:p>
      <w:pPr>
        <w:ind w:right="620" w:firstLine="464"/>
        <w:spacing w:after="0" w:line="277"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following the making of an offer to purchase Securities which has been made pursuant to a covenant contained in this Indenture, modify the provisions of this Indenture with respect to such offer to purchase in a manner adverse to such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154" w:name="page155"/>
    <w:bookmarkEnd w:id="15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b w:val="1"/>
          <w:bCs w:val="1"/>
          <w:u w:val="single" w:color="auto"/>
          <w:color w:val="auto"/>
        </w:rPr>
        <w:t>Execution of Supplemental Indentures.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b w:val="1"/>
          <w:bCs w:val="1"/>
          <w:u w:val="single" w:color="auto"/>
          <w:color w:val="auto"/>
        </w:rPr>
        <w:t>Effect of Supplemental Indentures.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b w:val="1"/>
          <w:bCs w:val="1"/>
          <w:u w:val="single" w:color="auto"/>
          <w:color w:val="auto"/>
        </w:rPr>
        <w:t>Conformity with Trust Indenture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b w:val="1"/>
          <w:bCs w:val="1"/>
          <w:u w:val="single" w:color="auto"/>
          <w:color w:val="auto"/>
        </w:rPr>
        <w:t>Reference in Securities to Supplemental Indentures.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such new Securities may be authenticated and delivered by the Trustee in exchange for Outstanding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55" w:name="page156"/>
    <w:bookmarkEnd w:id="155"/>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TEN</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b w:val="1"/>
          <w:bCs w:val="1"/>
          <w:u w:val="single" w:color="auto"/>
          <w:color w:val="auto"/>
        </w:rPr>
        <w:t>Payment of Principal, Premium and Interest.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b w:val="1"/>
          <w:bCs w:val="1"/>
          <w:u w:val="single" w:color="auto"/>
          <w:color w:val="auto"/>
        </w:rPr>
        <w:t>Maintenance of Office or Agency.</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b w:val="1"/>
          <w:bCs w:val="1"/>
          <w:u w:val="single" w:color="auto"/>
          <w:color w:val="auto"/>
        </w:rPr>
        <w:t>Money for Securities Payments to Be Held in Trust.</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0" w:right="299" w:bottom="1440" w:gutter="0" w:footer="0" w:header="0"/>
        </w:sectPr>
      </w:pPr>
    </w:p>
    <w:bookmarkStart w:id="156" w:name="page157"/>
    <w:bookmarkEnd w:id="15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b w:val="1"/>
          <w:bCs w:val="1"/>
          <w:u w:val="single" w:color="auto"/>
          <w:color w:val="auto"/>
        </w:rPr>
        <w:t>Statement by Officers as to Default.</w:t>
      </w:r>
    </w:p>
    <w:p>
      <w:pPr>
        <w:spacing w:after="0" w:line="121" w:lineRule="exact"/>
        <w:rPr>
          <w:sz w:val="20"/>
          <w:szCs w:val="20"/>
          <w:color w:val="auto"/>
        </w:rPr>
      </w:pPr>
    </w:p>
    <w:p>
      <w:pPr>
        <w:ind w:right="120" w:firstLine="464"/>
        <w:spacing w:after="0" w:line="279" w:lineRule="auto"/>
        <w:tabs>
          <w:tab w:leader="none" w:pos="70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will deliver to the Trustee, within 90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1" w:lineRule="exact"/>
        <w:rPr>
          <w:rFonts w:ascii="Arial" w:cs="Arial" w:eastAsia="Arial" w:hAnsi="Arial"/>
          <w:sz w:val="17"/>
          <w:szCs w:val="17"/>
          <w:color w:val="auto"/>
        </w:rPr>
      </w:pPr>
    </w:p>
    <w:p>
      <w:pPr>
        <w:ind w:right="100" w:firstLine="464"/>
        <w:spacing w:after="0" w:line="259" w:lineRule="auto"/>
        <w:tabs>
          <w:tab w:leader="none" w:pos="7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shall deliver to the Trustee, as soon as possible and in any event within five days after the Company becomes aware or should reasonably become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1005. </w:t>
      </w:r>
      <w:r>
        <w:rPr>
          <w:rFonts w:ascii="Arial" w:cs="Arial" w:eastAsia="Arial" w:hAnsi="Arial"/>
          <w:sz w:val="18"/>
          <w:szCs w:val="18"/>
          <w:b w:val="1"/>
          <w:bCs w:val="1"/>
          <w:u w:val="single" w:color="auto"/>
          <w:color w:val="auto"/>
        </w:rPr>
        <w:t>Existence.</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Article Eight,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b w:val="1"/>
          <w:bCs w:val="1"/>
          <w:u w:val="single" w:color="auto"/>
          <w:color w:val="auto"/>
        </w:rPr>
        <w:t>Maintenance of Properties.</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b w:val="1"/>
          <w:bCs w:val="1"/>
          <w:u w:val="single" w:color="auto"/>
          <w:color w:val="auto"/>
        </w:rPr>
        <w:t>Payment of Taxes and Other Claims.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w:t>
      </w:r>
    </w:p>
    <w:p>
      <w:pPr>
        <w:ind w:right="320" w:firstLine="8"/>
        <w:spacing w:after="0" w:line="255"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b w:val="1"/>
          <w:bCs w:val="1"/>
          <w:u w:val="single" w:color="auto"/>
          <w:color w:val="auto"/>
        </w:rPr>
        <w:t>Maintenance of Insurance.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b w:val="1"/>
          <w:bCs w:val="1"/>
          <w:u w:val="single" w:color="auto"/>
          <w:color w:val="auto"/>
        </w:rPr>
        <w:t>Waiver of Certain Covenants.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Except as otherwise specified as contemplated by Section 301 for Securities of such series, the Company may, with respect to the Securities of any series, omit in any particular instance to comply with any term, provision or condition set forth in any of Sections 1006 through 1008 or in any covenant provided pursuant to Section 301(20), 901(2) or 901(7) for the benefit of the Holders of such series if before the time for such compliance the Holders of at least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158" w:name="page159"/>
    <w:bookmarkEnd w:id="158"/>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b w:val="1"/>
          <w:bCs w:val="1"/>
          <w:u w:val="single" w:color="auto"/>
          <w:color w:val="auto"/>
        </w:rPr>
        <w:t>Applicability of Article.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b w:val="1"/>
          <w:bCs w:val="1"/>
          <w:u w:val="single" w:color="auto"/>
          <w:color w:val="auto"/>
        </w:rPr>
        <w:t>Election to Redeem; Notice to Trustee.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b w:val="1"/>
          <w:bCs w:val="1"/>
          <w:u w:val="single" w:color="auto"/>
          <w:color w:val="auto"/>
        </w:rPr>
        <w:t>Selection by Trustee of Securities to Be Redeemed.</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59" w:name="page160"/>
    <w:bookmarkEnd w:id="159"/>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b w:val="1"/>
          <w:bCs w:val="1"/>
          <w:u w:val="single" w:color="auto"/>
          <w:color w:val="auto"/>
        </w:rPr>
        <w:t>Notice of Redemption.</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Defeasance pursuant to Section 1502 or a satisfaction and discharge pursuant to Article Four.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Redemption Price, if then determinable and otherwise the method of its determination,</w:t>
      </w:r>
    </w:p>
    <w:p>
      <w:pPr>
        <w:spacing w:after="0" w:line="225" w:lineRule="exact"/>
        <w:rPr>
          <w:rFonts w:ascii="Arial" w:cs="Arial" w:eastAsia="Arial" w:hAnsi="Arial"/>
          <w:sz w:val="18"/>
          <w:szCs w:val="18"/>
          <w:color w:val="auto"/>
        </w:rPr>
      </w:pPr>
    </w:p>
    <w:p>
      <w:pPr>
        <w:ind w:right="220" w:firstLine="464"/>
        <w:spacing w:after="0" w:line="312" w:lineRule="auto"/>
        <w:tabs>
          <w:tab w:leader="none" w:pos="71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46" w:lineRule="exact"/>
        <w:rPr>
          <w:rFonts w:ascii="Arial" w:cs="Arial" w:eastAsia="Arial" w:hAnsi="Arial"/>
          <w:sz w:val="16"/>
          <w:szCs w:val="16"/>
          <w:color w:val="auto"/>
        </w:rPr>
      </w:pPr>
    </w:p>
    <w:p>
      <w:pPr>
        <w:ind w:right="280" w:firstLine="464"/>
        <w:spacing w:after="0" w:line="277" w:lineRule="auto"/>
        <w:tabs>
          <w:tab w:leader="none" w:pos="7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60" w:name="page161"/>
    <w:bookmarkEnd w:id="160"/>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 of Securities to be redeemed at the election of the Company shall be given by the Company or, at the Company’s request, by the Trustee in the name and at the expense of the Company and shall be irrevocable.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b w:val="1"/>
          <w:bCs w:val="1"/>
          <w:u w:val="single" w:color="auto"/>
          <w:color w:val="auto"/>
        </w:rPr>
        <w:t>Deposit of Redemption Price.</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b w:val="1"/>
          <w:bCs w:val="1"/>
          <w:u w:val="single" w:color="auto"/>
          <w:color w:val="auto"/>
        </w:rPr>
        <w:t>Securities Payable on Redemption Date.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8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b w:val="1"/>
          <w:bCs w:val="1"/>
          <w:u w:val="single" w:color="auto"/>
          <w:color w:val="auto"/>
        </w:rPr>
        <w:t>Securities Redeemed in Part.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TWELVE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b w:val="1"/>
          <w:bCs w:val="1"/>
          <w:u w:val="single" w:color="auto"/>
          <w:color w:val="auto"/>
        </w:rPr>
        <w:t>Applicability of Article.</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Unless otherwise provided with respect to the Securities of any series in or pursuant to the Board Resolution or supplemental indenture establishing such series of Securities pursuant to Section 301, the provisions of this Article shall be applicable to each series of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b w:val="1"/>
          <w:bCs w:val="1"/>
          <w:u w:val="single" w:color="auto"/>
          <w:color w:val="auto"/>
        </w:rPr>
        <w:t>Securities Subordinate to Senior Debt.</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covenants and agrees, and each Holder of a Security, by his acceptance thereof, likewise covenants and agrees, that, to the extent and in the manner hereinafter set forth in this Article (subject to the provisions of Article Four and Article Fifteen), the payment of the principal of (and premium, if any) and interest on each and all of the Securities of such series are hereby expressly made subordinate and subject in right of payment to the prior payment in full of all Senior Debt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provisions of this Article Twelve shall prevent the occurrence of any Event of Default.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b w:val="1"/>
          <w:bCs w:val="1"/>
          <w:u w:val="single" w:color="auto"/>
          <w:color w:val="auto"/>
        </w:rPr>
        <w:t>Payment Over of Proceeds Upon Dissolution, Etc.</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specified in (a), (b) or (c) above (each such event, if any, herein sometimes referred to as a “Proceeding”) the holders of Senior Debt of the Company shall be entitled to receive payment in full of all amounts due or to become due on or in respect of all Senior Debt of the Company, or provision shall be made for such payment in cash or cash equivalents or otherwise in a manner satisfactory to the holders of Senior Debt of the Company,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the Company subordinated to the payment of the Securities, such payment or distribution being hereinafter referred to as a “Junior Subordinated Payment”), on account of principal of (or premium, if any) or interest on the Securities or on account of any purchase or other acquisition of Securities by the Company or any Subsidiary of the Company (all such payments, distributions, purchases and acquisitions, other than the payment or distribution of stock or securities of the Company referred to in the second succeeding paragraph, herein referred to, individually and collectively, as a “Securities Payment”), and to that end the holders of Senior Debt of the Company shall be entitled to receive, for application to the payment thereof, any Securities Payment which may be payable or deliverable in respect of the Securities in any such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0" w:right="259" w:bottom="1440" w:gutter="0" w:footer="0" w:header="0"/>
        </w:sectPr>
      </w:pPr>
    </w:p>
    <w:bookmarkStart w:id="162" w:name="page163"/>
    <w:bookmarkEnd w:id="162"/>
    <w:p>
      <w:pPr>
        <w:ind w:right="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notwithstanding the foregoing provisions of this Section, the Trustee or the Holder of any Security shall have received any Securities Payment before all Senior Debt of the Company is paid in full or payment thereof provided for in cash or cash equivalents or otherwise in a manner satisfactory to the holders of Senior Debt of the Company, and if such fact shall, at or prior to the time of such Securities Payment, have been made known to the Trustee or, as the case may be, such Holder, then and in such event such Securities Payment shall be paid over or delivered forthwith to the trustee in bankruptcy, receiver, liquidating trustee, custodian, assignee, agent or other Person making payment or distribution of assets of the Company for application to the payment of all Senior Debt of the Company remaining unpaid, to the extent necessary to pay all Senior Debt of the Company in full, after giving effect to any concurrent payment or distribution to or for the holders of Senior Debt of the Company.</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purposes of this Article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Debt of the Company to substantially the same extent as the Securities are so subordinated as provided in this Article. The consolidation of the Company with, or the merger of the Company into, another Person or the liquidation or dissolution of the Company following the conveyance or transfer of all or substantially all of its assets to another Person upon the terms and conditions set forth in Article Eight shall not be deemed a Proceeding for the purposes of this Section if the Person formed by such consolidation or into which the Company is merged or the Person which acquires by conveyance or transfer such assets, as the case may be, shall, as a part of such consolidation, merger, conveyance or transfer, comply with the conditions set forth in Article Eight.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b w:val="1"/>
          <w:bCs w:val="1"/>
          <w:u w:val="single" w:color="auto"/>
          <w:color w:val="auto"/>
        </w:rPr>
        <w:t>No Payment When Senior Debt of the Company in Default.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any Senior Payment Default (as defined below) shall have occurred and be continuing, then no Securities Payment shall be made unless and until such Senior Payment Default shall have been cured or waived or shall have ceased to exist or all amounts then due and payable in respect of Senior Debt of the Company shall have been paid in full, or provision shall have been made for such payment in cash or cash equivalents or otherwise in a manner satisfactory to the holders of Senior Debt of the Company; provided, however, that nothing in this Section shall prevent the satisfaction of any sinking fund payment in accordance with Article Sixteen by delivering and crediting pursuant to Section 1602 Securities which have been acquired (upon redemption or otherwise) prior to such Senior Payment Default.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“Senior Payment Default” means any default in the payment of principal of (or premium, if any) or interest on any Senior Debt of the Company when due, whether at the Stated Maturity of any such payment or by declaration of acceleration, call for redemption or otherwise.</w:t>
      </w:r>
    </w:p>
    <w:p>
      <w:pPr>
        <w:spacing w:after="0" w:line="170"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the event that any Senior Nonmonetary Default (as defined below) shall have occurred and be continuing, then, upon the receipt by the Company and the Trustee of written notice of such Senior Nonmonetary Default from the agent for the Designated Senior Debt which is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63" w:name="page164"/>
    <w:bookmarkEnd w:id="16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of such Senior Nonmonetary Default, no Securities Payment shall be made during the period (the “Payment Blockage Period”) commencing on the date of such receipt of such written notice and ending on the earlier of (i) the date on which such Senior Nonmonetary Default shall have been cured or waived or shall have ceased to exist or all Designated Senior Debt the subject of such Senior Nonmonetary Default shall have been discharged; (ii) the 179th day after the date of such receipt of such written notice; or (iii) the date on which the Payment Blockage Period shall have been terminated by written notice to the Company or the Trustee from the agent for the Designated Senior Debt initiating the Payment Blockage Period; provided, however, that nothing in this Section shall prevent the satisfaction of any sinking fund payment in accordance with Article Sixteen by delivering and crediting pursuant to Section 1602 Securities which have been acquired (upon redemption or otherwise) prior to the date of such receipt of such written notice. No more than one Payment Blockage Period may be commenced with respect to the Securities of a particular series during any 360-day period and there shall be a period of at least 181 consecutive days in each 360-day period when no Payment Blockage Period is in effect. For all purposes of this paragraph, no Senior Nonmonetary Default that existed or was continuing on the date of commencement of any Payment Blockage Period shall be, or be made, the basis for the commencement of a subsequent Payment Blockage Period, whether or not within a period of 360 consecutive days, unless such Senior Nonmonetary Default shall have been cured for a period of not less than 90 consecutive days.</w:t>
      </w:r>
    </w:p>
    <w:p>
      <w:pPr>
        <w:spacing w:after="0" w:line="18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“Senior Nonmonetary Default” means the occurrence or existence and continuance of any event of default with respect to any Designated Senior Debt, other than a Senior Payment Default, permitting the holders of such Designated Senior Debt (or a trustee or agent on behalf of the holders thereof) to declare such Designated Senior Debt due and payable prior to the date on which it would otherwise become due and payable.</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the event that, notwithstanding the foregoing, the Company shall make any Securities Payment to the Trustee or any Holder prohibited by the foregoing provisions of this Section, and if such fact shall, at or prior to the time of such Securities Payment, have been made known to the Trustee or, as the case may be, such Holder, then and in such event such Securities Payment shall be paid over and delivered forthwith to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not apply to any Securities Payment with respect to which Section 1203 would be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b w:val="1"/>
          <w:bCs w:val="1"/>
          <w:u w:val="single" w:color="auto"/>
          <w:color w:val="auto"/>
        </w:rPr>
        <w:t>Payment Permitted If No Default.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Nothing contained in this Article or elsewhere in this Indenture or in any of the Securities shall prevent (a) the Company, at any time except during the pendency of any Proceeding referred to in Section 1203 or under the conditions described in Section 1204,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74" w:right="3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1206. </w:t>
      </w:r>
      <w:r>
        <w:rPr>
          <w:rFonts w:ascii="Arial" w:cs="Arial" w:eastAsia="Arial" w:hAnsi="Arial"/>
          <w:sz w:val="18"/>
          <w:szCs w:val="18"/>
          <w:b w:val="1"/>
          <w:bCs w:val="1"/>
          <w:u w:val="single" w:color="auto"/>
          <w:color w:val="auto"/>
        </w:rPr>
        <w:t>Subrogation to Rights of Holders of Senior Debt of the Company.</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the payment in full of all amounts due or to become due on or in respect of Senior Debt of the Company, or the provision for such payment in cash or cash equivalents or otherwise in a manner satisfactory to the holders of Senior Debt of the Company, the Holders of the Securities shall be subrogated to the rights of the holders of such Senior Debt of the Company to receive payments and distributions of cash, property and securities applicable to the Senior Debt of the Company until the principal of (and premium, if any) and interest on the Securities shall be paid in full. For purposes of such subrogation, no payments or distributions to the holders of the Senior Debt of the Company of any cash, property or securities to which the Holders of the Securities or the Trustee would be entitled except for the provisions of this Article, and no payments over pursuant to the provisions of this Article to the holders of Senior Debt of the Company by Holders of the Securities or the Trustee, shall, as among the Company, its creditors other than holders of Senior Debt of the Company and the Holders of the Securities, be deemed to be a payment or distribution by the Company to or on account of the Senior Debt of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b w:val="1"/>
          <w:bCs w:val="1"/>
          <w:u w:val="single" w:color="auto"/>
          <w:color w:val="auto"/>
        </w:rPr>
        <w:t>Provisions Solely to Define Relative Rights.</w:t>
      </w:r>
    </w:p>
    <w:p>
      <w:pPr>
        <w:spacing w:after="0" w:line="12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provisions of this Article are and are intended solely for the purpose of defining the relative rights of the Holders on the one hand and the holders of Senior Debt of the Company on the other hand. Nothing contained in this Article or elsewhere in this Indenture or in the Securities is intended to or shall</w:t>
      </w:r>
    </w:p>
    <w:p>
      <w:pPr>
        <w:ind w:right="140" w:firstLine="8"/>
        <w:spacing w:after="0" w:line="288" w:lineRule="auto"/>
        <w:tabs>
          <w:tab w:leader="none" w:pos="24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impair, as among the Company, its creditors other than holders of Senior Debt of the Company and the Holders of the Securities, the obligation of the Company, which is absolute and unconditional (and which, subject to the rights under this Article of the holders of Senior Debt of the Company,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Debt of the Company; or (c) prevent the Trustee or the Holder of any Security from exercising all remedies otherwise permitted by applicable law upon default under this Indenture, subject to the rights, if any, under this Article of the holders of Senior Debt of the Company to receive cash, property and securities otherwise payable or deliverable to the Trustee or such Holder.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b w:val="1"/>
          <w:bCs w:val="1"/>
          <w:u w:val="single" w:color="auto"/>
          <w:color w:val="auto"/>
        </w:rPr>
        <w:t>Trustee to Effectuate Subordination.</w:t>
      </w:r>
    </w:p>
    <w:p>
      <w:pPr>
        <w:spacing w:after="0" w:line="121"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b w:val="1"/>
          <w:bCs w:val="1"/>
          <w:u w:val="single" w:color="auto"/>
          <w:color w:val="auto"/>
        </w:rPr>
        <w:t>No Waiver of Subordination Provisions.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 right of any present or future holder of any Senior Debt of the Company to enforce subordination as herein provided shall at any time in any way be prejudiced or impaired by any act or failure to act on the part of the Company or by any act or failure to act, in good faith,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0" w:right="239" w:bottom="1440" w:gutter="0" w:footer="0" w:header="0"/>
        </w:sectPr>
      </w:pPr>
    </w:p>
    <w:bookmarkStart w:id="165" w:name="page166"/>
    <w:bookmarkEnd w:id="16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holder, or by any noncompliance by the Company with the terms, provisions and covenants of this Indenture, regardless of any knowledge thereof any such holder may have or be otherwise charged with.</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Without in any way limiting the generality of the foregoing paragraph, the holders of Senior Debt of the Company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of the Company, do any one or more of the following: (i) change the manner, place or terms of payment or extend the time of payment of, or renew or alter, Senior Debt of the Company, or otherwise amend or supplement in any manner Senior Debt of the Company or any instrument evidencing the same or any agreement under which Senior Debt of the Company is outstanding; (ii) sell, exchange, release or otherwise deal with any property pledged, mortgaged or otherwise securing Senior Debt of the Company; (iii) release any Person liable in any manner for the collection of Senior Debt of the Company; and (iv) exercise or refrain from exercising any rights against the Company and any other Person.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b w:val="1"/>
          <w:bCs w:val="1"/>
          <w:u w:val="single" w:color="auto"/>
          <w:color w:val="auto"/>
        </w:rPr>
        <w:t>Notice to Trustee.</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of the Company or from any trustee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Subject to the provisions of Section 601, the Trustee shall be entitled to rely on the delivery to it of a written notice by a Person representing himself to be a holder of Senior Debt of the Company (or a trustee therefor) to establish that such notice has been given by a holder of Senior Debt of the Company (or a trustee therefor). In the event that the Trustee determines in good faith that further evidence is required with respect to the right of any Person as a holder of Senior Debt of the Company to participate in any payment or distribution pursuant to this Article, the Trustee may request such Person to furnish evidence to the reasonable satisfaction of the Trustee as to the amount of Senior Debt of the Company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1211. </w:t>
      </w:r>
      <w:r>
        <w:rPr>
          <w:rFonts w:ascii="Arial" w:cs="Arial" w:eastAsia="Arial" w:hAnsi="Arial"/>
          <w:sz w:val="18"/>
          <w:szCs w:val="18"/>
          <w:b w:val="1"/>
          <w:bCs w:val="1"/>
          <w:u w:val="single" w:color="auto"/>
          <w:color w:val="auto"/>
        </w:rPr>
        <w:t>Reliance on Judicial Order or Certificate of Liquidating Agent.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any payment or distribution of assets of the Company referred to in this Article, the Trustee, subject to the provisions of Section 601,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of the Company and other indebtedness of the Company, the amount thereof or payable thereon, the amount or amounts paid or distributed thereon and all other facts pertinent thereto or to this Article.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b w:val="1"/>
          <w:bCs w:val="1"/>
          <w:u w:val="single" w:color="auto"/>
          <w:color w:val="auto"/>
        </w:rPr>
        <w:t>Trustee Not Fiduciary for Holders of Senior Debt of the Company.</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Trustee shall not be deemed to owe any fiduciary duty to the holders of Senior Debt of the Company and shall not be liable to any such holders if it shall in good faith mistakenly pay over or distribute to Holders of Securities or to the Company, or to any other Person cash, property or securities to which any holders of Senior Debt of the Company shall be entitled by virtue of this Article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b w:val="1"/>
          <w:bCs w:val="1"/>
          <w:u w:val="single" w:color="auto"/>
          <w:color w:val="auto"/>
        </w:rPr>
        <w:t>Rights of Trustee as Holder of Senior Debt of the Company; Preservation of Trustee’s Rights.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with respect to any Senior Debt of the Company which may at any time be held by it, to the same extent as any other holder of Senior Debt of the Company, and nothing in this Indenture shall deprive the Trustee of any of its rights as such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607.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b w:val="1"/>
          <w:bCs w:val="1"/>
          <w:u w:val="single" w:color="auto"/>
          <w:color w:val="auto"/>
        </w:rPr>
        <w:t>Article Applicable to Paying Agents.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1213 shall not apply to the Company or any Affiliate of the Company if it or such Affiliate acts as Paying Agent.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1215. </w:t>
      </w:r>
      <w:r>
        <w:rPr>
          <w:rFonts w:ascii="Arial" w:cs="Arial" w:eastAsia="Arial" w:hAnsi="Arial"/>
          <w:sz w:val="18"/>
          <w:szCs w:val="18"/>
          <w:b w:val="1"/>
          <w:bCs w:val="1"/>
          <w:u w:val="single" w:color="auto"/>
          <w:color w:val="auto"/>
        </w:rPr>
        <w:t>Defeasance of this Article Twelve.</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subordination of the Securities of a series provided by this Article Twelve is expressly made subject to the provisions for Defeasance or Covenant Defeasance in Article Fifteen hereof and, anything herein to the contrary notwithstanding, upon the effectiveness of any such Defeasance or Covenant Defeasance, the Securities of such series then outstanding shall thereupon cease to be subordinated pursuant to this Article Twelve.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b w:val="1"/>
          <w:bCs w:val="1"/>
          <w:u w:val="single" w:color="auto"/>
          <w:color w:val="auto"/>
        </w:rPr>
        <w:t>Company’s Option to Effect Defeasance or Covenant Defeasance.</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may elect, at its option at any time, to have Section 1502 or Section 1503 applied to any Securities or any series of Securities, as the case may be, designated pursuant to Section 301 as being defeasible pursuant to such Section 1502 or 1503, in accordance with any applicable requirements provided pursuant to Section 301 and upon compliance with the conditions set forth below in this Article. Any such election shall be evidenced in or pursuant to a Board Resolution or in another manner specified as contemplated by Section 301 for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b w:val="1"/>
          <w:bCs w:val="1"/>
          <w:u w:val="single" w:color="auto"/>
          <w:color w:val="auto"/>
        </w:rPr>
        <w:t>Defeasance and Discharge.</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 the Company shall be deemed to have been discharged from its obligations, and the provisions of Articles Twelve shall cease to be effective, with respect to such Securities as provided in this Section on and after the date the conditions set forth in Section 1504 are satisfied (herein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1504 and as more fully set forth in such Section, payments in respect of the principal of and any premium and interest on such Securities when payments are due, (2) the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1503 applied to such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0" w:right="2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1503. </w:t>
      </w:r>
      <w:r>
        <w:rPr>
          <w:rFonts w:ascii="Arial" w:cs="Arial" w:eastAsia="Arial" w:hAnsi="Arial"/>
          <w:sz w:val="18"/>
          <w:szCs w:val="18"/>
          <w:b w:val="1"/>
          <w:bCs w:val="1"/>
          <w:u w:val="single" w:color="auto"/>
          <w:color w:val="auto"/>
        </w:rPr>
        <w:t>Covenant Defeasance.</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(1) the Company shall be released from its obligations under Section 801(3), Sections 1006 through 1008, inclusive, and any covenants provided pursuant to Section 301(20), 901(2) or 901(7) for the benefit of the Holders of such Securities, and (2) the occurrence of any event specified in Sections 501(5) (with respect to any of Section 801(3), Sections 1006 through 1008, inclusive, and any such covenants provided pursuant to Section 301(20), 901(2) or 901(7)), 501(8) and 501(9) shall be deemed not to be or result in an Event of Default and (3) the provisions of Articles Twelve shall cease to be effective, in each case with respect to such Securities as provided in this Section on and after the date the conditions set forth in Section 1504 are satisfied (herein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501(5)) or Article Twelve,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b w:val="1"/>
          <w:bCs w:val="1"/>
          <w:u w:val="single" w:color="auto"/>
          <w:color w:val="auto"/>
        </w:rPr>
        <w:t>Conditions to Defeasance or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shall be the conditions to the application of Section 1502 or Section 1503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ind w:right="200" w:firstLine="464"/>
        <w:spacing w:after="0" w:line="288" w:lineRule="auto"/>
        <w:tabs>
          <w:tab w:leader="none" w:pos="71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ind w:firstLine="8"/>
        <w:spacing w:after="0" w:line="267" w:lineRule="auto"/>
        <w:tabs>
          <w:tab w:leader="none" w:pos="2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0" w:right="259" w:bottom="1440" w:gutter="0" w:footer="0" w:header="0"/>
        </w:sectPr>
      </w:pPr>
    </w:p>
    <w:bookmarkStart w:id="169" w:name="page170"/>
    <w:bookmarkEnd w:id="169"/>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47" w:lineRule="exact"/>
        <w:rPr>
          <w:sz w:val="20"/>
          <w:szCs w:val="20"/>
          <w:color w:val="auto"/>
        </w:rPr>
      </w:pPr>
    </w:p>
    <w:p>
      <w:pPr>
        <w:ind w:firstLine="464"/>
        <w:spacing w:after="0" w:line="293" w:lineRule="auto"/>
        <w:tabs>
          <w:tab w:leader="none" w:pos="7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event of an election to have Section 1502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4" w:lineRule="exact"/>
        <w:rPr>
          <w:rFonts w:ascii="Arial" w:cs="Arial" w:eastAsia="Arial" w:hAnsi="Arial"/>
          <w:sz w:val="16"/>
          <w:szCs w:val="16"/>
          <w:color w:val="auto"/>
        </w:rPr>
      </w:pPr>
    </w:p>
    <w:p>
      <w:pPr>
        <w:ind w:right="20" w:firstLine="464"/>
        <w:spacing w:after="0" w:line="279" w:lineRule="auto"/>
        <w:tabs>
          <w:tab w:leader="none" w:pos="71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event of an election to have Section 1503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71" w:lineRule="exact"/>
        <w:rPr>
          <w:rFonts w:ascii="Arial" w:cs="Arial" w:eastAsia="Arial" w:hAnsi="Arial"/>
          <w:sz w:val="17"/>
          <w:szCs w:val="17"/>
          <w:color w:val="auto"/>
        </w:rPr>
      </w:pPr>
    </w:p>
    <w:p>
      <w:pPr>
        <w:ind w:right="340" w:firstLine="464"/>
        <w:spacing w:after="0" w:line="277"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ind w:right="60" w:firstLine="464"/>
        <w:spacing w:after="0" w:line="312" w:lineRule="auto"/>
        <w:tabs>
          <w:tab w:leader="none" w:pos="7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 501(6), at any time on or prior to the 121st day after the date of such deposit (it being understood that this condition shall not be deemed satisfied until after such 121st day).</w:t>
      </w:r>
    </w:p>
    <w:p>
      <w:pPr>
        <w:spacing w:after="0" w:line="146" w:lineRule="exact"/>
        <w:rPr>
          <w:rFonts w:ascii="Arial" w:cs="Arial" w:eastAsia="Arial" w:hAnsi="Arial"/>
          <w:sz w:val="16"/>
          <w:szCs w:val="16"/>
          <w:color w:val="auto"/>
        </w:rPr>
      </w:pPr>
    </w:p>
    <w:p>
      <w:pPr>
        <w:ind w:right="280" w:firstLine="464"/>
        <w:spacing w:after="0" w:line="277"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right="800" w:firstLine="464"/>
        <w:spacing w:after="0" w:line="277"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other agreement or instrument to which the Company or any Subsidiary is a party or by which it is bound.</w:t>
      </w:r>
    </w:p>
    <w:p>
      <w:pPr>
        <w:spacing w:after="0" w:line="170"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time of such deposit, (A) no default in the payment of any principal of or premium or interest on any Senior Debt of the Company shall have occurred and be continuing, (B) no event of default with respect to any Senior Debt of the Company shall have resulted in such Senior Debt becoming, and continuing to be, due and payable prior to the date on which 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70" w:name="page171"/>
    <w:bookmarkEnd w:id="170"/>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otherwise have become due and payable (unless payment of such Senior Debt has been made or duly provided for), and (C) no other event of default with respect to any Senior Debt of the Company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7" w:lineRule="exact"/>
        <w:rPr>
          <w:sz w:val="20"/>
          <w:szCs w:val="20"/>
          <w:color w:val="auto"/>
        </w:rPr>
      </w:pPr>
    </w:p>
    <w:p>
      <w:pPr>
        <w:ind w:right="60" w:firstLine="464"/>
        <w:spacing w:after="0" w:line="277"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such deposit shall not cause either the Trustee or the trust so created to be subject to the Investment Company Act of 1940.</w:t>
      </w:r>
    </w:p>
    <w:p>
      <w:pPr>
        <w:spacing w:after="0" w:line="170" w:lineRule="exact"/>
        <w:rPr>
          <w:rFonts w:ascii="Arial" w:cs="Arial" w:eastAsia="Arial" w:hAnsi="Arial"/>
          <w:sz w:val="18"/>
          <w:szCs w:val="18"/>
          <w:color w:val="auto"/>
        </w:rPr>
      </w:pPr>
    </w:p>
    <w:p>
      <w:pPr>
        <w:ind w:right="320" w:firstLine="464"/>
        <w:spacing w:after="0" w:line="277" w:lineRule="auto"/>
        <w:tabs>
          <w:tab w:leader="none" w:pos="8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b w:val="1"/>
          <w:bCs w:val="1"/>
          <w:u w:val="single" w:color="auto"/>
          <w:color w:val="auto"/>
        </w:rPr>
        <w:t>Deposited Money and U.S. Government Obligations to Be Held in Trust; Miscellaneous Provisions.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Subject to the provisions of the last paragraph of Section 1003, all money and U.S. Government Obligations (including the proceeds thereof) deposited with the Trustee or other qualifying trustee (solely for purposes of this Section and Section 1506, the Trustee and any such other trustee are referred to collectively as the “Trustee”) pursuant to Section 1504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Twelve.</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Anything in this Article to the contrary notwithstanding, the Trustee shall deliver or pay to the Company from time to time upon Company Request any money or U.S. Government Obligations held by it as provided in Section 1504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b w:val="1"/>
          <w:bCs w:val="1"/>
          <w:u w:val="single" w:color="auto"/>
          <w:color w:val="auto"/>
        </w:rPr>
        <w:t>Reinstatement.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171" w:name="page172"/>
    <w:bookmarkEnd w:id="171"/>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this Indenture and such Securities from which the Company has been discharged or released pursuant to Section 1502 or 1503 shall be revived and reinstated as though no deposit had occurred pursuant to this Article with respect to such Securities, until such time as the Trustee or Paying Agent is permitted to apply all money held in trust pursuant to Section 1505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b w:val="1"/>
          <w:bCs w:val="1"/>
          <w:u w:val="single" w:color="auto"/>
          <w:color w:val="auto"/>
        </w:rPr>
        <w:t>Applicability of Article.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301 for such Securities.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1602. Each sinking fund payment shall be applied to the redemption of Securities as provided for by the terms of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b w:val="1"/>
          <w:bCs w:val="1"/>
          <w:u w:val="single" w:color="auto"/>
          <w:color w:val="auto"/>
        </w:rPr>
        <w:t>Satisfaction of Sinking Fund Payments with Securities.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b w:val="1"/>
          <w:bCs w:val="1"/>
          <w:u w:val="single" w:color="auto"/>
          <w:color w:val="auto"/>
        </w:rPr>
        <w:t>Redemption of Securities for Sinking Fund.</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1602 and will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72" w:name="page173"/>
    <w:bookmarkEnd w:id="17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also deliver to the Trustee any Securities to be so delivered. Not less than 32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caused this Indenture to be duly executed, all as of the day and year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4872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84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74" w:right="2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c>
          <w:tcPr>
            <w:tcW w:w="0" w:type="dxa"/>
            <w:vAlign w:val="bottom"/>
          </w:tcPr>
          <w:p>
            <w:pPr>
              <w:spacing w:after="0"/>
              <w:rPr>
                <w:sz w:val="1"/>
                <w:szCs w:val="1"/>
                <w:color w:val="auto"/>
              </w:rPr>
            </w:pPr>
          </w:p>
        </w:tc>
      </w:tr>
      <w:tr>
        <w:trPr>
          <w:trHeight w:val="608"/>
        </w:trPr>
        <w:tc>
          <w:tcPr>
            <w:tcW w:w="3620" w:type="dxa"/>
            <w:vAlign w:val="bottom"/>
          </w:tcPr>
          <w:p>
            <w:pPr>
              <w:spacing w:after="0"/>
              <w:rPr>
                <w:sz w:val="24"/>
                <w:szCs w:val="24"/>
                <w:color w:val="auto"/>
              </w:rPr>
            </w:pPr>
          </w:p>
        </w:tc>
        <w:tc>
          <w:tcPr>
            <w:tcW w:w="7800" w:type="dxa"/>
            <w:vAlign w:val="bottom"/>
          </w:tcPr>
          <w:p>
            <w:pPr>
              <w:jc w:val="right"/>
              <w:spacing w:after="0"/>
              <w:rPr>
                <w:sz w:val="20"/>
                <w:szCs w:val="20"/>
                <w:color w:val="auto"/>
              </w:rPr>
            </w:pPr>
            <w:r>
              <w:rPr>
                <w:rFonts w:ascii="Arial" w:cs="Arial" w:eastAsia="Arial" w:hAnsi="Arial"/>
                <w:sz w:val="18"/>
                <w:szCs w:val="18"/>
                <w:color w:val="auto"/>
              </w:rPr>
              <w:t>700 Milam Street</w:t>
            </w:r>
          </w:p>
        </w:tc>
        <w:tc>
          <w:tcPr>
            <w:tcW w:w="0" w:type="dxa"/>
            <w:vAlign w:val="bottom"/>
          </w:tcPr>
          <w:p>
            <w:pPr>
              <w:spacing w:after="0"/>
              <w:rPr>
                <w:sz w:val="1"/>
                <w:szCs w:val="1"/>
                <w:color w:val="auto"/>
              </w:rPr>
            </w:pPr>
          </w:p>
        </w:tc>
      </w:tr>
      <w:tr>
        <w:trPr>
          <w:trHeight w:val="338"/>
        </w:trPr>
        <w:tc>
          <w:tcPr>
            <w:tcW w:w="3620" w:type="dxa"/>
            <w:vAlign w:val="bottom"/>
          </w:tcPr>
          <w:p>
            <w:pPr>
              <w:spacing w:after="0"/>
              <w:rPr>
                <w:sz w:val="24"/>
                <w:szCs w:val="24"/>
                <w:color w:val="auto"/>
              </w:rPr>
            </w:pPr>
          </w:p>
        </w:tc>
        <w:tc>
          <w:tcPr>
            <w:tcW w:w="7800" w:type="dxa"/>
            <w:vAlign w:val="bottom"/>
          </w:tcPr>
          <w:p>
            <w:pPr>
              <w:jc w:val="right"/>
              <w:spacing w:after="0"/>
              <w:rPr>
                <w:sz w:val="20"/>
                <w:szCs w:val="20"/>
                <w:color w:val="auto"/>
              </w:rPr>
            </w:pPr>
            <w:r>
              <w:rPr>
                <w:rFonts w:ascii="Arial" w:cs="Arial" w:eastAsia="Arial" w:hAnsi="Arial"/>
                <w:sz w:val="18"/>
                <w:szCs w:val="18"/>
                <w:color w:val="auto"/>
              </w:rPr>
              <w:t>Suite 1400</w:t>
            </w:r>
          </w:p>
        </w:tc>
        <w:tc>
          <w:tcPr>
            <w:tcW w:w="0" w:type="dxa"/>
            <w:vAlign w:val="bottom"/>
          </w:tcPr>
          <w:p>
            <w:pPr>
              <w:spacing w:after="0"/>
              <w:rPr>
                <w:sz w:val="1"/>
                <w:szCs w:val="1"/>
                <w:color w:val="auto"/>
              </w:rPr>
            </w:pPr>
          </w:p>
        </w:tc>
      </w:tr>
      <w:tr>
        <w:trPr>
          <w:trHeight w:val="351"/>
        </w:trPr>
        <w:tc>
          <w:tcPr>
            <w:tcW w:w="3620" w:type="dxa"/>
            <w:vAlign w:val="bottom"/>
          </w:tcPr>
          <w:p>
            <w:pPr>
              <w:spacing w:after="0"/>
              <w:rPr>
                <w:sz w:val="24"/>
                <w:szCs w:val="24"/>
                <w:color w:val="auto"/>
              </w:rPr>
            </w:pPr>
          </w:p>
        </w:tc>
        <w:tc>
          <w:tcPr>
            <w:tcW w:w="7800" w:type="dxa"/>
            <w:vAlign w:val="bottom"/>
          </w:tcPr>
          <w:p>
            <w:pPr>
              <w:jc w:val="right"/>
              <w:spacing w:after="0"/>
              <w:rPr>
                <w:sz w:val="20"/>
                <w:szCs w:val="20"/>
                <w:color w:val="auto"/>
              </w:rPr>
            </w:pPr>
            <w:r>
              <w:rPr>
                <w:rFonts w:ascii="Arial" w:cs="Arial" w:eastAsia="Arial" w:hAnsi="Arial"/>
                <w:sz w:val="18"/>
                <w:szCs w:val="18"/>
                <w:color w:val="auto"/>
              </w:rPr>
              <w:t>Houston, Texas 77002-2797</w:t>
            </w:r>
          </w:p>
        </w:tc>
        <w:tc>
          <w:tcPr>
            <w:tcW w:w="0" w:type="dxa"/>
            <w:vAlign w:val="bottom"/>
          </w:tcPr>
          <w:p>
            <w:pPr>
              <w:spacing w:after="0"/>
              <w:rPr>
                <w:sz w:val="1"/>
                <w:szCs w:val="1"/>
                <w:color w:val="auto"/>
              </w:rPr>
            </w:pPr>
          </w:p>
        </w:tc>
      </w:tr>
      <w:tr>
        <w:trPr>
          <w:trHeight w:val="338"/>
        </w:trPr>
        <w:tc>
          <w:tcPr>
            <w:tcW w:w="3620" w:type="dxa"/>
            <w:vAlign w:val="bottom"/>
          </w:tcPr>
          <w:p>
            <w:pPr>
              <w:spacing w:after="0"/>
              <w:rPr>
                <w:sz w:val="24"/>
                <w:szCs w:val="24"/>
                <w:color w:val="auto"/>
              </w:rPr>
            </w:pPr>
          </w:p>
        </w:tc>
        <w:tc>
          <w:tcPr>
            <w:tcW w:w="7800" w:type="dxa"/>
            <w:vAlign w:val="bottom"/>
          </w:tcPr>
          <w:p>
            <w:pPr>
              <w:jc w:val="right"/>
              <w:spacing w:after="0"/>
              <w:rPr>
                <w:sz w:val="20"/>
                <w:szCs w:val="20"/>
                <w:color w:val="auto"/>
              </w:rPr>
            </w:pPr>
            <w:r>
              <w:rPr>
                <w:rFonts w:ascii="Arial" w:cs="Arial" w:eastAsia="Arial" w:hAnsi="Arial"/>
                <w:sz w:val="18"/>
                <w:szCs w:val="18"/>
                <w:color w:val="auto"/>
              </w:rPr>
              <w:t>(713) 225-2300</w:t>
            </w:r>
          </w:p>
        </w:tc>
        <w:tc>
          <w:tcPr>
            <w:tcW w:w="0" w:type="dxa"/>
            <w:vAlign w:val="bottom"/>
          </w:tcPr>
          <w:p>
            <w:pPr>
              <w:spacing w:after="0"/>
              <w:rPr>
                <w:sz w:val="1"/>
                <w:szCs w:val="1"/>
                <w:color w:val="auto"/>
              </w:rPr>
            </w:pP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Writer’s direct phone</w:t>
            </w:r>
          </w:p>
        </w:tc>
        <w:tc>
          <w:tcPr>
            <w:tcW w:w="7800" w:type="dxa"/>
            <w:vAlign w:val="bottom"/>
          </w:tcPr>
          <w:p>
            <w:pPr>
              <w:jc w:val="right"/>
              <w:spacing w:after="0"/>
              <w:rPr>
                <w:sz w:val="20"/>
                <w:szCs w:val="20"/>
                <w:color w:val="auto"/>
              </w:rPr>
            </w:pPr>
            <w:r>
              <w:rPr>
                <w:rFonts w:ascii="Arial" w:cs="Arial" w:eastAsia="Arial" w:hAnsi="Arial"/>
                <w:sz w:val="18"/>
                <w:szCs w:val="18"/>
                <w:color w:val="auto"/>
              </w:rPr>
              <w:t>fax (713) 225-2340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(713) 225-1337</w:t>
            </w:r>
          </w:p>
        </w:tc>
        <w:tc>
          <w:tcPr>
            <w:tcW w:w="7800" w:type="dxa"/>
            <w:vAlign w:val="bottom"/>
            <w:vMerge w:val="restart"/>
          </w:tcPr>
          <w:p>
            <w:pPr>
              <w:jc w:val="right"/>
              <w:spacing w:after="0"/>
              <w:rPr>
                <w:sz w:val="20"/>
                <w:szCs w:val="20"/>
                <w:color w:val="auto"/>
              </w:rPr>
            </w:pPr>
            <w:r>
              <w:rPr>
                <w:rFonts w:ascii="Arial" w:cs="Arial" w:eastAsia="Arial" w:hAnsi="Arial"/>
                <w:sz w:val="18"/>
                <w:szCs w:val="18"/>
                <w:color w:val="auto"/>
              </w:rPr>
              <w:t>www.seyfarth.com</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8"/>
                <w:szCs w:val="18"/>
                <w:color w:val="auto"/>
              </w:rPr>
              <w:t>Writer’s e-mail</w:t>
            </w:r>
          </w:p>
        </w:tc>
        <w:tc>
          <w:tcPr>
            <w:tcW w:w="7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7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mcoffin@seyfarth.com</w:t>
            </w:r>
          </w:p>
        </w:tc>
        <w:tc>
          <w:tcPr>
            <w:tcW w:w="7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20" w:type="dxa"/>
            <w:vAlign w:val="bottom"/>
          </w:tcPr>
          <w:p>
            <w:pPr>
              <w:spacing w:after="0"/>
              <w:rPr>
                <w:sz w:val="24"/>
                <w:szCs w:val="24"/>
                <w:color w:val="auto"/>
              </w:rPr>
            </w:pPr>
          </w:p>
        </w:tc>
        <w:tc>
          <w:tcPr>
            <w:tcW w:w="7800" w:type="dxa"/>
            <w:vAlign w:val="bottom"/>
          </w:tcPr>
          <w:p>
            <w:pPr>
              <w:jc w:val="right"/>
              <w:ind w:right="5090"/>
              <w:spacing w:after="0"/>
              <w:rPr>
                <w:sz w:val="20"/>
                <w:szCs w:val="20"/>
                <w:color w:val="auto"/>
              </w:rPr>
            </w:pPr>
            <w:r>
              <w:rPr>
                <w:rFonts w:ascii="Arial" w:cs="Arial" w:eastAsia="Arial" w:hAnsi="Arial"/>
                <w:sz w:val="18"/>
                <w:szCs w:val="18"/>
                <w:color w:val="auto"/>
              </w:rPr>
              <w:t>April 29, 2014</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ClearOne, Inc.</w:t>
            </w:r>
          </w:p>
        </w:tc>
        <w:tc>
          <w:tcPr>
            <w:tcW w:w="7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5225 Wiley Post Way</w:t>
            </w: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Suite 500</w:t>
            </w: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Salt Lake City, Utah 84116</w:t>
            </w:r>
          </w:p>
        </w:tc>
        <w:tc>
          <w:tcPr>
            <w:tcW w:w="7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Dear Ladies and Gentlemen:</w:t>
            </w:r>
          </w:p>
        </w:tc>
        <w:tc>
          <w:tcPr>
            <w:tcW w:w="7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-2820670</wp:posOffset>
            </wp:positionV>
            <wp:extent cx="2263775" cy="48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63775" cy="480060"/>
                    </a:xfrm>
                    <a:prstGeom prst="rect">
                      <a:avLst/>
                    </a:prstGeom>
                    <a:noFill/>
                  </pic:spPr>
                </pic:pic>
              </a:graphicData>
            </a:graphic>
          </wp:anchor>
        </w:drawing>
      </w:r>
    </w:p>
    <w:p>
      <w:pPr>
        <w:spacing w:after="0" w:line="18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acted as counsel for ClearOne, Inc., a Utah corporation (the “Company”), in connection with the preparation of the Company’s Registration Statement on Form S-3 filed with the Securities and Exchange Commission (the “Commission”) on the date hereof under the Securities Act of 1933, as amended (the “Securities Act”), relating to the offer and sale, from time to time, pursuant to Rule 415 under the Securities Act, of (i) unsecured debt securities of the Company, which may be either senior or subordinated and may be issued in one or more series, consisting of notes, debentures or other evidences of indebtedness (“Debt Securities”), (ii) shares of common stock, $0.001 par value per share (“Common Stock”), of the Company, (iii) warrants for the purchase of Common Stock (the “Securities Warrants”); (iv) subscription rights (“Subscription Rights”) to purchase our equity or debt securities; and (v) units consisting of one or more shares of common stock, debt securities, warrants, subscription rights or any combination of such securities (“Units,” and together with the Debt Securities, the Common Stock, the Securities Warrants, and the Subscription Rights, each a “Security” and collectively the “Securities”).</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have examined originals or copies, certified or otherwise identified to our satisfaction, of (i) the Registration Statement, (ii) the Amended and Restated Articles of Incorporation and Bylaws of the Company, (iii) the form of senior indenture (the “Senior Indenture”) filed or incorporated by reference as an exhibit to the Registration Statement, (iv) the form of subordinated indenture (the “Subordinated Indenture” and, together with the Senior Indenture, the “Indentures”) filed or incorporated by reference as an exhibit to the Registration Statement and (v) such other certificates, statutes and other instruments and documents as we considered appropriate for purposes of the opinions hereafter expressed.</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the Registration Statement and any subsequent amendments (including additional post-effective</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35225" cy="523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35225" cy="5232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amendments), will have become effective and comply with all applicable laws; (v) all Securities will be issued and sold in compliance with applicable federal and state securities laws and in the manner specified in the Registration Statement and the applicable Prospectus Supplement; (vi) the applicable Indenture will have been duly qualified under the Trust Indenture Act of 1939, as amended; (vii) one or more prospectus supplements to the prospectus contained in the Registration Statement will have been prepared and filed with the Commission describing the Securities offered thereby; (viii) the Indentures, and any supplemental indenture relating to a particular series of Debt Securities, will be duly authorized, executed and delivered by the parties thereto in substantially the form reviewed by us; (ix) a definitive purchase, underwriting or similar agreement with respect to any Securities offered will have been duly authorized and validly executed and delivered by the Company and the other parties thereto; and (x) at the time of issuance of any shares of Common Stock (including any such shares issuable upon the conversion of another Security), the Company has a sufficient number of authorized but unissued shares of Common Stock under its Amended and Restated Articles of Incorporation; (xi) any securities issuable upon conversion, exchange or exercise of any Debt Securities being offered will have been duly authorized, created and, if appropriate, reserved for issuance upon such conversion, exchange or exercise and (xii) none of the terms of any Security to be established after the date hereof, nor the issuance and delivery of any such Security nor the compliance by the Company with the terms of such Security will violate any applicable law or will result in violation of any provision of any instrument or agreement then binding on the Company, or will violate any restriction imposed by a court or governmental body having jurisdiction over the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the foregoing, and subject to the assumptions, qualifications, limitations, and exceptions set forth herein, we are of the opinion that:</w:t>
      </w:r>
    </w:p>
    <w:p>
      <w:pPr>
        <w:spacing w:after="0" w:line="237" w:lineRule="exact"/>
        <w:rPr>
          <w:sz w:val="20"/>
          <w:szCs w:val="20"/>
          <w:color w:val="auto"/>
        </w:rPr>
      </w:pPr>
    </w:p>
    <w:p>
      <w:pPr>
        <w:ind w:right="20" w:firstLine="464"/>
        <w:spacing w:after="0" w:line="270" w:lineRule="auto"/>
        <w:tabs>
          <w:tab w:leader="none" w:pos="63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 respect to the Debt Securities to be issued under the Indentures in a Primary Offering, when (i) the Board of Directors of the Company (or a committee thereof) has taken all necessary corporate action to approve the issuance and terms of any such Debt Securities; (ii) the terms of such Debt Securities and of their issuance and sale have been duly established in conformity with the applicable Indenture and any applicable supplemental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and (iii) such Debt Securities have been duly executed and authenticated in accordance with the applicable Indenture and any applicable supplemental Indenture and issued and sold as contemplated in the Registration Statement and upon payment of the consideration for such Debt Securities as provided for in the applicable definitive purchase, underwriting or similar agreement, such Debt Securities will be legally issued and such Debt Securities will constitute valid and legally binding obligations of the Company, respectively, enforceable against the Company in accordance with their terms;</w:t>
      </w:r>
    </w:p>
    <w:p>
      <w:pPr>
        <w:spacing w:after="0" w:line="181" w:lineRule="exact"/>
        <w:rPr>
          <w:rFonts w:ascii="Arial" w:cs="Arial" w:eastAsia="Arial" w:hAnsi="Arial"/>
          <w:sz w:val="17"/>
          <w:szCs w:val="17"/>
          <w:color w:val="auto"/>
        </w:rPr>
      </w:pPr>
    </w:p>
    <w:p>
      <w:pPr>
        <w:ind w:right="100" w:firstLine="464"/>
        <w:spacing w:after="0" w:line="264"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shares of Common Stock to be issued in a Primary Offering, when both (A) the Board of Directors of the Company has taken all necessary corporate action to approve the issuance of and the terms of the offering of the shares of Common Stock and related matters and (B) certificates (if certificated) representing the shares of Common Stock have been duly executed,</w:t>
      </w:r>
    </w:p>
    <w:p>
      <w:pPr>
        <w:sectPr>
          <w:pgSz w:w="11900" w:h="16838" w:orient="portrait"/>
          <w:cols w:equalWidth="0" w:num="1">
            <w:col w:w="11420"/>
          </w:cols>
          <w:pgMar w:left="240" w:top="27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35225" cy="523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35225" cy="5232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3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countersigned, registered, and delivered either (i) in accordance with the applicable definitive purchase, underwriting, or similar agreement approved by the Board or such officers upon payment of the consideration therefor provided for therein or (ii) upon conversion or exercise of any other Security, in accordance with the terms of such Security or the instrument governing such Security providing for such conversion or exercise as approved by the Board of Directors of the Company, for the consideration approved by the Board , then the shares of Common Stock will be legally issued, fully paid, and nonassessable;</w:t>
      </w:r>
    </w:p>
    <w:p>
      <w:pPr>
        <w:spacing w:after="0" w:line="154" w:lineRule="exact"/>
        <w:rPr>
          <w:sz w:val="20"/>
          <w:szCs w:val="20"/>
          <w:color w:val="auto"/>
        </w:rPr>
      </w:pPr>
    </w:p>
    <w:p>
      <w:pPr>
        <w:ind w:right="20" w:firstLine="464"/>
        <w:spacing w:after="0" w:line="254" w:lineRule="auto"/>
        <w:tabs>
          <w:tab w:leader="none" w:pos="63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With respect to the Securities Warrants to be issued in a Primary Offering, when (A) the Board of Directors of the Company has taken all necessary corporate action to approve the creation of and the issuance and terms of the Securities Warrants, the terms of the offering thereof, and related matters, (B) the agreements relating to the Securities Warrants have been duly authorized and validly executed and delivered by the Company and the Warrant Agent appointed by the Company, and (C) the Securities Warrants or certificates representing the Securities Warrants have been duly executed, countersigned, registered, and delivered in accordance with the appropriate agreements relating to the Securities Warrants and the applicable definitive purchase, underwriting, or similar agreement approved by the Board or such officers upon payment of the consideration therefor provided for therein, the Securities Warrants will be legally issued and such Securities Warrants will constitute valid and legally binding obligations of the Company, enforceable against the Company in accordance with their terms;</w:t>
      </w:r>
    </w:p>
    <w:p>
      <w:pPr>
        <w:spacing w:after="0" w:line="192" w:lineRule="exact"/>
        <w:rPr>
          <w:rFonts w:ascii="Arial" w:cs="Arial" w:eastAsia="Arial" w:hAnsi="Arial"/>
          <w:sz w:val="18"/>
          <w:szCs w:val="18"/>
          <w:color w:val="auto"/>
        </w:rPr>
      </w:pPr>
    </w:p>
    <w:p>
      <w:pPr>
        <w:ind w:right="120" w:firstLine="464"/>
        <w:spacing w:after="0" w:line="291" w:lineRule="auto"/>
        <w:tabs>
          <w:tab w:leader="none" w:pos="63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With respect to the Subscription Rights to be issued in a Primary Offering, when (A) the Board of Directors of the Company has taken all necessary corporate action to authorize the issuance and the specific terms of such Subscription Rights, the terms of the offering thereof, and related matters and</w:t>
      </w:r>
    </w:p>
    <w:p>
      <w:pPr>
        <w:ind w:right="100" w:firstLine="8"/>
        <w:spacing w:after="0" w:line="323" w:lineRule="auto"/>
        <w:tabs>
          <w:tab w:leader="none" w:pos="2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Subscription Rights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spacing w:after="0" w:line="138" w:lineRule="exact"/>
        <w:rPr>
          <w:rFonts w:ascii="Arial" w:cs="Arial" w:eastAsia="Arial" w:hAnsi="Arial"/>
          <w:sz w:val="16"/>
          <w:szCs w:val="16"/>
          <w:color w:val="auto"/>
        </w:rPr>
      </w:pPr>
    </w:p>
    <w:p>
      <w:pPr>
        <w:ind w:right="100" w:firstLine="464"/>
        <w:spacing w:after="0" w:line="259" w:lineRule="auto"/>
        <w:tabs>
          <w:tab w:leader="none" w:pos="63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With respect to the Units to be issued in a Primary Offering, when (A) the Board of Directors of the Company has taken all necessary corporate action to authorize the issuance and the specific terms of such Units, the terms of the offering thereof, and related matters and (B) such Units and agreements relating to the Units have been duly executed and delivered in accordance with the terms thereof, then such Units will be valid and binding obligations of the Company, enforceable against the Company in accordance with their terms.</w:t>
      </w:r>
    </w:p>
    <w:p>
      <w:pPr>
        <w:spacing w:after="0" w:line="186" w:lineRule="exact"/>
        <w:rPr>
          <w:rFonts w:ascii="Arial" w:cs="Arial" w:eastAsia="Arial" w:hAnsi="Arial"/>
          <w:sz w:val="18"/>
          <w:szCs w:val="18"/>
          <w:color w:val="auto"/>
        </w:rPr>
      </w:pPr>
    </w:p>
    <w:p>
      <w:pPr>
        <w:ind w:right="40" w:firstLine="464"/>
        <w:spacing w:after="0" w:line="264" w:lineRule="auto"/>
        <w:tabs>
          <w:tab w:leader="none" w:pos="63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With respect to the shares of Common Stock covered by the Registration Statement to be sold from time to time in the Secondary Offering by the selling shareholder as set forth in the Registration Statement, such shares have been duly authorized by all requisite action on the part of the Company and are fully paid, non-assessable and legally issued by the Company.</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rendering the opinion in paragraph 1, we have assumed that the trustee is or, at the time the applicable Indenture is signed, will be qualified to act as trustee under the applicable Indenture and the Trust Indenture Act of 1939, as amended, and that the trustee has or will have duly executed and delivered the applicable Indenture.</w:t>
      </w:r>
    </w:p>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435225" cy="523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35225" cy="5232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31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enforceability of the Securities and provisions thereof may be limited by bankruptcy, insolvency, reorganization, fraudulent transfer, moratorium or other similar laws now or hereinafter in effect relating to or affecting enforcement of creditors rights generally and by general principles of equity (regardless of whether such enforcement is considered in a proceeding in equity or at law).</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SEYFARTH SHAW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Seyfarth Shaw LLP</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S-3 of ClearOne, Inc. of our report dated March 19, 2014, relating to our audit of the consolidated financial statements which appears in the Annual Report on Form 10-K of ClearOne, Inc. for the year ended December 31,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the Prospectus, which is part of this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decimal"/>
      <w:start w:val="80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decimal"/>
      <w:start w:val="3"/>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1)"/>
      <w:numFmt w:val="decimal"/>
      <w:start w:val="1"/>
    </w:lvl>
  </w:abstractNum>
  <w:abstractNum w:abstractNumId="10">
    <w:nsid w:val="1F48EAA1"/>
    <w:multiLevelType w:val="hybridMultilevel"/>
    <w:lvl w:ilvl="0">
      <w:lvlJc w:val="left"/>
      <w:lvlText w:val="(%1)"/>
      <w:numFmt w:val="decimal"/>
      <w:start w:val="2"/>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1)"/>
      <w:numFmt w:val="decimal"/>
      <w:start w:val="1"/>
    </w:lvl>
  </w:abstractNum>
  <w:abstractNum w:abstractNumId="13">
    <w:nsid w:val="100F8FCA"/>
    <w:multiLevelType w:val="hybridMultilevel"/>
    <w:lvl w:ilvl="0">
      <w:lvlJc w:val="left"/>
      <w:lvlText w:val="(%1)"/>
      <w:numFmt w:val="decimal"/>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1)"/>
      <w:numFmt w:val="decimal"/>
      <w:start w:val="2"/>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1)"/>
      <w:numFmt w:val="decimal"/>
      <w:start w:val="2"/>
    </w:lvl>
  </w:abstractNum>
  <w:abstractNum w:abstractNumId="19">
    <w:nsid w:val="6B94764"/>
    <w:multiLevelType w:val="hybridMultilevel"/>
    <w:lvl w:ilvl="0">
      <w:lvlJc w:val="left"/>
      <w:lvlText w:val="(%1)"/>
      <w:numFmt w:val="decimal"/>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lvl w:ilvl="1">
      <w:lvlJc w:val="left"/>
      <w:lvlText w:val="(%2)"/>
      <w:numFmt w:val="decimal"/>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1A32234B"/>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35">
    <w:nsid w:val="3B0FD379"/>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36">
    <w:nsid w:val="68EB2F63"/>
    <w:multiLevelType w:val="hybridMultilevel"/>
    <w:lvl w:ilvl="0">
      <w:lvlJc w:val="left"/>
      <w:lvlText w:val="%1"/>
      <w:numFmt w:val="lowerLetter"/>
      <w:start w:val="1"/>
    </w:lvl>
    <w:lvl w:ilvl="1">
      <w:lvlJc w:val="left"/>
      <w:lvlText w:val="%2."/>
      <w:numFmt w:val="decimal"/>
      <w:start w:val="2"/>
    </w:lvl>
  </w:abstractNum>
  <w:abstractNum w:abstractNumId="37">
    <w:nsid w:val="4962813B"/>
    <w:multiLevelType w:val="hybridMultilevel"/>
    <w:lvl w:ilvl="0">
      <w:lvlJc w:val="left"/>
      <w:lvlText w:val="(%1)"/>
      <w:numFmt w:val="lowerLetter"/>
      <w:start w:val="4"/>
    </w:lvl>
    <w:lvl w:ilvl="1">
      <w:lvlJc w:val="left"/>
      <w:lvlText w:val="%2."/>
      <w:numFmt w:val="decimal"/>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decimal"/>
      <w:start w:val="2"/>
    </w:lvl>
  </w:abstractNum>
  <w:abstractNum w:abstractNumId="46">
    <w:nsid w:val="6EB5BD4"/>
    <w:multiLevelType w:val="hybridMultilevel"/>
    <w:lvl w:ilvl="0">
      <w:lvlJc w:val="left"/>
      <w:lvlText w:val="(%1)"/>
      <w:numFmt w:val="decimal"/>
      <w:start w:val="13"/>
    </w:lvl>
  </w:abstractNum>
  <w:abstractNum w:abstractNumId="47">
    <w:nsid w:val="6F6DD9AC"/>
    <w:multiLevelType w:val="hybridMultilevel"/>
    <w:lvl w:ilvl="0">
      <w:lvlJc w:val="left"/>
      <w:lvlText w:val="(%1)"/>
      <w:numFmt w:val="decimal"/>
      <w:start w:val="1"/>
    </w:lvl>
  </w:abstractNum>
  <w:abstractNum w:abstractNumId="48">
    <w:nsid w:val="94211F2"/>
    <w:multiLevelType w:val="hybridMultilevel"/>
    <w:lvl w:ilvl="0">
      <w:lvlJc w:val="left"/>
      <w:lvlText w:val="%1"/>
      <w:numFmt w:val="upperLetter"/>
      <w:start w:val="1"/>
    </w:lvl>
    <w:lvl w:ilvl="1">
      <w:lvlJc w:val="left"/>
      <w:lvlText w:val="(%2)"/>
      <w:numFmt w:val="decimal"/>
      <w:start w:val="1"/>
    </w:lvl>
  </w:abstractNum>
  <w:abstractNum w:abstractNumId="49">
    <w:nsid w:val="885E1B"/>
    <w:multiLevelType w:val="hybridMultilevel"/>
    <w:lvl w:ilvl="0">
      <w:lvlJc w:val="left"/>
      <w:lvlText w:val="(%1)"/>
      <w:numFmt w:val="upperLetter"/>
      <w:start w:val="2"/>
    </w:lvl>
    <w:lvl w:ilvl="1">
      <w:lvlJc w:val="left"/>
      <w:lvlText w:val="(%2)"/>
      <w:numFmt w:val="decimal"/>
      <w:start w:val="3"/>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2"/>
    </w:lvl>
  </w:abstractNum>
  <w:abstractNum w:abstractNumId="52">
    <w:nsid w:val="171670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3">
    <w:nsid w:val="14E17E33"/>
    <w:multiLevelType w:val="hybridMultilevel"/>
    <w:lvl w:ilvl="0">
      <w:lvlJc w:val="left"/>
      <w:lvlText w:val="(%1)"/>
      <w:numFmt w:val="decimal"/>
      <w:start w:val="2"/>
    </w:lvl>
  </w:abstractNum>
  <w:abstractNum w:abstractNumId="54">
    <w:nsid w:val="3222E7CD"/>
    <w:multiLevelType w:val="hybridMultilevel"/>
    <w:lvl w:ilvl="0">
      <w:lvlJc w:val="left"/>
      <w:lvlText w:val="(%1)"/>
      <w:numFmt w:val="decimal"/>
      <w:start w:val="3"/>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6"/>
    </w:lvl>
  </w:abstractNum>
  <w:abstractNum w:abstractNumId="57">
    <w:nsid w:val="2DF6D648"/>
    <w:multiLevelType w:val="hybridMultilevel"/>
    <w:lvl w:ilvl="0">
      <w:lvlJc w:val="left"/>
      <w:lvlText w:val="(%1)"/>
      <w:numFmt w:val="decimal"/>
      <w:start w:val="1"/>
    </w:lvl>
    <w:lvl w:ilvl="1">
      <w:lvlJc w:val="left"/>
      <w:lvlText w:val="(%2)"/>
      <w:numFmt w:val="upperLetter"/>
      <w:start w:val="1"/>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5"/>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2"/>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1"/>
    </w:lvl>
  </w:abstractNum>
  <w:abstractNum w:abstractNumId="70">
    <w:nsid w:val="50801EE1"/>
    <w:multiLevelType w:val="hybridMultilevel"/>
    <w:lvl w:ilvl="0">
      <w:lvlJc w:val="left"/>
      <w:lvlText w:val="%1"/>
      <w:numFmt w:val="decimal"/>
      <w:start w:val="1"/>
    </w:lvl>
    <w:lvl w:ilvl="1">
      <w:lvlJc w:val="left"/>
      <w:lvlText w:val="(%2)"/>
      <w:numFmt w:val="decimal"/>
      <w:start w:val="6"/>
    </w:lvl>
  </w:abstractNum>
  <w:abstractNum w:abstractNumId="71">
    <w:nsid w:val="488AC1A"/>
    <w:multiLevelType w:val="hybridMultilevel"/>
    <w:lvl w:ilvl="0">
      <w:lvlJc w:val="left"/>
      <w:lvlText w:val="(%1)"/>
      <w:numFmt w:val="decimal"/>
      <w:start w:val="10"/>
    </w:lvl>
    <w:lvl w:ilvl="1">
      <w:lvlJc w:val="left"/>
      <w:lvlText w:val="%2"/>
      <w:numFmt w:val="decimal"/>
      <w:start w:val="1"/>
    </w:lvl>
  </w:abstractNum>
  <w:abstractNum w:abstractNumId="72">
    <w:nsid w:val="5FB8011C"/>
    <w:multiLevelType w:val="hybridMultilevel"/>
    <w:lvl w:ilvl="0">
      <w:lvlJc w:val="left"/>
      <w:lvlText w:val="%1"/>
      <w:numFmt w:val="lowerLetter"/>
      <w:start w:val="1"/>
    </w:lvl>
    <w:lvl w:ilvl="1">
      <w:lvlJc w:val="left"/>
      <w:lvlText w:val="(%2)"/>
      <w:numFmt w:val="decimal"/>
      <w:start w:val="1"/>
    </w:lvl>
  </w:abstractNum>
  <w:abstractNum w:abstractNumId="73">
    <w:nsid w:val="6AA78F7F"/>
    <w:multiLevelType w:val="hybridMultilevel"/>
    <w:lvl w:ilvl="0">
      <w:lvlJc w:val="left"/>
      <w:lvlText w:val="(%1)"/>
      <w:numFmt w:val="lowerLetter"/>
      <w:start w:val="2"/>
    </w:lvl>
    <w:lvl w:ilvl="1">
      <w:lvlJc w:val="left"/>
      <w:lvlText w:val="(%2)"/>
      <w:numFmt w:val="decimal"/>
      <w:start w:val="2"/>
    </w:lvl>
  </w:abstractNum>
  <w:abstractNum w:abstractNumId="74">
    <w:nsid w:val="7672BD23"/>
    <w:multiLevelType w:val="hybridMultilevel"/>
    <w:lvl w:ilvl="0">
      <w:lvlJc w:val="left"/>
      <w:lvlText w:val="(%1)"/>
      <w:numFmt w:val="decimal"/>
      <w:start w:val="3"/>
    </w:lvl>
  </w:abstractNum>
  <w:abstractNum w:abstractNumId="75">
    <w:nsid w:val="6FC75AF8"/>
    <w:multiLevelType w:val="hybridMultilevel"/>
    <w:lvl w:ilvl="0">
      <w:lvlJc w:val="left"/>
      <w:lvlText w:val="(%1)"/>
      <w:numFmt w:val="lowerLetter"/>
      <w:start w:val="1"/>
    </w:lvl>
  </w:abstractNum>
  <w:abstractNum w:abstractNumId="76">
    <w:nsid w:val="6A5F7029"/>
    <w:multiLevelType w:val="hybridMultilevel"/>
    <w:lvl w:ilvl="0">
      <w:lvlJc w:val="left"/>
      <w:lvlText w:val="(%1)"/>
      <w:numFmt w:val="decimal"/>
      <w:start w:val="2"/>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1"/>
      <w:numFmt w:val="upperLetter"/>
      <w:start w:val="1"/>
    </w:lvl>
    <w:lvl w:ilvl="1">
      <w:lvlJc w:val="left"/>
      <w:lvlText w:val="(%2)"/>
      <w:numFmt w:val="decimal"/>
      <w:start w:val="1"/>
    </w:lvl>
  </w:abstractNum>
  <w:abstractNum w:abstractNumId="79">
    <w:nsid w:val="73A1821B"/>
    <w:multiLevelType w:val="hybridMultilevel"/>
    <w:lvl w:ilvl="0">
      <w:lvlJc w:val="left"/>
      <w:lvlText w:val="(%1)"/>
      <w:numFmt w:val="upperLetter"/>
      <w:start w:val="2"/>
    </w:lvl>
    <w:lvl w:ilvl="1">
      <w:lvlJc w:val="left"/>
      <w:lvlText w:val="(%2)"/>
      <w:numFmt w:val="decimal"/>
      <w:start w:val="2"/>
    </w:lvl>
  </w:abstractNum>
  <w:abstractNum w:abstractNumId="80">
    <w:nsid w:val="7DE67713"/>
    <w:multiLevelType w:val="hybridMultilevel"/>
    <w:lvl w:ilvl="0">
      <w:lvlJc w:val="left"/>
      <w:lvlText w:val="(%1)"/>
      <w:numFmt w:val="decimal"/>
      <w:start w:val="4"/>
    </w:lvl>
  </w:abstractNum>
  <w:abstractNum w:abstractNumId="81">
    <w:nsid w:val="555C55B5"/>
    <w:multiLevelType w:val="hybridMultilevel"/>
    <w:lvl w:ilvl="0">
      <w:lvlJc w:val="left"/>
      <w:lvlText w:val="(%1)"/>
      <w:numFmt w:val="decimal"/>
      <w:start w:val="1"/>
    </w:lvl>
  </w:abstractNum>
  <w:abstractNum w:abstractNumId="82">
    <w:nsid w:val="3FA62ACA"/>
    <w:multiLevelType w:val="hybridMultilevel"/>
    <w:lvl w:ilvl="0">
      <w:lvlJc w:val="left"/>
      <w:lvlText w:val="(%1)"/>
      <w:numFmt w:val="decimal"/>
      <w:start w:val="6"/>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1)"/>
      <w:numFmt w:val="decimal"/>
      <w:start w:val="1"/>
    </w:lvl>
  </w:abstractNum>
  <w:abstractNum w:abstractNumId="86">
    <w:nsid w:val="9DAF632"/>
    <w:multiLevelType w:val="hybridMultilevel"/>
    <w:lvl w:ilvl="0">
      <w:lvlJc w:val="left"/>
      <w:lvlText w:val="(%1)"/>
      <w:numFmt w:val="decimal"/>
      <w:start w:val="5"/>
    </w:lvl>
  </w:abstractNum>
  <w:abstractNum w:abstractNumId="87">
    <w:nsid w:val="53299938"/>
    <w:multiLevelType w:val="hybridMultilevel"/>
    <w:lvl w:ilvl="0">
      <w:lvlJc w:val="left"/>
      <w:lvlText w:val="(%1)"/>
      <w:numFmt w:val="decimal"/>
      <w:start w:val="16"/>
    </w:lvl>
  </w:abstractNum>
  <w:abstractNum w:abstractNumId="88">
    <w:nsid w:val="1FBFE8E0"/>
    <w:multiLevelType w:val="hybridMultilevel"/>
    <w:lvl w:ilvl="0">
      <w:lvlJc w:val="left"/>
      <w:lvlText w:val="(%1)"/>
      <w:numFmt w:val="decimal"/>
      <w:start w:val="1"/>
    </w:lvl>
  </w:abstractNum>
  <w:abstractNum w:abstractNumId="89">
    <w:nsid w:val="5092CA79"/>
    <w:multiLevelType w:val="hybridMultilevel"/>
    <w:lvl w:ilvl="0">
      <w:lvlJc w:val="left"/>
      <w:lvlText w:val="%1"/>
      <w:numFmt w:val="upperLetter"/>
      <w:start w:val="1"/>
    </w:lvl>
    <w:lvl w:ilvl="1">
      <w:lvlJc w:val="left"/>
      <w:lvlText w:val="(%2)"/>
      <w:numFmt w:val="decimal"/>
      <w:start w:val="1"/>
    </w:lvl>
  </w:abstractNum>
  <w:abstractNum w:abstractNumId="90">
    <w:nsid w:val="1D545C4D"/>
    <w:multiLevelType w:val="hybridMultilevel"/>
    <w:lvl w:ilvl="0">
      <w:lvlJc w:val="left"/>
      <w:lvlText w:val="(%1)"/>
      <w:numFmt w:val="upperLetter"/>
      <w:start w:val="2"/>
    </w:lvl>
    <w:lvl w:ilvl="1">
      <w:lvlJc w:val="left"/>
      <w:lvlText w:val="(%2)"/>
      <w:numFmt w:val="decimal"/>
      <w:start w:val="3"/>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1)"/>
      <w:numFmt w:val="decimal"/>
      <w:start w:val="7"/>
    </w:lvl>
  </w:abstractNum>
  <w:abstractNum w:abstractNumId="96">
    <w:nsid w:val="51088277"/>
    <w:multiLevelType w:val="hybridMultilevel"/>
    <w:lvl w:ilvl="0">
      <w:lvlJc w:val="left"/>
      <w:lvlText w:val="(%1)"/>
      <w:numFmt w:val="decimal"/>
      <w:start w:val="1"/>
    </w:lvl>
    <w:lvl w:ilvl="1">
      <w:lvlJc w:val="left"/>
      <w:lvlText w:val="(%2)"/>
      <w:numFmt w:val="upperLetter"/>
      <w:start w:val="1"/>
    </w:lvl>
  </w:abstractNum>
  <w:abstractNum w:abstractNumId="97">
    <w:nsid w:val="1CA0C5FA"/>
    <w:multiLevelType w:val="hybridMultilevel"/>
    <w:lvl w:ilvl="0">
      <w:lvlJc w:val="left"/>
      <w:lvlText w:val="(%1)"/>
      <w:numFmt w:val="decimal"/>
      <w:start w:val="2"/>
    </w:lvl>
  </w:abstractNum>
  <w:abstractNum w:abstractNumId="98">
    <w:nsid w:val="53584BCB"/>
    <w:multiLevelType w:val="hybridMultilevel"/>
    <w:lvl w:ilvl="0">
      <w:lvlJc w:val="left"/>
      <w:lvlText w:val="(%1)"/>
      <w:numFmt w:val="decimal"/>
      <w:start w:val="1"/>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decimal"/>
      <w:start w:val="1"/>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1)"/>
      <w:numFmt w:val="decimal"/>
      <w:start w:val="3"/>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1)"/>
      <w:numFmt w:val="decimal"/>
      <w:start w:val="2"/>
    </w:lvl>
  </w:abstractNum>
  <w:abstractNum w:abstractNumId="109">
    <w:nsid w:val="2B0D8DBE"/>
    <w:multiLevelType w:val="hybridMultilevel"/>
    <w:lvl w:ilvl="0">
      <w:lvlJc w:val="left"/>
      <w:lvlText w:val="%1"/>
      <w:numFmt w:val="decimal"/>
      <w:start w:val="1"/>
    </w:lvl>
    <w:lvl w:ilvl="1">
      <w:lvlJc w:val="left"/>
      <w:lvlText w:val="(%2)"/>
      <w:numFmt w:val="decimal"/>
      <w:start w:val="1"/>
    </w:lvl>
  </w:abstractNum>
  <w:abstractNum w:abstractNumId="110">
    <w:nsid w:val="6C80EC70"/>
    <w:multiLevelType w:val="hybridMultilevel"/>
    <w:lvl w:ilvl="0">
      <w:lvlJc w:val="left"/>
      <w:lvlText w:val="(%1)"/>
      <w:numFmt w:val="decimal"/>
      <w:start w:val="9"/>
    </w:lvl>
    <w:lvl w:ilvl="1">
      <w:lvlJc w:val="left"/>
      <w:lvlText w:val="%2"/>
      <w:numFmt w:val="decimal"/>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decimal"/>
      <w:start w:val="2"/>
    </w:lvl>
  </w:abstractNum>
  <w:abstractNum w:abstractNumId="114">
    <w:nsid w:val="4C9B0904"/>
    <w:multiLevelType w:val="hybridMultilevel"/>
    <w:lvl w:ilvl="0">
      <w:lvlJc w:val="left"/>
      <w:lvlText w:val="(%1)"/>
      <w:numFmt w:val="decimal"/>
      <w:start w:val="1"/>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upperLetter"/>
      <w:start w:val="1"/>
    </w:lvl>
    <w:lvl w:ilvl="1">
      <w:lvlJc w:val="left"/>
      <w:lvlText w:val="(%2)"/>
      <w:numFmt w:val="decimal"/>
      <w:start w:val="1"/>
    </w:lvl>
  </w:abstractNum>
  <w:abstractNum w:abstractNumId="117">
    <w:nsid w:val="5675FF36"/>
    <w:multiLevelType w:val="hybridMultilevel"/>
    <w:lvl w:ilvl="0">
      <w:lvlJc w:val="left"/>
      <w:lvlText w:val="(%1)"/>
      <w:numFmt w:val="upperLetter"/>
      <w:start w:val="2"/>
    </w:lvl>
    <w:lvl w:ilvl="1">
      <w:lvlJc w:val="left"/>
      <w:lvlText w:val="%2"/>
      <w:numFmt w:val="decimal"/>
      <w:start w:val="1"/>
    </w:lvl>
  </w:abstractNum>
  <w:abstractNum w:abstractNumId="118">
    <w:nsid w:val="3DD15094"/>
    <w:multiLevelType w:val="hybridMultilevel"/>
    <w:lvl w:ilvl="0">
      <w:lvlJc w:val="left"/>
      <w:lvlText w:val="(%1)"/>
      <w:numFmt w:val="decimal"/>
      <w:start w:val="2"/>
    </w:lvl>
  </w:abstractNum>
  <w:abstractNum w:abstractNumId="119">
    <w:nsid w:val="3DB012B3"/>
    <w:multiLevelType w:val="hybridMultilevel"/>
    <w:lvl w:ilvl="0">
      <w:lvlJc w:val="left"/>
      <w:lvlText w:val="(%1)"/>
      <w:numFmt w:val="decimal"/>
      <w:start w:val="9"/>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1"/>
      <w:numFmt w:val="upperLetter"/>
      <w:start w:val="1"/>
    </w:lvl>
    <w:lvl w:ilvl="1">
      <w:lvlJc w:val="left"/>
      <w:lvlText w:val="%2."/>
      <w:numFmt w:val="decimal"/>
      <w:start w:val="3"/>
    </w:lvl>
  </w:abstractNum>
  <w:abstractNum w:abstractNumId="122">
    <w:nsid w:val="175DFCF0"/>
    <w:multiLevelType w:val="hybridMultilevel"/>
    <w:lvl w:ilvl="0">
      <w:lvlJc w:val="left"/>
      <w:lvlText w:val="(%1)"/>
      <w:numFmt w:val="upperLetter"/>
      <w:start w:val="2"/>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2019-12-06T02:22:33Z</dcterms:created>
  <dcterms:modified xsi:type="dcterms:W3CDTF">2019-12-06T02:22:33Z</dcterms:modified>
</cp:coreProperties>
</file>