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10-K/A</w:t>
      </w: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4" w:lineRule="exact"/>
        <w:rPr>
          <w:sz w:val="24"/>
          <w:szCs w:val="24"/>
          <w:color w:val="auto"/>
        </w:rPr>
      </w:pPr>
    </w:p>
    <w:p>
      <w:pPr>
        <w:ind w:left="4300" w:right="2140" w:hanging="4292"/>
        <w:spacing w:after="0" w:line="532" w:lineRule="auto"/>
        <w:tabs>
          <w:tab w:leader="none" w:pos="49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2008</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For the transition period from ________ to 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001-33660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4" w:lineRule="exact"/>
        <w:rPr>
          <w:sz w:val="24"/>
          <w:szCs w:val="24"/>
          <w:color w:val="auto"/>
        </w:rPr>
      </w:pPr>
    </w:p>
    <w:tbl>
      <w:tblPr>
        <w:tblLayout w:type="fixed"/>
        <w:tblInd w:w="3140" w:type="dxa"/>
        <w:tblCellMar>
          <w:top w:w="0" w:type="dxa"/>
          <w:left w:w="0" w:type="dxa"/>
          <w:bottom w:w="0" w:type="dxa"/>
          <w:right w:w="0" w:type="dxa"/>
        </w:tblCellMar>
      </w:tblPr>
      <w:tr>
        <w:trPr>
          <w:trHeight w:val="207"/>
        </w:trPr>
        <w:tc>
          <w:tcPr>
            <w:tcW w:w="3080" w:type="dxa"/>
            <w:vAlign w:val="bottom"/>
          </w:tcPr>
          <w:p>
            <w:pPr>
              <w:jc w:val="center"/>
              <w:ind w:right="810"/>
              <w:spacing w:after="0"/>
              <w:rPr>
                <w:sz w:val="20"/>
                <w:szCs w:val="20"/>
                <w:color w:val="auto"/>
              </w:rPr>
            </w:pPr>
            <w:r>
              <w:rPr>
                <w:rFonts w:ascii="Arial" w:cs="Arial" w:eastAsia="Arial" w:hAnsi="Arial"/>
                <w:sz w:val="18"/>
                <w:szCs w:val="18"/>
                <w:b w:val="1"/>
                <w:bCs w:val="1"/>
                <w:color w:val="auto"/>
                <w:w w:val="94"/>
              </w:rPr>
              <w:t>Utah</w:t>
            </w:r>
          </w:p>
        </w:tc>
        <w:tc>
          <w:tcPr>
            <w:tcW w:w="224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87-0398877</w:t>
            </w:r>
          </w:p>
        </w:tc>
      </w:tr>
      <w:tr>
        <w:trPr>
          <w:trHeight w:val="216"/>
        </w:trPr>
        <w:tc>
          <w:tcPr>
            <w:tcW w:w="308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2"/>
              </w:rPr>
              <w:t>(I.R.S. Employer</w:t>
            </w:r>
          </w:p>
        </w:tc>
      </w:tr>
      <w:tr>
        <w:trPr>
          <w:trHeight w:val="230"/>
        </w:trPr>
        <w:tc>
          <w:tcPr>
            <w:tcW w:w="3080" w:type="dxa"/>
            <w:vAlign w:val="bottom"/>
          </w:tcPr>
          <w:p>
            <w:pPr>
              <w:jc w:val="center"/>
              <w:ind w:right="830"/>
              <w:spacing w:after="0"/>
              <w:rPr>
                <w:sz w:val="20"/>
                <w:szCs w:val="20"/>
                <w:color w:val="auto"/>
              </w:rPr>
            </w:pPr>
            <w:r>
              <w:rPr>
                <w:rFonts w:ascii="Arial" w:cs="Arial" w:eastAsia="Arial" w:hAnsi="Arial"/>
                <w:sz w:val="18"/>
                <w:szCs w:val="18"/>
                <w:color w:val="auto"/>
                <w:w w:val="92"/>
              </w:rPr>
              <w:t>incorporation or organization)</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 w:lineRule="exact"/>
        <w:rPr>
          <w:sz w:val="24"/>
          <w:szCs w:val="24"/>
          <w:color w:val="auto"/>
        </w:rPr>
      </w:pPr>
    </w:p>
    <w:tbl>
      <w:tblPr>
        <w:tblLayout w:type="fixed"/>
        <w:tblInd w:w="2300" w:type="dxa"/>
        <w:tblCellMar>
          <w:top w:w="0" w:type="dxa"/>
          <w:left w:w="0" w:type="dxa"/>
          <w:bottom w:w="0" w:type="dxa"/>
          <w:right w:w="0" w:type="dxa"/>
        </w:tblCellMar>
      </w:tblPr>
      <w:tr>
        <w:trPr>
          <w:trHeight w:val="207"/>
        </w:trPr>
        <w:tc>
          <w:tcPr>
            <w:tcW w:w="3460" w:type="dxa"/>
            <w:vAlign w:val="bottom"/>
          </w:tcPr>
          <w:p>
            <w:pPr>
              <w:jc w:val="center"/>
              <w:spacing w:after="0"/>
              <w:rPr>
                <w:sz w:val="20"/>
                <w:szCs w:val="20"/>
                <w:color w:val="auto"/>
              </w:rPr>
            </w:pPr>
            <w:r>
              <w:rPr>
                <w:rFonts w:ascii="Arial" w:cs="Arial" w:eastAsia="Arial" w:hAnsi="Arial"/>
                <w:sz w:val="18"/>
                <w:szCs w:val="18"/>
                <w:color w:val="auto"/>
                <w:w w:val="90"/>
              </w:rPr>
              <w:t>Securities registered under Section 12(b) of the</w:t>
            </w:r>
          </w:p>
        </w:tc>
        <w:tc>
          <w:tcPr>
            <w:tcW w:w="3260" w:type="dxa"/>
            <w:vAlign w:val="bottom"/>
          </w:tcPr>
          <w:p>
            <w:pPr>
              <w:spacing w:after="0"/>
              <w:rPr>
                <w:sz w:val="18"/>
                <w:szCs w:val="18"/>
                <w:color w:val="auto"/>
              </w:rPr>
            </w:pPr>
          </w:p>
        </w:tc>
      </w:tr>
      <w:tr>
        <w:trPr>
          <w:trHeight w:val="216"/>
        </w:trPr>
        <w:tc>
          <w:tcPr>
            <w:tcW w:w="3460" w:type="dxa"/>
            <w:vAlign w:val="bottom"/>
          </w:tcPr>
          <w:p>
            <w:pPr>
              <w:jc w:val="center"/>
              <w:spacing w:after="0"/>
              <w:rPr>
                <w:sz w:val="20"/>
                <w:szCs w:val="20"/>
                <w:color w:val="auto"/>
              </w:rPr>
            </w:pPr>
            <w:r>
              <w:rPr>
                <w:rFonts w:ascii="Arial" w:cs="Arial" w:eastAsia="Arial" w:hAnsi="Arial"/>
                <w:sz w:val="18"/>
                <w:szCs w:val="18"/>
                <w:color w:val="auto"/>
              </w:rPr>
              <w:t>Act:</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2"/>
        </w:trPr>
        <w:tc>
          <w:tcPr>
            <w:tcW w:w="346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3260" w:type="dxa"/>
            <w:vAlign w:val="bottom"/>
          </w:tcPr>
          <w:p>
            <w:pPr>
              <w:spacing w:after="0"/>
              <w:rPr>
                <w:sz w:val="18"/>
                <w:szCs w:val="18"/>
                <w:color w:val="auto"/>
              </w:rPr>
            </w:pPr>
          </w:p>
        </w:tc>
      </w:tr>
      <w:tr>
        <w:trPr>
          <w:trHeight w:val="234"/>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$0.001 par value</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Capital Market</w:t>
            </w:r>
          </w:p>
        </w:tc>
      </w:tr>
    </w:tbl>
    <w:p>
      <w:pPr>
        <w:spacing w:after="0" w:line="225"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 xml:space="preserve">Securities registered under Section 12(g) of the Act: </w:t>
      </w:r>
      <w:r>
        <w:rPr>
          <w:rFonts w:ascii="Arial" w:cs="Arial" w:eastAsia="Arial" w:hAnsi="Arial"/>
          <w:sz w:val="18"/>
          <w:szCs w:val="18"/>
          <w:b w:val="1"/>
          <w:bCs w:val="1"/>
          <w:color w:val="auto"/>
        </w:rPr>
        <w:t>None</w:t>
      </w:r>
    </w:p>
    <w:p>
      <w:pPr>
        <w:spacing w:after="0" w:line="22" w:lineRule="exact"/>
        <w:rPr>
          <w:sz w:val="24"/>
          <w:szCs w:val="24"/>
          <w:color w:val="auto"/>
        </w:rPr>
      </w:pPr>
    </w:p>
    <w:p>
      <w:pPr>
        <w:spacing w:after="0" w:line="207" w:lineRule="exact"/>
        <w:tabs>
          <w:tab w:leader="none" w:pos="866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10" w:lineRule="exact"/>
        <w:rPr>
          <w:sz w:val="24"/>
          <w:szCs w:val="24"/>
          <w:color w:val="auto"/>
        </w:rPr>
      </w:pPr>
    </w:p>
    <w:p>
      <w:pPr>
        <w:spacing w:after="0" w:line="207" w:lineRule="exact"/>
        <w:tabs>
          <w:tab w:leader="none" w:pos="898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15(d)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85"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10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218" w:lineRule="exact"/>
        <w:rPr>
          <w:sz w:val="24"/>
          <w:szCs w:val="24"/>
          <w:color w:val="auto"/>
        </w:rPr>
      </w:pPr>
    </w:p>
    <w:p>
      <w:pPr>
        <w:ind w:right="360"/>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“larger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176"/>
        </w:trPr>
        <w:tc>
          <w:tcPr>
            <w:tcW w:w="4860" w:type="dxa"/>
            <w:vAlign w:val="bottom"/>
          </w:tcPr>
          <w:p>
            <w:pPr>
              <w:ind w:left="2300"/>
              <w:spacing w:after="0" w:line="176"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p>
        </w:tc>
        <w:tc>
          <w:tcPr>
            <w:tcW w:w="6560" w:type="dxa"/>
            <w:vAlign w:val="bottom"/>
          </w:tcPr>
          <w:p>
            <w:pPr>
              <w:ind w:left="600"/>
              <w:spacing w:after="0" w:line="176"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83"/>
        </w:trPr>
        <w:tc>
          <w:tcPr>
            <w:tcW w:w="4860" w:type="dxa"/>
            <w:vAlign w:val="bottom"/>
          </w:tcPr>
          <w:p>
            <w:pPr>
              <w:ind w:left="2300"/>
              <w:spacing w:after="0"/>
              <w:rPr>
                <w:sz w:val="20"/>
                <w:szCs w:val="20"/>
                <w:color w:val="auto"/>
              </w:rPr>
            </w:pPr>
            <w:r>
              <w:rPr>
                <w:rFonts w:ascii="Arial" w:cs="Arial" w:eastAsia="Arial" w:hAnsi="Arial"/>
                <w:sz w:val="18"/>
                <w:szCs w:val="18"/>
                <w:color w:val="auto"/>
              </w:rPr>
              <w:t>Non-Accelerated Filer x</w:t>
            </w:r>
          </w:p>
        </w:tc>
        <w:tc>
          <w:tcPr>
            <w:tcW w:w="65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41"/>
        </w:trPr>
        <w:tc>
          <w:tcPr>
            <w:tcW w:w="486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71"/>
        </w:trPr>
        <w:tc>
          <w:tcPr>
            <w:tcW w:w="4860" w:type="dxa"/>
            <w:vAlign w:val="bottom"/>
            <w:shd w:val="clear" w:color="auto" w:fill="808080"/>
          </w:tcPr>
          <w:p>
            <w:pPr>
              <w:spacing w:after="0"/>
              <w:rPr>
                <w:sz w:val="6"/>
                <w:szCs w:val="6"/>
                <w:color w:val="auto"/>
              </w:rPr>
            </w:pPr>
          </w:p>
        </w:tc>
        <w:tc>
          <w:tcPr>
            <w:tcW w:w="6560" w:type="dxa"/>
            <w:vAlign w:val="bottom"/>
            <w:shd w:val="clear" w:color="auto" w:fill="808080"/>
          </w:tcPr>
          <w:p>
            <w:pPr>
              <w:spacing w:after="0"/>
              <w:rPr>
                <w:sz w:val="6"/>
                <w:szCs w:val="6"/>
                <w:color w:val="auto"/>
              </w:rPr>
            </w:pPr>
          </w:p>
        </w:tc>
      </w:tr>
      <w:tr>
        <w:trPr>
          <w:trHeight w:val="996"/>
        </w:trPr>
        <w:tc>
          <w:tcPr>
            <w:tcW w:w="4860" w:type="dxa"/>
            <w:vAlign w:val="bottom"/>
            <w:tcBorders>
              <w:bottom w:val="single" w:sz="8" w:color="808080"/>
            </w:tcBorders>
          </w:tcPr>
          <w:p>
            <w:pPr>
              <w:spacing w:after="0"/>
              <w:rPr>
                <w:sz w:val="24"/>
                <w:szCs w:val="24"/>
                <w:color w:val="auto"/>
              </w:rPr>
            </w:pPr>
          </w:p>
        </w:tc>
        <w:tc>
          <w:tcPr>
            <w:tcW w:w="65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whether the issuer is a shell company (as defined in Rule 12b-2 of the Securities Act).</w:t>
      </w:r>
    </w:p>
    <w:p>
      <w:pPr>
        <w:spacing w:after="0" w:line="18" w:lineRule="exact"/>
        <w:rPr>
          <w:sz w:val="20"/>
          <w:szCs w:val="20"/>
          <w:color w:val="auto"/>
        </w:rPr>
      </w:pPr>
    </w:p>
    <w:p>
      <w:pPr>
        <w:spacing w:after="0" w:line="207" w:lineRule="exact"/>
        <w:tabs>
          <w:tab w:leader="none" w:pos="10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of the shares of voting common stock held by non-affiliates was approximately $48,415,000 at December 31, 2007, based on the $5.42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shares of ClearOne common stock outstanding as of September 9, 2008 was 10,230,968.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ClearOne Communications, Inc., (the “Company) is filing this Amendment No. 3 on Form 10-K/A (“Amendment No. 3”) to amend our Annual Report on Form 10-K for the fiscal year ended June 30, 2008, as filed with the Securities and Exchange Commission (“SEC”) on September 10, 2008 (the “Original Filing”) and amended on October 15, 2008 (“Amendment No.1”) and October 6, 2009 (“Amendment No. 2”). This Amendment No. 3 is filed to rectify the certifications filed as Exhibits 31.1 and 31.2 to Amendment No. 2.</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with respect to the foregoing, we have not modified or updated any of our prior disclosure made in our Amendment No. 2 or exhibits thereto, and this Amendment No. 3 does not reflect the occurrence of any events following the date of Amendment No. 2. Accordingly, this Amendment No. 3 should be read in conjunction with our filings made with the SEC subsequent to our Original Filing.</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IV.</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90"/>
        </w:trPr>
        <w:tc>
          <w:tcPr>
            <w:tcW w:w="280" w:type="dxa"/>
            <w:vAlign w:val="bottom"/>
          </w:tcPr>
          <w:p>
            <w:pPr>
              <w:spacing w:after="0" w:line="190" w:lineRule="exact"/>
              <w:rPr>
                <w:sz w:val="20"/>
                <w:szCs w:val="20"/>
                <w:color w:val="auto"/>
              </w:rPr>
            </w:pPr>
            <w:r>
              <w:rPr>
                <w:rFonts w:ascii="Arial" w:cs="Arial" w:eastAsia="Arial" w:hAnsi="Arial"/>
                <w:sz w:val="18"/>
                <w:szCs w:val="18"/>
                <w:color w:val="auto"/>
                <w:w w:val="92"/>
              </w:rPr>
              <w:t>No.</w:t>
            </w:r>
          </w:p>
        </w:tc>
        <w:tc>
          <w:tcPr>
            <w:tcW w:w="980" w:type="dxa"/>
            <w:vAlign w:val="bottom"/>
          </w:tcPr>
          <w:p>
            <w:pPr>
              <w:spacing w:after="0"/>
              <w:rPr>
                <w:sz w:val="16"/>
                <w:szCs w:val="16"/>
                <w:color w:val="auto"/>
              </w:rPr>
            </w:pPr>
          </w:p>
        </w:tc>
        <w:tc>
          <w:tcPr>
            <w:tcW w:w="3820" w:type="dxa"/>
            <w:vAlign w:val="bottom"/>
            <w:gridSpan w:val="3"/>
          </w:tcPr>
          <w:p>
            <w:pPr>
              <w:spacing w:after="0" w:line="190" w:lineRule="exact"/>
              <w:rPr>
                <w:sz w:val="20"/>
                <w:szCs w:val="20"/>
                <w:color w:val="auto"/>
              </w:rPr>
            </w:pPr>
            <w:r>
              <w:rPr>
                <w:rFonts w:ascii="Arial" w:cs="Arial" w:eastAsia="Arial" w:hAnsi="Arial"/>
                <w:sz w:val="18"/>
                <w:szCs w:val="18"/>
                <w:color w:val="auto"/>
              </w:rPr>
              <w:t>Title of Document</w:t>
            </w:r>
          </w:p>
        </w:tc>
      </w:tr>
      <w:tr>
        <w:trPr>
          <w:trHeight w:val="20"/>
        </w:trPr>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22"/>
        </w:trPr>
        <w:tc>
          <w:tcPr>
            <w:tcW w:w="1260" w:type="dxa"/>
            <w:vAlign w:val="bottom"/>
            <w:gridSpan w:val="2"/>
          </w:tcPr>
          <w:p>
            <w:pPr>
              <w:spacing w:after="0"/>
              <w:rPr>
                <w:sz w:val="20"/>
                <w:szCs w:val="20"/>
                <w:color w:val="auto"/>
              </w:rPr>
            </w:pPr>
            <w:r>
              <w:rPr>
                <w:rFonts w:ascii="Arial" w:cs="Arial" w:eastAsia="Arial" w:hAnsi="Arial"/>
                <w:sz w:val="18"/>
                <w:szCs w:val="18"/>
                <w:color w:val="auto"/>
              </w:rPr>
              <w:t>31.1</w:t>
            </w:r>
          </w:p>
        </w:tc>
        <w:tc>
          <w:tcPr>
            <w:tcW w:w="940" w:type="dxa"/>
            <w:vAlign w:val="bottom"/>
          </w:tcPr>
          <w:p>
            <w:pPr>
              <w:ind w:left="60"/>
              <w:spacing w:after="0"/>
              <w:rPr>
                <w:sz w:val="20"/>
                <w:szCs w:val="20"/>
                <w:color w:val="auto"/>
              </w:rPr>
            </w:pPr>
            <w:r>
              <w:rPr>
                <w:rFonts w:ascii="Arial" w:cs="Arial" w:eastAsia="Arial" w:hAnsi="Arial"/>
                <w:sz w:val="18"/>
                <w:szCs w:val="18"/>
                <w:color w:val="auto"/>
                <w:w w:val="90"/>
              </w:rPr>
              <w:t>Section 302</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w w:val="93"/>
              </w:rPr>
              <w:t>Certification of Chief Executive Officer</w:t>
            </w:r>
          </w:p>
        </w:tc>
      </w:t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31.2</w:t>
            </w:r>
          </w:p>
        </w:tc>
        <w:tc>
          <w:tcPr>
            <w:tcW w:w="940" w:type="dxa"/>
            <w:vAlign w:val="bottom"/>
          </w:tcPr>
          <w:p>
            <w:pPr>
              <w:ind w:left="60"/>
              <w:spacing w:after="0"/>
              <w:rPr>
                <w:sz w:val="20"/>
                <w:szCs w:val="20"/>
                <w:color w:val="auto"/>
              </w:rPr>
            </w:pPr>
            <w:r>
              <w:rPr>
                <w:rFonts w:ascii="Arial" w:cs="Arial" w:eastAsia="Arial" w:hAnsi="Arial"/>
                <w:sz w:val="18"/>
                <w:szCs w:val="18"/>
                <w:color w:val="auto"/>
                <w:w w:val="90"/>
              </w:rPr>
              <w:t>Section 302</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w w:val="95"/>
              </w:rPr>
              <w:t>Certification of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4780" w:val="left"/>
          <w:tab w:leader="none" w:pos="5360" w:val="left"/>
        </w:tabs>
        <w:rPr>
          <w:sz w:val="20"/>
          <w:szCs w:val="20"/>
          <w:color w:val="auto"/>
        </w:rPr>
      </w:pPr>
      <w:r>
        <w:rPr>
          <w:rFonts w:ascii="Arial" w:cs="Arial" w:eastAsia="Arial" w:hAnsi="Arial"/>
          <w:sz w:val="18"/>
          <w:szCs w:val="18"/>
          <w:color w:val="auto"/>
        </w:rPr>
        <w:t>November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334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Chief Executive Officer, and Chairman</w:t>
      </w:r>
    </w:p>
    <w:p>
      <w:pPr>
        <w:spacing w:after="0" w:line="200" w:lineRule="exact"/>
        <w:rPr>
          <w:sz w:val="20"/>
          <w:szCs w:val="20"/>
          <w:color w:val="auto"/>
        </w:rPr>
      </w:pP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center"/>
              <w:ind w:right="1160"/>
              <w:spacing w:after="0"/>
              <w:rPr>
                <w:sz w:val="20"/>
                <w:szCs w:val="20"/>
                <w:color w:val="auto"/>
              </w:rPr>
            </w:pPr>
            <w:r>
              <w:rPr>
                <w:rFonts w:ascii="Arial" w:cs="Arial" w:eastAsia="Arial" w:hAnsi="Arial"/>
                <w:sz w:val="18"/>
                <w:szCs w:val="18"/>
                <w:b w:val="1"/>
                <w:bCs w:val="1"/>
                <w:color w:val="auto"/>
                <w:w w:val="89"/>
              </w:rPr>
              <w:t>Signature</w:t>
            </w:r>
          </w:p>
        </w:tc>
        <w:tc>
          <w:tcPr>
            <w:tcW w:w="28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4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92"/>
        </w:trPr>
        <w:tc>
          <w:tcPr>
            <w:tcW w:w="1080" w:type="dxa"/>
            <w:vAlign w:val="bottom"/>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3"/>
              </w:rPr>
              <w:t>/s/ Zeynep Hakimoglu</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Chairman</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November 16, 2009</w:t>
            </w:r>
          </w:p>
        </w:tc>
      </w:tr>
      <w:tr>
        <w:trPr>
          <w:trHeight w:val="237"/>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4"/>
          </w:tcPr>
          <w:p>
            <w:pPr>
              <w:jc w:val="center"/>
              <w:ind w:right="1180"/>
              <w:spacing w:after="0"/>
              <w:rPr>
                <w:sz w:val="20"/>
                <w:szCs w:val="20"/>
                <w:color w:val="auto"/>
              </w:rPr>
            </w:pPr>
            <w:r>
              <w:rPr>
                <w:rFonts w:ascii="Arial" w:cs="Arial" w:eastAsia="Arial" w:hAnsi="Arial"/>
                <w:sz w:val="18"/>
                <w:szCs w:val="18"/>
                <w:color w:val="auto"/>
                <w:w w:val="93"/>
              </w:rPr>
              <w:t>Zeynep Hakimoglu</w:t>
            </w:r>
          </w:p>
        </w:tc>
        <w:tc>
          <w:tcPr>
            <w:tcW w:w="28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Narsi Narayanan</w:t>
            </w:r>
          </w:p>
        </w:tc>
        <w:tc>
          <w:tcPr>
            <w:tcW w:w="116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Vice President of Finance</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November 16, 2009</w:t>
            </w:r>
          </w:p>
        </w:tc>
      </w:tr>
      <w:tr>
        <w:trPr>
          <w:trHeight w:val="237"/>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4"/>
          </w:tcPr>
          <w:p>
            <w:pPr>
              <w:jc w:val="center"/>
              <w:ind w:right="1160"/>
              <w:spacing w:after="0"/>
              <w:rPr>
                <w:sz w:val="20"/>
                <w:szCs w:val="20"/>
                <w:color w:val="auto"/>
              </w:rPr>
            </w:pPr>
            <w:r>
              <w:rPr>
                <w:rFonts w:ascii="Arial" w:cs="Arial" w:eastAsia="Arial" w:hAnsi="Arial"/>
                <w:sz w:val="18"/>
                <w:szCs w:val="18"/>
                <w:color w:val="auto"/>
                <w:w w:val="90"/>
              </w:rPr>
              <w:t>Narsi Narayanan</w:t>
            </w:r>
          </w:p>
        </w:tc>
        <w:tc>
          <w:tcPr>
            <w:tcW w:w="28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jc w:val="center"/>
              <w:ind w:right="1160"/>
              <w:spacing w:after="0"/>
              <w:rPr>
                <w:sz w:val="20"/>
                <w:szCs w:val="20"/>
                <w:color w:val="auto"/>
              </w:rPr>
            </w:pPr>
            <w:r>
              <w:rPr>
                <w:rFonts w:ascii="Arial" w:cs="Arial" w:eastAsia="Arial" w:hAnsi="Arial"/>
                <w:sz w:val="18"/>
                <w:szCs w:val="18"/>
                <w:color w:val="auto"/>
                <w:w w:val="92"/>
              </w:rPr>
              <w:t>/s/ Brad R. Baldwin</w:t>
            </w: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November 16, 2009</w:t>
            </w:r>
          </w:p>
        </w:tc>
      </w:tr>
      <w:tr>
        <w:trPr>
          <w:trHeight w:val="237"/>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Brad R. Baldwin</w:t>
            </w:r>
          </w:p>
        </w:tc>
        <w:tc>
          <w:tcPr>
            <w:tcW w:w="1160" w:type="dxa"/>
            <w:vAlign w:val="bottom"/>
            <w:gridSpan w:val="3"/>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2680" w:type="dxa"/>
            <w:vAlign w:val="bottom"/>
            <w:gridSpan w:val="5"/>
          </w:tcPr>
          <w:p>
            <w:pPr>
              <w:jc w:val="center"/>
              <w:ind w:right="1060"/>
              <w:spacing w:after="0"/>
              <w:rPr>
                <w:sz w:val="20"/>
                <w:szCs w:val="20"/>
                <w:color w:val="auto"/>
              </w:rPr>
            </w:pPr>
            <w:r>
              <w:rPr>
                <w:rFonts w:ascii="Arial" w:cs="Arial" w:eastAsia="Arial" w:hAnsi="Arial"/>
                <w:sz w:val="18"/>
                <w:szCs w:val="18"/>
                <w:color w:val="auto"/>
                <w:w w:val="93"/>
              </w:rPr>
              <w:t>/s/ Larry R. Hendricks</w:t>
            </w: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November 16, 2009</w:t>
            </w:r>
          </w:p>
        </w:tc>
      </w:tr>
      <w:tr>
        <w:trPr>
          <w:trHeight w:val="237"/>
        </w:trPr>
        <w:tc>
          <w:tcPr>
            <w:tcW w:w="10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3"/>
              </w:rPr>
              <w:t>Larry R. Hendricks</w:t>
            </w:r>
          </w:p>
        </w:tc>
        <w:tc>
          <w:tcPr>
            <w:tcW w:w="108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92"/>
        </w:trPr>
        <w:tc>
          <w:tcPr>
            <w:tcW w:w="1080" w:type="dxa"/>
            <w:vAlign w:val="bottom"/>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/s/ Scott M. Huntsman</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4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November 16, 2009</w:t>
            </w:r>
          </w:p>
        </w:tc>
      </w:tr>
      <w:tr>
        <w:trPr>
          <w:trHeight w:val="237"/>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4"/>
          </w:tcPr>
          <w:p>
            <w:pPr>
              <w:jc w:val="center"/>
              <w:ind w:right="1180"/>
              <w:spacing w:after="0"/>
              <w:rPr>
                <w:sz w:val="20"/>
                <w:szCs w:val="20"/>
                <w:color w:val="auto"/>
              </w:rPr>
            </w:pPr>
            <w:r>
              <w:rPr>
                <w:rFonts w:ascii="Arial" w:cs="Arial" w:eastAsia="Arial" w:hAnsi="Arial"/>
                <w:sz w:val="18"/>
                <w:szCs w:val="18"/>
                <w:color w:val="auto"/>
                <w:w w:val="91"/>
              </w:rPr>
              <w:t>Scott M. Huntsman</w:t>
            </w:r>
          </w:p>
        </w:tc>
        <w:tc>
          <w:tcPr>
            <w:tcW w:w="2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1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 have reviewed this annual report of ClearOne Communications, Inc. on Form 10-K/A;</w:t>
      </w:r>
    </w:p>
    <w:p>
      <w:pPr>
        <w:spacing w:after="0" w:line="252" w:lineRule="exact"/>
        <w:rPr>
          <w:sz w:val="20"/>
          <w:szCs w:val="20"/>
          <w:color w:val="auto"/>
        </w:rPr>
      </w:pPr>
    </w:p>
    <w:p>
      <w:pPr>
        <w:ind w:left="340" w:right="12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sz w:val="20"/>
          <w:szCs w:val="20"/>
          <w:color w:val="auto"/>
        </w:rPr>
      </w:pPr>
    </w:p>
    <w:p>
      <w:pPr>
        <w:ind w:left="340" w:right="6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November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04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52"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10-K/A;</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sz w:val="20"/>
          <w:szCs w:val="20"/>
          <w:color w:val="auto"/>
        </w:rPr>
      </w:pPr>
    </w:p>
    <w:p>
      <w:pPr>
        <w:ind w:left="340" w:right="6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4520" w:val="left"/>
          <w:tab w:leader="none" w:pos="5080" w:val="left"/>
        </w:tabs>
        <w:rPr>
          <w:sz w:val="20"/>
          <w:szCs w:val="20"/>
          <w:color w:val="auto"/>
        </w:rPr>
      </w:pPr>
      <w:r>
        <w:rPr>
          <w:rFonts w:ascii="Arial" w:cs="Arial" w:eastAsia="Arial" w:hAnsi="Arial"/>
          <w:sz w:val="18"/>
          <w:szCs w:val="18"/>
          <w:color w:val="auto"/>
        </w:rPr>
        <w:t>Date: November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Vice President of Finance</w:t>
      </w:r>
    </w:p>
    <w:sectPr>
      <w:pgSz w:w="11900" w:h="16838" w:orient="portrait"/>
      <w:cols w:equalWidth="0" w:num="1">
        <w:col w:w="11420"/>
      </w:cols>
      <w:pgMar w:left="240" w:top="10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4"/>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2019-12-10T07:52:17Z</dcterms:created>
  <dcterms:modified xsi:type="dcterms:W3CDTF">2019-12-10T07:52:17Z</dcterms:modified>
</cp:coreProperties>
</file>