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367665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40" w:type="dxa"/>
            <w:vAlign w:val="bottom"/>
            <w:gridSpan w:val="2"/>
          </w:tcPr>
          <w:p>
            <w:pPr>
              <w:ind w:left="780"/>
              <w:spacing w:after="0"/>
              <w:rPr>
                <w:sz w:val="20"/>
                <w:szCs w:val="20"/>
                <w:color w:val="auto"/>
              </w:rPr>
            </w:pPr>
            <w:r>
              <w:rPr>
                <w:rFonts w:ascii="Arial" w:cs="Arial" w:eastAsia="Arial" w:hAnsi="Arial"/>
                <w:sz w:val="18"/>
                <w:szCs w:val="18"/>
                <w:b w:val="1"/>
                <w:bCs w:val="1"/>
                <w:color w:val="auto"/>
              </w:rPr>
              <w:t>NOTIFICATION OF LATE FILING</w:t>
            </w:r>
          </w:p>
        </w:tc>
        <w:tc>
          <w:tcPr>
            <w:tcW w:w="168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32"/>
        </w:trPr>
        <w:tc>
          <w:tcPr>
            <w:tcW w:w="1380" w:type="dxa"/>
            <w:vAlign w:val="bottom"/>
          </w:tcPr>
          <w:p>
            <w:pPr>
              <w:spacing w:after="0"/>
              <w:rPr>
                <w:sz w:val="20"/>
                <w:szCs w:val="20"/>
                <w:color w:val="auto"/>
              </w:rPr>
            </w:pPr>
            <w:r>
              <w:rPr>
                <w:rFonts w:ascii="Arial" w:cs="Arial" w:eastAsia="Arial" w:hAnsi="Arial"/>
                <w:sz w:val="18"/>
                <w:szCs w:val="18"/>
                <w:color w:val="auto"/>
              </w:rPr>
              <w:t>(CHECK ONE):</w:t>
            </w:r>
          </w:p>
        </w:tc>
        <w:tc>
          <w:tcPr>
            <w:tcW w:w="2040" w:type="dxa"/>
            <w:vAlign w:val="bottom"/>
            <w:gridSpan w:val="2"/>
          </w:tcPr>
          <w:p>
            <w:pPr>
              <w:ind w:left="200"/>
              <w:spacing w:after="0"/>
              <w:rPr>
                <w:sz w:val="20"/>
                <w:szCs w:val="20"/>
                <w:color w:val="auto"/>
              </w:rPr>
            </w:pPr>
            <w:r>
              <w:rPr>
                <w:rFonts w:ascii="Arial" w:cs="Arial" w:eastAsia="Arial" w:hAnsi="Arial"/>
                <w:sz w:val="18"/>
                <w:szCs w:val="18"/>
                <w:color w:val="auto"/>
              </w:rPr>
              <w:t>[] Form 10-K</w:t>
            </w:r>
          </w:p>
        </w:tc>
        <w:tc>
          <w:tcPr>
            <w:tcW w:w="1520" w:type="dxa"/>
            <w:vAlign w:val="bottom"/>
          </w:tcPr>
          <w:p>
            <w:pPr>
              <w:ind w:left="60"/>
              <w:spacing w:after="0"/>
              <w:rPr>
                <w:sz w:val="20"/>
                <w:szCs w:val="20"/>
                <w:color w:val="auto"/>
              </w:rPr>
            </w:pPr>
            <w:r>
              <w:rPr>
                <w:rFonts w:ascii="Arial" w:cs="Arial" w:eastAsia="Arial" w:hAnsi="Arial"/>
                <w:sz w:val="18"/>
                <w:szCs w:val="18"/>
                <w:color w:val="auto"/>
              </w:rPr>
              <w:t>[ ] Form 20-F</w:t>
            </w:r>
          </w:p>
        </w:tc>
        <w:tc>
          <w:tcPr>
            <w:tcW w:w="2220" w:type="dxa"/>
            <w:vAlign w:val="bottom"/>
          </w:tcPr>
          <w:p>
            <w:pPr>
              <w:ind w:left="440"/>
              <w:spacing w:after="0"/>
              <w:rPr>
                <w:sz w:val="20"/>
                <w:szCs w:val="20"/>
                <w:color w:val="auto"/>
              </w:rPr>
            </w:pPr>
            <w:r>
              <w:rPr>
                <w:rFonts w:ascii="Arial" w:cs="Arial" w:eastAsia="Arial" w:hAnsi="Arial"/>
                <w:sz w:val="18"/>
                <w:szCs w:val="18"/>
                <w:color w:val="auto"/>
              </w:rPr>
              <w:t>[ ] Form 11-K</w:t>
            </w:r>
          </w:p>
        </w:tc>
        <w:tc>
          <w:tcPr>
            <w:tcW w:w="1680" w:type="dxa"/>
            <w:vAlign w:val="bottom"/>
          </w:tcPr>
          <w:p>
            <w:pPr>
              <w:ind w:left="120"/>
              <w:spacing w:after="0"/>
              <w:rPr>
                <w:sz w:val="20"/>
                <w:szCs w:val="20"/>
                <w:color w:val="auto"/>
              </w:rPr>
            </w:pPr>
            <w:r>
              <w:rPr>
                <w:rFonts w:ascii="Arial" w:cs="Arial" w:eastAsia="Arial" w:hAnsi="Arial"/>
                <w:sz w:val="18"/>
                <w:szCs w:val="18"/>
                <w:color w:val="auto"/>
              </w:rPr>
              <w:t>[X] Form 10-Q</w:t>
            </w:r>
          </w:p>
        </w:tc>
        <w:tc>
          <w:tcPr>
            <w:tcW w:w="2400" w:type="dxa"/>
            <w:vAlign w:val="bottom"/>
          </w:tcPr>
          <w:p>
            <w:pPr>
              <w:ind w:left="460"/>
              <w:spacing w:after="0"/>
              <w:rPr>
                <w:sz w:val="20"/>
                <w:szCs w:val="20"/>
                <w:color w:val="auto"/>
              </w:rPr>
            </w:pPr>
            <w:r>
              <w:rPr>
                <w:rFonts w:ascii="Arial" w:cs="Arial" w:eastAsia="Arial" w:hAnsi="Arial"/>
                <w:sz w:val="18"/>
                <w:szCs w:val="18"/>
                <w:color w:val="auto"/>
              </w:rPr>
              <w:t>[ ] Form N-SAR</w:t>
            </w:r>
          </w:p>
        </w:tc>
      </w:tr>
      <w:tr>
        <w:trPr>
          <w:trHeight w:val="459"/>
        </w:trPr>
        <w:tc>
          <w:tcPr>
            <w:tcW w:w="2160" w:type="dxa"/>
            <w:vAlign w:val="bottom"/>
            <w:gridSpan w:val="2"/>
          </w:tcPr>
          <w:p>
            <w:pPr>
              <w:ind w:left="420"/>
              <w:spacing w:after="0"/>
              <w:rPr>
                <w:sz w:val="20"/>
                <w:szCs w:val="20"/>
                <w:color w:val="auto"/>
              </w:rPr>
            </w:pPr>
            <w:r>
              <w:rPr>
                <w:rFonts w:ascii="Arial" w:cs="Arial" w:eastAsia="Arial" w:hAnsi="Arial"/>
                <w:sz w:val="18"/>
                <w:szCs w:val="18"/>
                <w:color w:val="auto"/>
              </w:rPr>
              <w:t>For Period Ended:</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5"/>
              </w:rPr>
              <w:t>March 31, 2022</w:t>
            </w:r>
          </w:p>
        </w:tc>
        <w:tc>
          <w:tcPr>
            <w:tcW w:w="15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ind w:left="1600" w:hanging="148"/>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10-K</w:t>
      </w:r>
    </w:p>
    <w:p>
      <w:pPr>
        <w:spacing w:after="0" w:line="23" w:lineRule="exact"/>
        <w:rPr>
          <w:rFonts w:ascii="Arial" w:cs="Arial" w:eastAsia="Arial" w:hAnsi="Arial"/>
          <w:sz w:val="18"/>
          <w:szCs w:val="18"/>
          <w:color w:val="auto"/>
        </w:rPr>
      </w:pPr>
    </w:p>
    <w:p>
      <w:pPr>
        <w:ind w:left="1600" w:hanging="148"/>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20-F</w:t>
      </w:r>
    </w:p>
    <w:p>
      <w:pPr>
        <w:spacing w:after="0" w:line="22" w:lineRule="exact"/>
        <w:rPr>
          <w:rFonts w:ascii="Arial" w:cs="Arial" w:eastAsia="Arial" w:hAnsi="Arial"/>
          <w:sz w:val="18"/>
          <w:szCs w:val="18"/>
          <w:color w:val="auto"/>
        </w:rPr>
      </w:pPr>
    </w:p>
    <w:p>
      <w:pPr>
        <w:ind w:left="1600" w:hanging="148"/>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11-K</w:t>
      </w:r>
    </w:p>
    <w:p>
      <w:pPr>
        <w:spacing w:after="0" w:line="22" w:lineRule="exact"/>
        <w:rPr>
          <w:rFonts w:ascii="Arial" w:cs="Arial" w:eastAsia="Arial" w:hAnsi="Arial"/>
          <w:sz w:val="18"/>
          <w:szCs w:val="18"/>
          <w:color w:val="auto"/>
        </w:rPr>
      </w:pPr>
    </w:p>
    <w:p>
      <w:pPr>
        <w:ind w:left="1600" w:hanging="148"/>
        <w:spacing w:after="0"/>
        <w:tabs>
          <w:tab w:leader="none" w:pos="1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10-Q</w:t>
      </w:r>
    </w:p>
    <w:p>
      <w:pPr>
        <w:spacing w:after="0" w:line="22" w:lineRule="exact"/>
        <w:rPr>
          <w:rFonts w:ascii="Arial" w:cs="Arial" w:eastAsia="Arial" w:hAnsi="Arial"/>
          <w:sz w:val="18"/>
          <w:szCs w:val="18"/>
          <w:color w:val="auto"/>
        </w:rPr>
      </w:pPr>
    </w:p>
    <w:p>
      <w:pPr>
        <w:ind w:left="1460" w:right="6900" w:hanging="8"/>
        <w:spacing w:after="0" w:line="323" w:lineRule="auto"/>
        <w:tabs>
          <w:tab w:leader="none" w:pos="1610" w:val="left"/>
        </w:tabs>
        <w:numPr>
          <w:ilvl w:val="0"/>
          <w:numId w:val="1"/>
        </w:numPr>
        <w:rPr>
          <w:rFonts w:ascii="Arial" w:cs="Arial" w:eastAsia="Arial" w:hAnsi="Arial"/>
          <w:sz w:val="17"/>
          <w:szCs w:val="17"/>
          <w:color w:val="auto"/>
        </w:rPr>
      </w:pPr>
      <w:r>
        <w:rPr>
          <w:rFonts w:ascii="Arial" w:cs="Arial" w:eastAsia="Arial" w:hAnsi="Arial"/>
          <w:sz w:val="17"/>
          <w:szCs w:val="17"/>
          <w:color w:val="auto"/>
        </w:rPr>
        <w:t>] Transition Report on Form N-SAR For the Transaction Period Ended:</w:t>
      </w:r>
    </w:p>
    <w:p>
      <w:pPr>
        <w:spacing w:after="0" w:line="144"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[X] (a) The reasons described in reasonable detail in Part III of this form could not be eliminated without unreasonable effort or expense;</w:t>
      </w:r>
    </w:p>
    <w:p>
      <w:pPr>
        <w:spacing w:after="0" w:line="239" w:lineRule="exact"/>
        <w:rPr>
          <w:sz w:val="20"/>
          <w:szCs w:val="20"/>
          <w:color w:val="auto"/>
        </w:rPr>
      </w:pPr>
    </w:p>
    <w:p>
      <w:pPr>
        <w:ind w:left="640" w:hanging="571"/>
        <w:spacing w:after="0" w:line="263" w:lineRule="auto"/>
        <w:tabs>
          <w:tab w:leader="none" w:pos="384" w:val="left"/>
        </w:tabs>
        <w:numPr>
          <w:ilvl w:val="0"/>
          <w:numId w:val="2"/>
        </w:numPr>
        <w:rPr>
          <w:rFonts w:ascii="Arial" w:cs="Arial" w:eastAsia="Arial" w:hAnsi="Arial"/>
          <w:sz w:val="18"/>
          <w:szCs w:val="18"/>
          <w:color w:val="auto"/>
        </w:rPr>
      </w:pPr>
      <w:r>
        <w:rPr>
          <w:rFonts w:ascii="Arial" w:cs="Arial" w:eastAsia="Arial" w:hAnsi="Arial"/>
          <w:sz w:val="18"/>
          <w:szCs w:val="18"/>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1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 (c) The accountant’s statement or other exhibit required by Rule 12b-25(c) has been attached if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Registrant is unable to complete the required compilation, dissemination, and review of all information required for filing its Form 10-Q Quarterly Report for the quarter ended March 31, 2022 within the prescribed time period without undue hardship and expense. It is anticipated that the Form 10-Q Quarterly Report, will be filed on or before the 5th calendar day following the prescribed due date of the Registrant’s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Narsi Narayanan</w:t>
            </w:r>
          </w:p>
        </w:tc>
        <w:tc>
          <w:tcPr>
            <w:tcW w:w="3580" w:type="dxa"/>
            <w:vAlign w:val="bottom"/>
          </w:tcPr>
          <w:p>
            <w:pPr>
              <w:jc w:val="right"/>
              <w:ind w:right="157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20"/>
                <w:szCs w:val="20"/>
                <w:color w:val="auto"/>
              </w:rPr>
            </w:pPr>
          </w:p>
        </w:tc>
        <w:tc>
          <w:tcPr>
            <w:tcW w:w="3620" w:type="dxa"/>
            <w:vAlign w:val="bottom"/>
          </w:tcPr>
          <w:p>
            <w:pPr>
              <w:jc w:val="right"/>
              <w:ind w:right="1370"/>
              <w:spacing w:after="0"/>
              <w:rPr>
                <w:sz w:val="20"/>
                <w:szCs w:val="20"/>
                <w:color w:val="auto"/>
              </w:rPr>
            </w:pPr>
            <w:r>
              <w:rPr>
                <w:rFonts w:ascii="Arial" w:cs="Arial" w:eastAsia="Arial" w:hAnsi="Arial"/>
                <w:sz w:val="18"/>
                <w:szCs w:val="18"/>
                <w:color w:val="auto"/>
              </w:rPr>
              <w:t>975-7200</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2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220" w:type="dxa"/>
            <w:vAlign w:val="bottom"/>
          </w:tcPr>
          <w:p>
            <w:pPr>
              <w:spacing w:after="0"/>
              <w:rPr>
                <w:sz w:val="20"/>
                <w:szCs w:val="20"/>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280" w:right="40" w:hanging="272"/>
        <w:spacing w:after="0" w:line="263" w:lineRule="auto"/>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97"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39" w:lineRule="exact"/>
        <w:rPr>
          <w:sz w:val="20"/>
          <w:szCs w:val="20"/>
          <w:color w:val="auto"/>
        </w:rPr>
      </w:pPr>
    </w:p>
    <w:p>
      <w:pPr>
        <w:ind w:left="280" w:right="40" w:hanging="272"/>
        <w:spacing w:after="0" w:line="277" w:lineRule="auto"/>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8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39" w:lineRule="exact"/>
        <w:rPr>
          <w:sz w:val="20"/>
          <w:szCs w:val="20"/>
          <w:color w:val="auto"/>
        </w:rPr>
      </w:pPr>
    </w:p>
    <w:p>
      <w:pPr>
        <w:ind w:left="8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84"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The Company reported revenue of approximately $7.0 million and a net loss of $1.6 million for the quarter ended March 31, 2021. The Company expects to report revenue of approximately $7.5 million and a net loss of $2.0 million for the quarter ended March 31, 2022.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2740" w:type="dxa"/>
            <w:vAlign w:val="bottom"/>
            <w:tcBorders>
              <w:bottom w:val="single" w:sz="8" w:color="auto"/>
            </w:tcBorders>
          </w:tcPr>
          <w:p>
            <w:pPr>
              <w:spacing w:after="0"/>
              <w:rPr>
                <w:sz w:val="20"/>
                <w:szCs w:val="20"/>
                <w:color w:val="auto"/>
              </w:rPr>
            </w:pPr>
          </w:p>
        </w:tc>
        <w:tc>
          <w:tcPr>
            <w:tcW w:w="8500" w:type="dxa"/>
            <w:vAlign w:val="bottom"/>
            <w:tcBorders>
              <w:bottom w:val="single" w:sz="8" w:color="auto"/>
            </w:tcBorders>
          </w:tcPr>
          <w:p>
            <w:pPr>
              <w:jc w:val="center"/>
              <w:ind w:right="2630"/>
              <w:spacing w:after="0"/>
              <w:rPr>
                <w:sz w:val="20"/>
                <w:szCs w:val="20"/>
                <w:color w:val="auto"/>
              </w:rPr>
            </w:pPr>
            <w:r>
              <w:rPr>
                <w:rFonts w:ascii="Arial" w:cs="Arial" w:eastAsia="Arial" w:hAnsi="Arial"/>
                <w:sz w:val="18"/>
                <w:szCs w:val="18"/>
                <w:b w:val="1"/>
                <w:bCs w:val="1"/>
                <w:color w:val="auto"/>
                <w:w w:val="94"/>
              </w:rPr>
              <w:t>ClearOne, Inc.</w:t>
            </w:r>
          </w:p>
        </w:tc>
      </w:tr>
      <w:tr>
        <w:trPr>
          <w:trHeight w:val="230"/>
        </w:trPr>
        <w:tc>
          <w:tcPr>
            <w:tcW w:w="2740" w:type="dxa"/>
            <w:vAlign w:val="bottom"/>
          </w:tcPr>
          <w:p>
            <w:pPr>
              <w:spacing w:after="0"/>
              <w:rPr>
                <w:sz w:val="20"/>
                <w:szCs w:val="20"/>
                <w:color w:val="auto"/>
              </w:rPr>
            </w:pPr>
          </w:p>
        </w:tc>
        <w:tc>
          <w:tcPr>
            <w:tcW w:w="8500" w:type="dxa"/>
            <w:vAlign w:val="bottom"/>
          </w:tcPr>
          <w:p>
            <w:pPr>
              <w:jc w:val="center"/>
              <w:ind w:right="2630"/>
              <w:spacing w:after="0"/>
              <w:rPr>
                <w:sz w:val="20"/>
                <w:szCs w:val="20"/>
                <w:color w:val="auto"/>
              </w:rPr>
            </w:pPr>
            <w:r>
              <w:rPr>
                <w:rFonts w:ascii="Arial" w:cs="Arial" w:eastAsia="Arial" w:hAnsi="Arial"/>
                <w:sz w:val="18"/>
                <w:szCs w:val="18"/>
                <w:color w:val="auto"/>
                <w:w w:val="90"/>
              </w:rPr>
              <w:t>(Name of Registrant as Specified in Charter)</w:t>
            </w:r>
          </w:p>
        </w:tc>
      </w:tr>
      <w:tr>
        <w:trPr>
          <w:trHeight w:val="418"/>
        </w:trPr>
        <w:tc>
          <w:tcPr>
            <w:tcW w:w="11240" w:type="dxa"/>
            <w:vAlign w:val="bottom"/>
            <w:gridSpan w:val="2"/>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46"/>
        </w:trPr>
        <w:tc>
          <w:tcPr>
            <w:tcW w:w="2740" w:type="dxa"/>
            <w:vAlign w:val="bottom"/>
          </w:tcPr>
          <w:p>
            <w:pPr>
              <w:spacing w:after="0"/>
              <w:rPr>
                <w:sz w:val="20"/>
                <w:szCs w:val="20"/>
                <w:color w:val="auto"/>
              </w:rPr>
            </w:pPr>
            <w:r>
              <w:rPr>
                <w:rFonts w:ascii="Arial" w:cs="Arial" w:eastAsia="Arial" w:hAnsi="Arial"/>
                <w:sz w:val="18"/>
                <w:szCs w:val="18"/>
                <w:color w:val="auto"/>
              </w:rPr>
              <w:t>Date: May 16, 2022</w:t>
            </w:r>
          </w:p>
        </w:tc>
        <w:tc>
          <w:tcPr>
            <w:tcW w:w="8500" w:type="dxa"/>
            <w:vAlign w:val="bottom"/>
          </w:tcPr>
          <w:p>
            <w:pPr>
              <w:ind w:left="2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0</wp:posOffset>
            </wp:positionV>
            <wp:extent cx="3360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Zeynep Hakimoglu, Chief Executive Officer</w:t>
      </w:r>
    </w:p>
    <w:p>
      <w:pPr>
        <w:spacing w:after="0" w:line="220"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The form may be signed by an executive officer of the registrant or by any other duly authorized representative. The name and title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2"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ATTENTION</w:t>
      </w:r>
    </w:p>
    <w:p>
      <w:pPr>
        <w:spacing w:after="0" w:line="36"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2022-05-16T16:59:04Z</dcterms:created>
  <dcterms:modified xsi:type="dcterms:W3CDTF">2022-05-16T16:59:04Z</dcterms:modified>
</cp:coreProperties>
</file>