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December 23, 2024 (December 18, 2024)</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ClearOne, Inc.</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78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001-33660</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right"/>
              <w:ind w:right="1690"/>
              <w:spacing w:after="0"/>
              <w:rPr>
                <w:sz w:val="20"/>
                <w:szCs w:val="20"/>
                <w:color w:val="auto"/>
              </w:rPr>
            </w:pPr>
            <w:r>
              <w:rPr>
                <w:rFonts w:ascii="Times New Roman" w:cs="Times New Roman" w:eastAsia="Times New Roman" w:hAnsi="Times New Roman"/>
                <w:sz w:val="18"/>
                <w:szCs w:val="18"/>
                <w:b w:val="1"/>
                <w:bCs w:val="1"/>
                <w:color w:val="auto"/>
              </w:rPr>
              <w:t>87-0398877</w:t>
            </w:r>
          </w:p>
        </w:tc>
      </w:tr>
      <w:tr>
        <w:trPr>
          <w:trHeight w:val="228"/>
        </w:trPr>
        <w:tc>
          <w:tcPr>
            <w:tcW w:w="4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80" w:type="dxa"/>
            <w:vAlign w:val="bottom"/>
          </w:tcPr>
          <w:p>
            <w:pPr>
              <w:spacing w:after="0"/>
              <w:rPr>
                <w:sz w:val="19"/>
                <w:szCs w:val="19"/>
                <w:color w:val="auto"/>
              </w:rPr>
            </w:pPr>
          </w:p>
        </w:tc>
        <w:tc>
          <w:tcPr>
            <w:tcW w:w="224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(Commission File Number)</w:t>
            </w:r>
          </w:p>
        </w:tc>
        <w:tc>
          <w:tcPr>
            <w:tcW w:w="6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600" w:type="dxa"/>
            <w:vAlign w:val="bottom"/>
            <w:tcBorders>
              <w:top w:val="single" w:sz="8" w:color="auto"/>
            </w:tcBorders>
          </w:tcPr>
          <w:p>
            <w:pPr>
              <w:jc w:val="center"/>
              <w:ind w:right="7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4"/>
        </w:trPr>
        <w:tc>
          <w:tcPr>
            <w:tcW w:w="7640" w:type="dxa"/>
            <w:vAlign w:val="bottom"/>
            <w:gridSpan w:val="8"/>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5225 Wiley Post Way, Suite 500, Salt Lake City, Utah</w:t>
            </w:r>
          </w:p>
        </w:tc>
        <w:tc>
          <w:tcPr>
            <w:tcW w:w="3600" w:type="dxa"/>
            <w:vAlign w:val="bottom"/>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84116</w:t>
            </w:r>
          </w:p>
        </w:tc>
      </w:tr>
      <w:tr>
        <w:trPr>
          <w:trHeight w:val="228"/>
        </w:trPr>
        <w:tc>
          <w:tcPr>
            <w:tcW w:w="7440" w:type="dxa"/>
            <w:vAlign w:val="bottom"/>
            <w:tcBorders>
              <w:top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373"/>
        </w:trPr>
        <w:tc>
          <w:tcPr>
            <w:tcW w:w="4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 (801) 975-7200</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7"/>
        </w:trPr>
        <w:tc>
          <w:tcPr>
            <w:tcW w:w="7640" w:type="dxa"/>
            <w:vAlign w:val="bottom"/>
            <w:gridSpan w:val="8"/>
          </w:tcPr>
          <w:p>
            <w:pPr>
              <w:jc w:val="center"/>
              <w:ind w:left="35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48"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 under the Exchange Act (17 CFR 240.13e-4©)</w:t>
      </w:r>
    </w:p>
    <w:p>
      <w:pPr>
        <w:spacing w:after="0" w:line="219"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7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1440" w:type="dxa"/>
            <w:vAlign w:val="bottom"/>
          </w:tcPr>
          <w:p>
            <w:pPr>
              <w:spacing w:after="0"/>
              <w:rPr>
                <w:sz w:val="18"/>
                <w:szCs w:val="18"/>
                <w:color w:val="auto"/>
              </w:rPr>
            </w:pPr>
          </w:p>
        </w:tc>
        <w:tc>
          <w:tcPr>
            <w:tcW w:w="416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12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428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9"/>
              </w:rPr>
              <w:t>Common Stock, $0.001</w:t>
            </w:r>
          </w:p>
        </w:tc>
        <w:tc>
          <w:tcPr>
            <w:tcW w:w="2800" w:type="dxa"/>
            <w:vAlign w:val="bottom"/>
            <w:gridSpan w:val="2"/>
          </w:tcPr>
          <w:p>
            <w:pPr>
              <w:jc w:val="center"/>
              <w:ind w:right="1440"/>
              <w:spacing w:after="0"/>
              <w:rPr>
                <w:sz w:val="20"/>
                <w:szCs w:val="20"/>
                <w:color w:val="auto"/>
              </w:rPr>
            </w:pPr>
            <w:r>
              <w:rPr>
                <w:rFonts w:ascii="Times New Roman" w:cs="Times New Roman" w:eastAsia="Times New Roman" w:hAnsi="Times New Roman"/>
                <w:sz w:val="18"/>
                <w:szCs w:val="18"/>
                <w:color w:val="auto"/>
                <w:w w:val="99"/>
              </w:rPr>
              <w:t>CLRO</w:t>
            </w:r>
          </w:p>
        </w:tc>
        <w:tc>
          <w:tcPr>
            <w:tcW w:w="416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color w:val="auto"/>
                <w:w w:val="99"/>
              </w:rPr>
              <w:t>The NASDAQ Capital Market</w:t>
            </w:r>
          </w:p>
        </w:tc>
      </w:tr>
      <w:tr>
        <w:trPr>
          <w:trHeight w:val="601"/>
        </w:trPr>
        <w:tc>
          <w:tcPr>
            <w:tcW w:w="1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3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3.01 Notice of Delisting or Failure to Satisfy a Continued Listing Rule or Standard; Transfer of Listing.</w:t>
      </w:r>
    </w:p>
    <w:p>
      <w:pPr>
        <w:spacing w:after="0" w:line="22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As previously reported, on June 20, 2024, ClearOne, Inc., a Delaware corporation (the “Company”), received a letter from the Listing Qualifications staff of The Nasdaq Stock Market (“Nasdaq”) notifying the Company that, because the closing bid price for its common stock had been below $1.00 per share for 30 consecutive business days, it is no longer in compliance with the minimum bid price requirement for continued listing on the Nasdaq Capital Market. Nasdaq Listing Rule 5550(a)(2) requires listed companies to maintain a minimum bid price of $1.00 per share (the “Minimum Bid Requirement”). In accordance with Nasdaq Listing Rule 5810(c)(3)(A), the Company was provided 180 days, or until December 17, 2024, to regain compliance with the Minimum Bid Requirement.</w:t>
      </w:r>
    </w:p>
    <w:p>
      <w:pPr>
        <w:spacing w:after="0" w:line="187"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On December 18, 2024, the Company received a letter from Nasdaq advising that the Company has been granted a 180-day extension to June 16, 2025 to regain compliance with the Minimum Bid Price Requirement, in accordance with Nasdaq Listing Rule 5810(c)(3)(A).</w:t>
      </w:r>
    </w:p>
    <w:p>
      <w:pPr>
        <w:spacing w:after="0" w:line="16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Company will continue to monitor the closing bid price of its common stock and consider implementing available options to regain compliance with the Minimum Bid Price Requirement. Specifically, the Company has confirmed to Nasdaq that, if necessary, it will implement a reverse stock split of its outstanding common stock (if approved by the Company’s stockholders) to regain compliance. If the Company does not regain compliance within the allotted compliance period, Nasdaq will provide notice that the Company’s common stock will be subject to delisting. The Company would then be entitled to appeal that determination to a Nasdaq hearings panel. There can be no assurance that the Company will regain compliance with the Minimum Bid Price Requirement during this 180-day extension.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5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80" w:type="dxa"/>
            <w:vAlign w:val="bottom"/>
          </w:tcPr>
          <w:p>
            <w:pPr>
              <w:spacing w:after="0"/>
              <w:rPr>
                <w:sz w:val="24"/>
                <w:szCs w:val="24"/>
                <w:color w:val="auto"/>
              </w:rPr>
            </w:pPr>
          </w:p>
        </w:tc>
      </w:tr>
      <w:tr>
        <w:trPr>
          <w:trHeight w:val="445"/>
        </w:trPr>
        <w:tc>
          <w:tcPr>
            <w:tcW w:w="1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3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080" w:type="dxa"/>
            <w:vAlign w:val="bottom"/>
            <w:tcBorders>
              <w:bottom w:val="single" w:sz="8" w:color="auto"/>
            </w:tcBorders>
          </w:tcPr>
          <w:p>
            <w:pPr>
              <w:ind w:left="4060"/>
              <w:spacing w:after="0"/>
              <w:rPr>
                <w:sz w:val="20"/>
                <w:szCs w:val="20"/>
                <w:color w:val="auto"/>
              </w:rPr>
            </w:pPr>
            <w:r>
              <w:rPr>
                <w:rFonts w:ascii="Times New Roman" w:cs="Times New Roman" w:eastAsia="Times New Roman" w:hAnsi="Times New Roman"/>
                <w:sz w:val="18"/>
                <w:szCs w:val="18"/>
                <w:b w:val="1"/>
                <w:bCs w:val="1"/>
                <w:color w:val="auto"/>
              </w:rPr>
              <w:t>Exhibit Title</w:t>
            </w:r>
          </w:p>
        </w:tc>
      </w:tr>
      <w:tr>
        <w:trPr>
          <w:trHeight w:val="228"/>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104.1</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The cover page from this Current Report on Form 8-K, formatted in Inline XBRL.</w:t>
            </w:r>
          </w:p>
        </w:tc>
      </w:tr>
      <w:tr>
        <w:trPr>
          <w:trHeight w:val="394"/>
        </w:trPr>
        <w:tc>
          <w:tcPr>
            <w:tcW w:w="17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p>
        </w:tc>
        <w:tc>
          <w:tcPr>
            <w:tcW w:w="810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CLEARONE, INC.</w:t>
            </w:r>
          </w:p>
        </w:tc>
      </w:tr>
      <w:tr>
        <w:trPr>
          <w:trHeight w:val="459"/>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23, 2024</w:t>
            </w:r>
          </w:p>
        </w:tc>
        <w:tc>
          <w:tcPr>
            <w:tcW w:w="810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Derek Graham</w:t>
            </w:r>
          </w:p>
        </w:tc>
      </w:tr>
      <w:tr>
        <w:trPr>
          <w:trHeight w:val="191"/>
        </w:trPr>
        <w:tc>
          <w:tcPr>
            <w:tcW w:w="31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6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Derek Graham</w:t>
            </w:r>
          </w:p>
        </w:tc>
      </w:tr>
      <w:tr>
        <w:trPr>
          <w:trHeight w:val="234"/>
        </w:trPr>
        <w:tc>
          <w:tcPr>
            <w:tcW w:w="31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 w:lineRule="exact"/>
        <w:rPr>
          <w:sz w:val="20"/>
          <w:szCs w:val="20"/>
          <w:color w:val="auto"/>
        </w:rPr>
      </w:pPr>
    </w:p>
    <w:sectPr>
      <w:pgSz w:w="11900" w:h="16838" w:orient="portrait"/>
      <w:cols w:equalWidth="0" w:num="1">
        <w:col w:w="11240"/>
      </w:cols>
      <w:pgMar w:left="320" w:top="5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2024-12-23T15:11:05Z</dcterms:created>
  <dcterms:modified xsi:type="dcterms:W3CDTF">2024-12-23T15:11:05Z</dcterms:modified>
</cp:coreProperties>
</file>