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31, 2025 (December 31, 2024)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7"/>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385"/>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31, 2025 ClearOne, Inc. (the “Company”) issued a press release announcing its financial results for the three and twelve months ended December 31, 2024. The full text of the press release is attached as Exhibit 99.1.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432"/>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3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ClearOne, Inc. dated March 31, 2025.</w:t>
            </w:r>
          </w:p>
        </w:tc>
      </w:tr>
      <w:tr>
        <w:trPr>
          <w:trHeight w:val="20"/>
        </w:trPr>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175"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6"/>
          <w:szCs w:val="16"/>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82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2025</w:t>
            </w:r>
          </w:p>
        </w:tc>
        <w:tc>
          <w:tcPr>
            <w:tcW w:w="82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191"/>
        </w:trPr>
        <w:tc>
          <w:tcPr>
            <w:tcW w:w="3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L. Graham</w:t>
            </w:r>
          </w:p>
        </w:tc>
      </w:tr>
      <w:tr>
        <w:trPr>
          <w:trHeight w:val="234"/>
        </w:trPr>
        <w:tc>
          <w:tcPr>
            <w:tcW w:w="30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448435" cy="351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8435" cy="3511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ClearOne, Inc. Reports Fourth Quarter and Full Year 2024 Financial Results </w:t>
      </w:r>
      <w:r>
        <w:rPr>
          <w:rFonts w:ascii="Times New Roman" w:cs="Times New Roman" w:eastAsia="Times New Roman" w:hAnsi="Times New Roman"/>
          <w:sz w:val="18"/>
          <w:szCs w:val="18"/>
          <w:i w:val="1"/>
          <w:iCs w:val="1"/>
          <w:color w:val="auto"/>
        </w:rPr>
        <w:t>- Full Year 2024 Operating Expenses decreased 9.8% vs prior year - - Q4 Revenue and Q4 Gross Margin increased 18.1% and 44.8%, respectively, vs. prior quarter -</w:t>
      </w:r>
    </w:p>
    <w:p>
      <w:pPr>
        <w:spacing w:after="0" w:line="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SALT LAKE CITY, UTAH – March 31, 2025 </w:t>
      </w:r>
      <w:r>
        <w:rPr>
          <w:rFonts w:ascii="Times New Roman" w:cs="Times New Roman" w:eastAsia="Times New Roman" w:hAnsi="Times New Roman"/>
          <w:sz w:val="18"/>
          <w:szCs w:val="18"/>
          <w:color w:val="auto"/>
        </w:rPr>
        <w:t>– ClearOne (NASDAQ: CLRO), a global provider of audio and visual communication solutions,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three- and twelve-month periods ended December 31, 2024.</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“Throughout the fourth quarter, we maintained efforts to expand and accelerate shipments of our award-winning communication solutions, all while driving a leaner, more efficient cost structure,” said Derek Graham, CEO of ClearOne. We delivered strong momentum in the fourth quarter of 2024 with revenue increasing 18.1% sequentially compared to Q3 2024. Gross margins also improved meaningfully, rising 44.8% from the prior quarter, reflecting continued operational discipline. For the full year 2024, we reduced operating expenses by 9.8% year-over-year, underscoring our commitment to cost optimization and financial efficiency. We closed 2024 with a solid liquidity position, ending the year with over $1.4 million in cash and cash equivalents, and no secured debt.”</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full-year top-line performance reflects slower order flow compared to the previous year, which we believe stems from the cumulative impact of past production shortages. We have also faced sales headwinds from our products’ lack of Microsoft Teams certification, despite their longtime functional compatibility with this platform. Our work through early 2025 has focused on mitigating these impacts through introduction of new products that meet the needs of an evolving communication environment, maintaining consistent dialogues, product demonstrations, and feedback cycles with customers and distributors, and improving our visibility at key industry events.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135" w:lineRule="exact"/>
        <w:rPr>
          <w:sz w:val="20"/>
          <w:szCs w:val="20"/>
          <w:color w:val="auto"/>
        </w:rPr>
      </w:pPr>
    </w:p>
    <w:p>
      <w:pPr>
        <w:jc w:val="both"/>
        <w:ind w:left="480" w:right="20" w:hanging="282"/>
        <w:spacing w:after="0" w:line="235" w:lineRule="auto"/>
        <w:tabs>
          <w:tab w:leader="none" w:pos="480" w:val="left"/>
        </w:tabs>
        <w:numPr>
          <w:ilvl w:val="0"/>
          <w:numId w:val="2"/>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Debuted DIALOG® 20 USB 2-Channel Wireless Microphone at ISE 2024, enabling users to enhance hybrid meetings with local sound reinforcement and less than four milliseconds of audio latency. The DIALOG® UVHF Microphone System also received AV Technology Magazine’s Best in Show Award.</w:t>
      </w:r>
    </w:p>
    <w:p>
      <w:pPr>
        <w:spacing w:after="0" w:line="10" w:lineRule="exact"/>
        <w:rPr>
          <w:rFonts w:ascii="Times New Roman" w:cs="Times New Roman" w:eastAsia="Times New Roman" w:hAnsi="Times New Roman"/>
          <w:sz w:val="23"/>
          <w:szCs w:val="23"/>
          <w:color w:val="auto"/>
        </w:rPr>
      </w:pPr>
    </w:p>
    <w:p>
      <w:pPr>
        <w:jc w:val="both"/>
        <w:ind w:left="480" w:right="20" w:hanging="282"/>
        <w:spacing w:after="0" w:line="239" w:lineRule="auto"/>
        <w:tabs>
          <w:tab w:leader="none" w:pos="480" w:val="left"/>
        </w:tabs>
        <w:numPr>
          <w:ilvl w:val="0"/>
          <w:numId w:val="2"/>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Exhibited and demonstrated the Company’s complete portfolio of audio conferencing, visual collaboration, BYOD collaboration, professional microphones, network management and AV networking solutions at ISE 2024, including the new DIALOG® 20 USB 2-Channel Wireless Microphone, BMA 360D, Versa® USB22D Dante Adapter, DIALOG® UVHF Microphone System, and Versa® UCS2100 Collaboration Switcher Kit.</w:t>
      </w:r>
    </w:p>
    <w:p>
      <w:pPr>
        <w:spacing w:after="0" w:line="9" w:lineRule="exact"/>
        <w:rPr>
          <w:rFonts w:ascii="Times New Roman" w:cs="Times New Roman" w:eastAsia="Times New Roman" w:hAnsi="Times New Roman"/>
          <w:sz w:val="23"/>
          <w:szCs w:val="23"/>
          <w:color w:val="auto"/>
        </w:rPr>
      </w:pPr>
    </w:p>
    <w:p>
      <w:pPr>
        <w:ind w:left="480" w:right="20" w:hanging="282"/>
        <w:spacing w:after="0" w:line="229" w:lineRule="auto"/>
        <w:tabs>
          <w:tab w:leader="none" w:pos="480" w:val="left"/>
        </w:tabs>
        <w:numPr>
          <w:ilvl w:val="0"/>
          <w:numId w:val="2"/>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Showcased the Company’s industry-leading line of collaboration and conferencing solutions at the US InfoComm Expo 2024. During the exhibit, the Company demonstrated a variety of solutions that enhance BYOD collaboration, t</w:t>
      </w:r>
      <w:r>
        <w:rPr>
          <w:rFonts w:ascii="Times New Roman" w:cs="Times New Roman" w:eastAsia="Times New Roman" w:hAnsi="Times New Roman"/>
          <w:sz w:val="18"/>
          <w:szCs w:val="18"/>
          <w:color w:val="666666"/>
        </w:rPr>
        <w:t>r</w:t>
      </w:r>
      <w:r>
        <w:rPr>
          <w:rFonts w:ascii="Times New Roman" w:cs="Times New Roman" w:eastAsia="Times New Roman" w:hAnsi="Times New Roman"/>
          <w:sz w:val="18"/>
          <w:szCs w:val="18"/>
          <w:color w:val="auto"/>
        </w:rPr>
        <w:t>ansforming any room into a user-friendly BYOD space.</w:t>
      </w:r>
    </w:p>
    <w:p>
      <w:pPr>
        <w:spacing w:after="0" w:line="9" w:lineRule="exact"/>
        <w:rPr>
          <w:rFonts w:ascii="Times New Roman" w:cs="Times New Roman" w:eastAsia="Times New Roman" w:hAnsi="Times New Roman"/>
          <w:sz w:val="23"/>
          <w:szCs w:val="23"/>
          <w:color w:val="auto"/>
        </w:rPr>
      </w:pPr>
    </w:p>
    <w:p>
      <w:pPr>
        <w:ind w:left="480" w:right="20" w:hanging="282"/>
        <w:spacing w:after="0" w:line="229" w:lineRule="auto"/>
        <w:tabs>
          <w:tab w:leader="none" w:pos="480" w:val="left"/>
        </w:tabs>
        <w:numPr>
          <w:ilvl w:val="0"/>
          <w:numId w:val="2"/>
        </w:numPr>
        <w:rPr>
          <w:rFonts w:ascii="Times New Roman" w:cs="Times New Roman" w:eastAsia="Times New Roman" w:hAnsi="Times New Roman"/>
          <w:sz w:val="23"/>
          <w:szCs w:val="23"/>
          <w:color w:val="auto"/>
        </w:rPr>
      </w:pPr>
      <w:r>
        <w:rPr>
          <w:rFonts w:ascii="Times New Roman" w:cs="Times New Roman" w:eastAsia="Times New Roman" w:hAnsi="Times New Roman"/>
          <w:sz w:val="18"/>
          <w:szCs w:val="18"/>
          <w:color w:val="auto"/>
        </w:rPr>
        <w:t>Announced a special one-time cash dividend of $0.50 per share of ClearOne common stock in March 2024, reflecting the Company’s robust balance sheet and commitment to its shareholders.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 drive additional momentum for our audio and visual communication solutions, we are also focused on improving our products’ overall interoperability, ease of use, and global presence. Our newest microphone solutions can be integrated with DSPs from both our own product suite and those of separate third-party manufacturers, offering greater flexibility for customers and prospects. From an international standpoint, we are seeking to expand our footprint in several key regions—such as the Middle East and India—in which we have seen particular sales strength and increased reception to our products. We are evaluating further sales, marketing, and related investments in these geographies to optimize our team for capitalizing on this increasing demand.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448435"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t xml:space="preserve">“Moving further into 2025, we are committed to optimizing our cost structure driving product innovation, and solidifying </w:t>
      </w:r>
      <w:r>
        <w:rPr>
          <w:rFonts w:ascii="Times New Roman" w:cs="Times New Roman" w:eastAsia="Times New Roman" w:hAnsi="Times New Roman"/>
          <w:sz w:val="18"/>
          <w:szCs w:val="18"/>
          <w:b w:val="1"/>
          <w:bCs w:val="1"/>
          <w:color w:val="auto"/>
        </w:rPr>
        <w:t>ClearOne</w:t>
      </w:r>
      <w:r>
        <w:rPr>
          <w:rFonts w:ascii="Times New Roman" w:cs="Times New Roman" w:eastAsia="Times New Roman" w:hAnsi="Times New Roman"/>
          <w:sz w:val="18"/>
          <w:szCs w:val="18"/>
          <w:color w:val="auto"/>
        </w:rPr>
        <w:t xml:space="preserve"> as a preferred partner for current and prospective customers. In conjunction with working to ramp shipments for the BMA 360D and DIALOG® UVHF, we are focused on improving customer experiences within our partner network to support additional customer growth and retention. With a robust balance sheet and improving product demand, we believe </w:t>
      </w:r>
      <w:r>
        <w:rPr>
          <w:rFonts w:ascii="Times New Roman" w:cs="Times New Roman" w:eastAsia="Times New Roman" w:hAnsi="Times New Roman"/>
          <w:sz w:val="18"/>
          <w:szCs w:val="18"/>
          <w:b w:val="1"/>
          <w:bCs w:val="1"/>
          <w:color w:val="auto"/>
        </w:rPr>
        <w:t>ClearOne</w:t>
      </w:r>
      <w:r>
        <w:rPr>
          <w:rFonts w:ascii="Times New Roman" w:cs="Times New Roman" w:eastAsia="Times New Roman" w:hAnsi="Times New Roman"/>
          <w:sz w:val="18"/>
          <w:szCs w:val="18"/>
          <w:color w:val="auto"/>
        </w:rPr>
        <w:t xml:space="preserve"> is well-positioned to drive towards future growth as we work to achieve profitability and expand our market share.”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certain non-GAAP financial measures and reconciles those to GAAP measures in the attached tables.</w:t>
      </w:r>
    </w:p>
    <w:p>
      <w:pPr>
        <w:spacing w:after="0" w:line="239" w:lineRule="exact"/>
        <w:rPr>
          <w:sz w:val="20"/>
          <w:szCs w:val="20"/>
          <w:color w:val="auto"/>
        </w:rPr>
      </w:pPr>
    </w:p>
    <w:p>
      <w:pPr>
        <w:jc w:val="both"/>
        <w:ind w:left="460" w:right="20" w:hanging="437"/>
        <w:spacing w:after="0" w:line="266"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2024 revenue was $3.0 million, compared to $4.2 million in Q4 2023 and $2.5 million in Q3 2024. The year-over-year decrease was driven by lower demand for the Company’s microphone products and the cumulative impact of past product shortages. The sequential improvement was primarily due to increased shipments of the Company’s video products and wireless microphones.</w:t>
      </w:r>
    </w:p>
    <w:p>
      <w:pPr>
        <w:spacing w:after="0" w:line="162" w:lineRule="exact"/>
        <w:rPr>
          <w:rFonts w:ascii="Times New Roman" w:cs="Times New Roman" w:eastAsia="Times New Roman" w:hAnsi="Times New Roman"/>
          <w:sz w:val="18"/>
          <w:szCs w:val="18"/>
          <w:color w:val="auto"/>
        </w:rPr>
      </w:pPr>
    </w:p>
    <w:p>
      <w:pPr>
        <w:jc w:val="both"/>
        <w:ind w:left="460" w:right="20" w:hanging="437"/>
        <w:spacing w:after="0" w:line="261"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profit in Q4 2024 was $0.9 million, compared to $1.6 million in Q4 2023 and $0.6 million in Q3 2024. GAAP gross profit margin was 30% in Q4 2024, compared to 38% in Q4 2023 and 24% in Q3 2024. Gross profit margin improved by approximately 6% sequentially, due to improving margins in the wireless products and decreased approximately 8% year-over-year from writing off some aged inventory due to obsolescence.</w:t>
      </w:r>
    </w:p>
    <w:p>
      <w:pPr>
        <w:spacing w:after="0" w:line="166" w:lineRule="exact"/>
        <w:rPr>
          <w:rFonts w:ascii="Times New Roman" w:cs="Times New Roman" w:eastAsia="Times New Roman" w:hAnsi="Times New Roman"/>
          <w:sz w:val="18"/>
          <w:szCs w:val="18"/>
          <w:color w:val="auto"/>
        </w:rPr>
      </w:pPr>
    </w:p>
    <w:p>
      <w:pPr>
        <w:jc w:val="both"/>
        <w:ind w:left="460" w:right="20" w:hanging="437"/>
        <w:spacing w:after="0" w:line="261"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 Q4 2024 were $2.9 million, compared to $3.3 million in Q4 2023 and $2.8 million in Q3 2024. Non-GAAP operating expenses in Q4 2024 were $2.8 million compared to $2.7 million in Q3 2024 and $3.2 million in Q4 2023. The sequential increase was due to increase in legal fees and accounting charges, and the year-over-year decrease in non-GAAP operating expenses was mainly due to the continued benefits of the cost-cutting measures initiated in 2024.</w:t>
      </w:r>
    </w:p>
    <w:p>
      <w:pPr>
        <w:spacing w:after="0" w:line="166" w:lineRule="exact"/>
        <w:rPr>
          <w:rFonts w:ascii="Times New Roman" w:cs="Times New Roman" w:eastAsia="Times New Roman" w:hAnsi="Times New Roman"/>
          <w:sz w:val="18"/>
          <w:szCs w:val="18"/>
          <w:color w:val="auto"/>
        </w:rPr>
      </w:pPr>
    </w:p>
    <w:p>
      <w:pPr>
        <w:jc w:val="both"/>
        <w:ind w:left="460" w:right="20" w:hanging="437"/>
        <w:spacing w:after="0" w:line="266"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in Q4 2024 was $(2.2) million, or $(0.09) per share, compared to a net income of $2.6 million, or $0.11 per share, in Q4 2023 and a net loss of $(2.1) million, or $(0.09) per share, in Q3 2024. The sequential improvement in net income was primarily due to the increase in revenue. The year-over-year decline was largely due to the recognition of a gain of $4.0 million from a patent cross license agreement completed in Q4 2023.</w:t>
      </w:r>
    </w:p>
    <w:p>
      <w:pPr>
        <w:spacing w:after="0" w:line="162" w:lineRule="exact"/>
        <w:rPr>
          <w:rFonts w:ascii="Times New Roman" w:cs="Times New Roman" w:eastAsia="Times New Roman" w:hAnsi="Times New Roman"/>
          <w:sz w:val="18"/>
          <w:szCs w:val="18"/>
          <w:color w:val="auto"/>
        </w:rPr>
      </w:pPr>
    </w:p>
    <w:p>
      <w:pPr>
        <w:jc w:val="both"/>
        <w:ind w:left="460" w:right="20" w:hanging="437"/>
        <w:spacing w:after="0" w:line="266"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loss in Q4 2024 was $(2.1) million, or $(0.09) per share, compared to a Non-GAAP net loss of $(1.2) million, or $(0.05) per share, in Q4 2023 and a Non-GAAP net loss of $(2.0) million, or $(0.08) per share, in Q3 2024. Net loss was flat sequentially, while the year-over-year increase in net loss was driven by a decrease in gross margin of $(1.2) million partially offset by a decrease in operating expenses of $0.3 million.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in 000, except per share)</w:t>
            </w:r>
          </w:p>
        </w:tc>
        <w:tc>
          <w:tcPr>
            <w:tcW w:w="160" w:type="dxa"/>
            <w:vAlign w:val="bottom"/>
          </w:tcPr>
          <w:p>
            <w:pPr>
              <w:spacing w:after="0"/>
              <w:rPr>
                <w:sz w:val="20"/>
                <w:szCs w:val="20"/>
                <w:color w:val="auto"/>
              </w:rPr>
            </w:pPr>
          </w:p>
        </w:tc>
        <w:tc>
          <w:tcPr>
            <w:tcW w:w="428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180" w:type="dxa"/>
            <w:vAlign w:val="bottom"/>
            <w:gridSpan w:val="4"/>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r>
      <w:tr>
        <w:trPr>
          <w:trHeight w:val="201"/>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Change in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210"/>
              <w:spacing w:after="0" w:line="201" w:lineRule="exact"/>
              <w:rPr>
                <w:sz w:val="20"/>
                <w:szCs w:val="20"/>
                <w:color w:val="auto"/>
              </w:rPr>
            </w:pPr>
            <w:r>
              <w:rPr>
                <w:rFonts w:ascii="Times New Roman" w:cs="Times New Roman" w:eastAsia="Times New Roman" w:hAnsi="Times New Roman"/>
                <w:sz w:val="18"/>
                <w:szCs w:val="18"/>
                <w:b w:val="1"/>
                <w:bCs w:val="1"/>
                <w:color w:val="auto"/>
              </w:rPr>
              <w:t>Change in %</w:t>
            </w:r>
          </w:p>
        </w:tc>
        <w:tc>
          <w:tcPr>
            <w:tcW w:w="100" w:type="dxa"/>
            <w:vAlign w:val="bottom"/>
          </w:tcPr>
          <w:p>
            <w:pPr>
              <w:spacing w:after="0"/>
              <w:rPr>
                <w:sz w:val="17"/>
                <w:szCs w:val="17"/>
                <w:color w:val="auto"/>
              </w:rPr>
            </w:pPr>
          </w:p>
        </w:tc>
      </w:tr>
      <w:tr>
        <w:trPr>
          <w:trHeight w:val="238"/>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Favorable/(Adverse)</w:t>
            </w: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Favorable/(Adverse)</w:t>
            </w:r>
          </w:p>
        </w:tc>
      </w:tr>
      <w:tr>
        <w:trPr>
          <w:trHeight w:val="209"/>
        </w:trPr>
        <w:tc>
          <w:tcPr>
            <w:tcW w:w="52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7"/>
              </w:rPr>
              <w:t>GAAP</w:t>
            </w:r>
          </w:p>
        </w:tc>
        <w:tc>
          <w:tcPr>
            <w:tcW w:w="182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9"/>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2,956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4,154</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18,704</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2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886</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1,578</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6,357</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2,907</w:t>
            </w:r>
          </w:p>
        </w:tc>
        <w:tc>
          <w:tcPr>
            <w:tcW w:w="34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3,317</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40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13,129</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2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34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2,642</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(1,504)</w:t>
            </w:r>
          </w:p>
        </w:tc>
      </w:tr>
      <w:tr>
        <w:trPr>
          <w:trHeight w:val="229"/>
        </w:trPr>
        <w:tc>
          <w:tcPr>
            <w:tcW w:w="2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0.11</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(1,750)</w:t>
            </w:r>
          </w:p>
        </w:tc>
      </w:tr>
      <w:tr>
        <w:trPr>
          <w:trHeight w:val="189"/>
        </w:trPr>
        <w:tc>
          <w:tcPr>
            <w:tcW w:w="23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Non-GAAP</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2,831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3,162</w:t>
            </w: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11,489</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12,511</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operating loss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2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198"/>
        </w:trPr>
        <w:tc>
          <w:tcPr>
            <w:tcW w:w="23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diluted income</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448435" cy="351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cash, cash equivalents and investments were $1.4 million, as compared with $21.3 million as of December 31, 2023.</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2023 year-end cash balance also reflects a $6.4 million income tax refund, which was reported as a receivable on the balance sheet as of September 30, 2023. Subsequent to the fourth quarter of 2023, the Company received an additional $4.0 million in cash related to a non-exclusive patent cross-licensing agreement that was finalized and disclosed in December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448435"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t>About ClearOne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ClearOne is a global market leader enabling conferencing, collaboration, and network streaming solutions. The performance and simplicity of its advanced, comprehensive solutions offer unprecedented levels of functionality, reliability, and scalability. Visit ClearOne at </w:t>
      </w:r>
      <w:r>
        <w:rPr>
          <w:rFonts w:ascii="Times New Roman" w:cs="Times New Roman" w:eastAsia="Times New Roman" w:hAnsi="Times New Roman"/>
          <w:sz w:val="18"/>
          <w:szCs w:val="18"/>
          <w:u w:val="single" w:color="auto"/>
          <w:color w:val="4F81BD"/>
        </w:rPr>
        <w:t>www.clearone.com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in this release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and the possible outcomes of litigation,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particular, the financial information contained herein is subject to and qualified by reference to the financial statements contained in the Company’s annual report on Form 10-K for the year ended December 31, 2024 (the “10-K”), the footnotes thereto and the limitations set forth therein. Investors may not rely on the press release without reference to the 10-K and the Public Filings.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Derek Graham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801-303-3425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F81BD"/>
        </w:rPr>
        <w:t>investor_relations@clearone.com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F81BD"/>
        </w:rPr>
        <w:t>http://investors.clearone.com</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7" w:name="page8"/>
    <w:bookmarkEnd w:id="7"/>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448435"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38"/>
        </w:trPr>
        <w:tc>
          <w:tcPr>
            <w:tcW w:w="82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17,835</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settlement receivable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 of allowance for doubtful accounts of $405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10,625</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3,894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4,062</w:t>
            </w:r>
          </w:p>
        </w:tc>
        <w:tc>
          <w:tcPr>
            <w:tcW w:w="0" w:type="dxa"/>
            <w:vAlign w:val="bottom"/>
          </w:tcPr>
          <w:p>
            <w:pPr>
              <w:spacing w:after="0"/>
              <w:rPr>
                <w:sz w:val="1"/>
                <w:szCs w:val="1"/>
                <w:color w:val="auto"/>
              </w:rPr>
            </w:pPr>
          </w:p>
        </w:tc>
      </w:tr>
      <w:tr>
        <w:trPr>
          <w:trHeight w:val="210"/>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inventories,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8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Deferred product revenue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4,265</w:t>
            </w: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10"/>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$0.001, 50,000,000 shares authorized, 23,992,995 and 23,958,194 shares issued and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respectively</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46,047</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10"/>
        </w:trPr>
        <w:tc>
          <w:tcPr>
            <w:tcW w:w="8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448435" cy="351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60" w:type="dxa"/>
            <w:vAlign w:val="bottom"/>
            <w:gridSpan w:val="5"/>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5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8,757</w:t>
            </w: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12,347</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5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4,565</w:t>
            </w: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4,897</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3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3,671</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3,976</w:t>
            </w: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(9,211)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7,183</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5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49"/>
        </w:trPr>
        <w:tc>
          <w:tcPr>
            <w:tcW w:w="4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5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4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Basic income (loss) per common share</w:t>
            </w:r>
          </w:p>
        </w:tc>
        <w:tc>
          <w:tcPr>
            <w:tcW w:w="3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(loss) per common share</w:t>
            </w:r>
          </w:p>
        </w:tc>
        <w:tc>
          <w:tcPr>
            <w:tcW w:w="3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23,992,995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23,958,184</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23,992,995</w:t>
            </w: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23,958,184</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(8,983)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3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5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50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940" w:type="dxa"/>
            <w:vAlign w:val="bottom"/>
            <w:tcBorders>
              <w:bottom w:val="single" w:sz="8" w:color="auto"/>
            </w:tcBorders>
          </w:tcPr>
          <w:p>
            <w:pPr>
              <w:spacing w:after="0"/>
              <w:rPr>
                <w:sz w:val="11"/>
                <w:szCs w:val="11"/>
                <w:color w:val="auto"/>
              </w:rPr>
            </w:pPr>
          </w:p>
        </w:tc>
        <w:tc>
          <w:tcPr>
            <w:tcW w:w="35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9" w:name="page10"/>
    <w:bookmarkEnd w:id="9"/>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448435" cy="351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RECONCILIATION OF GAAP MEASURES TO NON-GAAP MEASURES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4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00" w:type="dxa"/>
            <w:vAlign w:val="bottom"/>
          </w:tcPr>
          <w:p>
            <w:pPr>
              <w:spacing w:after="0"/>
              <w:rPr>
                <w:sz w:val="20"/>
                <w:szCs w:val="20"/>
                <w:color w:val="auto"/>
              </w:rPr>
            </w:pPr>
          </w:p>
        </w:tc>
        <w:tc>
          <w:tcPr>
            <w:tcW w:w="268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operating loss</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49"/>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operating loss</w:t>
            </w:r>
          </w:p>
        </w:tc>
        <w:tc>
          <w:tcPr>
            <w:tcW w:w="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income (loss)</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(2,203)</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(8,983)</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adjustment</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(5,350)</w:t>
            </w:r>
          </w:p>
        </w:tc>
        <w:tc>
          <w:tcPr>
            <w:tcW w:w="0" w:type="dxa"/>
            <w:vAlign w:val="bottom"/>
          </w:tcPr>
          <w:p>
            <w:pPr>
              <w:spacing w:after="0"/>
              <w:rPr>
                <w:sz w:val="1"/>
                <w:szCs w:val="1"/>
                <w:color w:val="auto"/>
              </w:rPr>
            </w:pPr>
          </w:p>
        </w:tc>
      </w:tr>
      <w:tr>
        <w:trPr>
          <w:trHeight w:val="249"/>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w:t>
            </w:r>
          </w:p>
        </w:tc>
        <w:tc>
          <w:tcPr>
            <w:tcW w:w="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income (loss)</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(2,203)</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(8,983)</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198"/>
        </w:trPr>
        <w:tc>
          <w:tcPr>
            <w:tcW w:w="5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shares used in computing GAAP diluted income (loss) per</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23,969,148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23,960,776</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23,992,995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23,958,184</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diluted income (loss) per share</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(0.37)</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(2,125)</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(8,625)</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(5,284)</w:t>
            </w:r>
          </w:p>
        </w:tc>
        <w:tc>
          <w:tcPr>
            <w:tcW w:w="0" w:type="dxa"/>
            <w:vAlign w:val="bottom"/>
          </w:tcPr>
          <w:p>
            <w:pPr>
              <w:spacing w:after="0"/>
              <w:rPr>
                <w:sz w:val="1"/>
                <w:szCs w:val="1"/>
                <w:color w:val="auto"/>
              </w:rPr>
            </w:pPr>
          </w:p>
        </w:tc>
      </w:tr>
      <w:tr>
        <w:trPr>
          <w:trHeight w:val="198"/>
        </w:trPr>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Number of shares used in computing Non-GAAP diluted income (loss) per</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23,969,148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23,960,776</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23,992,995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23,958,184</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diluted income (loss) per share</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income (loss)</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(2,203)</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(8,983)</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adjustment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(5,350)</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vMerge w:val="continue"/>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(8,244)</w:t>
            </w:r>
          </w:p>
        </w:tc>
        <w:tc>
          <w:tcPr>
            <w:tcW w:w="80" w:type="dxa"/>
            <w:vAlign w:val="bottom"/>
            <w:vMerge w:val="continue"/>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60" w:type="dxa"/>
            <w:vAlign w:val="bottom"/>
          </w:tcPr>
          <w:p>
            <w:pPr>
              <w:spacing w:after="0"/>
              <w:rPr>
                <w:sz w:val="24"/>
                <w:szCs w:val="24"/>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4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2025-03-31T15:27:09Z</dcterms:created>
  <dcterms:modified xsi:type="dcterms:W3CDTF">2025-03-31T15:27:09Z</dcterms:modified>
</cp:coreProperties>
</file>