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8-K/A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(Amendment No. 1)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 PURSUANT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TO SECTION 13 OR 15(D) OF</w:t>
      </w: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November 5,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Its Charter)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Utah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(State or Other Jurisdiction of Incorporation)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20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1"/>
        </w:trPr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808080"/>
            </w:tcBorders>
            <w:gridSpan w:val="5"/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001-33660</w:t>
            </w:r>
          </w:p>
        </w:tc>
        <w:tc>
          <w:tcPr>
            <w:tcW w:w="1540" w:type="dxa"/>
            <w:vAlign w:val="bottom"/>
            <w:tcBorders>
              <w:top w:val="single" w:sz="8" w:color="808080"/>
            </w:tcBorders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87-0398877</w:t>
            </w: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(Commission File Number)</w:t>
            </w:r>
          </w:p>
        </w:tc>
        <w:tc>
          <w:tcPr>
            <w:tcW w:w="2120" w:type="dxa"/>
            <w:vAlign w:val="bottom"/>
            <w:tcBorders>
              <w:right w:val="single" w:sz="8" w:color="808080"/>
            </w:tcBorders>
            <w:gridSpan w:val="7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(I.R.S. employer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4"/>
        </w:trPr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808080"/>
              <w:right w:val="single" w:sz="8" w:color="808080"/>
            </w:tcBorders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identification number)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4"/>
        </w:trPr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61"/>
        </w:trPr>
        <w:tc>
          <w:tcPr>
            <w:tcW w:w="3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5225 Wiley Post Way, Suite 500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3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Salt Lake City, Utah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tcBorders>
              <w:lef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808080"/>
            </w:tcBorders>
            <w:gridSpan w:val="8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(Address of principal executive offices)</w:t>
            </w:r>
          </w:p>
        </w:tc>
        <w:tc>
          <w:tcPr>
            <w:tcW w:w="1360" w:type="dxa"/>
            <w:vAlign w:val="bottom"/>
            <w:tcBorders>
              <w:bottom w:val="single" w:sz="8" w:color="808080"/>
              <w:right w:val="single" w:sz="8" w:color="808080"/>
            </w:tcBorders>
            <w:gridSpan w:val="5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(801) 975-7200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(Registrant’s Telephone Number, Including Area Code)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Not applicable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(Former Name or Former Address, if Changed Since Last Report)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113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</w:rPr>
        <w:t>] Written communications pursuant to Rule 425 under the Securities Act (17 CFR 230.425)</w:t>
      </w:r>
    </w:p>
    <w:p>
      <w:pPr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</w:rPr>
        <w:t>] Soliciting material pursuant to Rule 14a-12 under the Exchange Act (17 CFR 240.14a-12)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139" w:firstLine="8"/>
        <w:spacing w:after="0" w:line="230" w:lineRule="auto"/>
        <w:tabs>
          <w:tab w:leader="none" w:pos="281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 Pre-commencement communications pursuant to Rule 14d-2(b) under the Exchange Act (17 CFR 240.14d-2(b))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00" w:right="1139" w:hanging="492"/>
        <w:spacing w:after="0" w:line="238" w:lineRule="auto"/>
        <w:tabs>
          <w:tab w:leader="none" w:pos="321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 Pre-commencement communication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371475</wp:posOffset>
            </wp:positionV>
            <wp:extent cx="5763260" cy="857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8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215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Explanatory Note: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right="1139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This Form 8-K/A is being filed to amend Item 5.07 to correct a typo in the term of the directors that were previously reported as being re-elected on the Form 8-K filed by ClearOne Communications, Inc. on November 8, 2012 (the “Form 8-K”). Other than the correction of the term, the Form 8-K is unchanged. This Form 8-K/A is limited in scope to Item 5.07 and does not amend, update, or change any other items or disclosures contained in the Form 8-K.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5.07 Submission of Matters to a Vote of Security Holders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right="113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On November 5, 2012, the following matters were voted upon and approved by the Company’s shareholders at the Company’s Annual Meeting of Shareholders: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3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election of five members to the Board of Directors;</w:t>
      </w:r>
    </w:p>
    <w:p>
      <w:pPr>
        <w:ind w:left="660" w:right="1139" w:hanging="328"/>
        <w:spacing w:after="0" w:line="230" w:lineRule="auto"/>
        <w:tabs>
          <w:tab w:leader="none" w:pos="633" w:val="left"/>
        </w:tabs>
        <w:numPr>
          <w:ilvl w:val="0"/>
          <w:numId w:val="3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ratification of the appointment of McGladrey, LLP as the Company’s auditor and independent certified public accountants; and</w:t>
      </w:r>
    </w:p>
    <w:p>
      <w:pPr>
        <w:spacing w:after="0" w:line="1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60" w:right="1139" w:hanging="328"/>
        <w:spacing w:after="0" w:line="238" w:lineRule="auto"/>
        <w:tabs>
          <w:tab w:leader="none" w:pos="633" w:val="left"/>
        </w:tabs>
        <w:numPr>
          <w:ilvl w:val="0"/>
          <w:numId w:val="3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amendment of the Articles of Incorporation to change the name of the Company from ClearOne Communications, Inc to ClearOne,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Election of Directors: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tbl>
      <w:tblPr>
        <w:tblLayout w:type="fixed"/>
        <w:tblInd w:w="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3680" w:type="dxa"/>
            <w:vAlign w:val="bottom"/>
            <w:tcBorders>
              <w:top w:val="single" w:sz="8" w:color="808080"/>
              <w:left w:val="single" w:sz="8" w:color="808080"/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Nominee</w:t>
            </w: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  <w:bottom w:val="single" w:sz="8" w:color="auto"/>
              <w:right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withheld</w:t>
            </w:r>
          </w:p>
        </w:tc>
      </w:tr>
      <w:tr>
        <w:trPr>
          <w:trHeight w:val="210"/>
        </w:trPr>
        <w:tc>
          <w:tcPr>
            <w:tcW w:w="3680" w:type="dxa"/>
            <w:vAlign w:val="bottom"/>
            <w:tcBorders>
              <w:left w:val="single" w:sz="8" w:color="808080"/>
            </w:tcBorders>
            <w:shd w:val="clear" w:color="auto" w:fill="B6DD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Brad R. Baldwin</w:t>
            </w:r>
          </w:p>
        </w:tc>
        <w:tc>
          <w:tcPr>
            <w:tcW w:w="1600" w:type="dxa"/>
            <w:vAlign w:val="bottom"/>
            <w:gridSpan w:val="3"/>
            <w:shd w:val="clear" w:color="auto" w:fill="B6DDE8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3,267,482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149,398</w:t>
            </w:r>
          </w:p>
        </w:tc>
      </w:tr>
      <w:tr>
        <w:trPr>
          <w:trHeight w:val="216"/>
        </w:trPr>
        <w:tc>
          <w:tcPr>
            <w:tcW w:w="3680" w:type="dxa"/>
            <w:vAlign w:val="bottom"/>
            <w:tcBorders>
              <w:left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Zeynep Hakimoglu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3,276,656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140,224</w:t>
            </w:r>
          </w:p>
        </w:tc>
      </w:tr>
      <w:tr>
        <w:trPr>
          <w:trHeight w:val="216"/>
        </w:trPr>
        <w:tc>
          <w:tcPr>
            <w:tcW w:w="3680" w:type="dxa"/>
            <w:vAlign w:val="bottom"/>
            <w:tcBorders>
              <w:left w:val="single" w:sz="8" w:color="808080"/>
            </w:tcBorders>
            <w:shd w:val="clear" w:color="auto" w:fill="B6DD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Larry R. Hendricks</w:t>
            </w:r>
          </w:p>
        </w:tc>
        <w:tc>
          <w:tcPr>
            <w:tcW w:w="1600" w:type="dxa"/>
            <w:vAlign w:val="bottom"/>
            <w:gridSpan w:val="3"/>
            <w:shd w:val="clear" w:color="auto" w:fill="B6DDE8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3,210,482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206,398</w:t>
            </w:r>
          </w:p>
        </w:tc>
      </w:tr>
      <w:tr>
        <w:trPr>
          <w:trHeight w:val="216"/>
        </w:trPr>
        <w:tc>
          <w:tcPr>
            <w:tcW w:w="3680" w:type="dxa"/>
            <w:vAlign w:val="bottom"/>
            <w:tcBorders>
              <w:left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Scott M. Huntsman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3,045,784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371,096</w:t>
            </w:r>
          </w:p>
        </w:tc>
      </w:tr>
      <w:tr>
        <w:trPr>
          <w:trHeight w:val="216"/>
        </w:trPr>
        <w:tc>
          <w:tcPr>
            <w:tcW w:w="3680" w:type="dxa"/>
            <w:vAlign w:val="bottom"/>
            <w:tcBorders>
              <w:left w:val="single" w:sz="8" w:color="808080"/>
            </w:tcBorders>
            <w:shd w:val="clear" w:color="auto" w:fill="B6DD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E. Bryan Bagley</w:t>
            </w:r>
          </w:p>
        </w:tc>
        <w:tc>
          <w:tcPr>
            <w:tcW w:w="1600" w:type="dxa"/>
            <w:vAlign w:val="bottom"/>
            <w:gridSpan w:val="3"/>
            <w:shd w:val="clear" w:color="auto" w:fill="B6DDE8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3,185,657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231,223</w:t>
            </w:r>
          </w:p>
        </w:tc>
      </w:tr>
      <w:tr>
        <w:trPr>
          <w:trHeight w:val="20"/>
        </w:trPr>
        <w:tc>
          <w:tcPr>
            <w:tcW w:w="368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13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All five directors were re-elected to serve a term expiring at the 2013 Annual Meeting of Shareholders of the Company.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139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Ratification of the appointment of McGladrey, LLP as the Company’s auditor and independent certified public accountants.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1900" w:type="dxa"/>
            <w:vAlign w:val="bottom"/>
            <w:tcBorders>
              <w:top w:val="single" w:sz="8" w:color="808080"/>
              <w:left w:val="single" w:sz="8" w:color="808080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162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against</w:t>
            </w: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abstained</w:t>
            </w:r>
          </w:p>
        </w:tc>
        <w:tc>
          <w:tcPr>
            <w:tcW w:w="174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tcBorders>
              <w:left w:val="single" w:sz="8" w:color="80808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900" w:type="dxa"/>
            <w:vAlign w:val="bottom"/>
            <w:tcBorders>
              <w:left w:val="single" w:sz="8" w:color="808080"/>
            </w:tcBorders>
            <w:gridSpan w:val="2"/>
            <w:shd w:val="clear" w:color="auto" w:fill="B6DDE8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5,386,013</w:t>
            </w:r>
          </w:p>
        </w:tc>
        <w:tc>
          <w:tcPr>
            <w:tcW w:w="1360" w:type="dxa"/>
            <w:vAlign w:val="bottom"/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224,606</w:t>
            </w:r>
          </w:p>
        </w:tc>
        <w:tc>
          <w:tcPr>
            <w:tcW w:w="260" w:type="dxa"/>
            <w:vAlign w:val="bottom"/>
            <w:shd w:val="clear" w:color="auto" w:fill="B6DD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shd w:val="clear" w:color="auto" w:fill="B6DDE8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45,734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139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Amendment of the Articles of Incorporation to change the name of the Company from ClearOne Communications, Inc. to ClearOne, Inc.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162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against</w:t>
            </w: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Votes abstained</w:t>
            </w:r>
          </w:p>
        </w:tc>
        <w:tc>
          <w:tcPr>
            <w:tcW w:w="174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Non-votes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shd w:val="clear" w:color="auto" w:fill="B6DDE8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5,632,482</w:t>
            </w:r>
          </w:p>
        </w:tc>
        <w:tc>
          <w:tcPr>
            <w:tcW w:w="1620" w:type="dxa"/>
            <w:vAlign w:val="bottom"/>
            <w:gridSpan w:val="2"/>
            <w:shd w:val="clear" w:color="auto" w:fill="B6DDE8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13,718</w:t>
            </w:r>
          </w:p>
        </w:tc>
        <w:tc>
          <w:tcPr>
            <w:tcW w:w="1780" w:type="dxa"/>
            <w:vAlign w:val="bottom"/>
            <w:gridSpan w:val="2"/>
            <w:shd w:val="clear" w:color="auto" w:fill="B6DDE8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10,153</w:t>
            </w: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B6DD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  <w:tcBorders>
              <w:right w:val="single" w:sz="8" w:color="808080"/>
            </w:tcBorders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808080"/>
            </w:tcBorders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80808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219"/>
          </w:cols>
          <w:pgMar w:left="240" w:top="105" w:right="1440" w:bottom="1440" w:gutter="0" w:footer="0" w:header="0"/>
        </w:sectPr>
      </w:pPr>
    </w:p>
    <w:bookmarkStart w:id="2" w:name="page3"/>
    <w:bookmarkEnd w:id="2"/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113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11430</wp:posOffset>
            </wp:positionH>
            <wp:positionV relativeFrom="paragraph">
              <wp:posOffset>112395</wp:posOffset>
            </wp:positionV>
            <wp:extent cx="5098415" cy="12045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415" cy="120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November 8, 2012</w:t>
            </w:r>
          </w:p>
        </w:tc>
        <w:tc>
          <w:tcPr>
            <w:tcW w:w="38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 /s/ Zee Hakimoglu</w:t>
            </w: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Zee Hakimoglu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President &amp; Chief Executive Officer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10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2019-12-09T10:31:59Z</dcterms:created>
  <dcterms:modified xsi:type="dcterms:W3CDTF">2019-12-09T10:31:59Z</dcterms:modified>
</cp:coreProperties>
</file>