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BAGLEY E BRYAN</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CLEARONE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CLRO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1470 ARLINGTON DR</w:t>
            </w:r>
          </w:p>
        </w:tc>
        <w:tc>
          <w:tcPr>
            <w:tcW w:w="1340" w:type="dxa"/>
            <w:vAlign w:val="bottom"/>
          </w:tcPr>
          <w:p>
            <w:pPr>
              <w:spacing w:after="0"/>
              <w:rPr>
                <w:sz w:val="19"/>
                <w:szCs w:val="19"/>
                <w:color w:val="auto"/>
              </w:rPr>
            </w:pPr>
          </w:p>
        </w:tc>
        <w:tc>
          <w:tcPr>
            <w:tcW w:w="1580" w:type="dxa"/>
            <w:vAlign w:val="bottom"/>
            <w:gridSpan w:val="5"/>
          </w:tcPr>
          <w:p>
            <w:pPr>
              <w:ind w:left="160"/>
              <w:spacing w:after="0"/>
              <w:rPr>
                <w:sz w:val="20"/>
                <w:szCs w:val="20"/>
                <w:color w:val="auto"/>
              </w:rPr>
            </w:pPr>
            <w:r>
              <w:rPr>
                <w:rFonts w:ascii="Arial" w:cs="Arial" w:eastAsia="Arial" w:hAnsi="Arial"/>
                <w:sz w:val="17"/>
                <w:szCs w:val="17"/>
                <w:color w:val="0000FF"/>
              </w:rPr>
              <w:t>04/01/2020</w:t>
            </w: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tcBorders>
              <w:bottom w:val="single" w:sz="8" w:color="2C2C2C"/>
            </w:tcBorders>
            <w:gridSpan w:val="6"/>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4"/>
                <w:szCs w:val="4"/>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6"/>
            <w:vMerge w:val="continue"/>
          </w:tcPr>
          <w:p>
            <w:pPr>
              <w:spacing w:after="0"/>
              <w:rPr>
                <w:sz w:val="11"/>
                <w:szCs w:val="11"/>
                <w:color w:val="auto"/>
              </w:rPr>
            </w:pPr>
          </w:p>
        </w:tc>
        <w:tc>
          <w:tcPr>
            <w:tcW w:w="340" w:type="dxa"/>
            <w:vAlign w:val="bottom"/>
          </w:tcPr>
          <w:p>
            <w:pPr>
              <w:spacing w:after="0"/>
              <w:rPr>
                <w:sz w:val="11"/>
                <w:szCs w:val="11"/>
                <w:color w:val="auto"/>
              </w:rPr>
            </w:pPr>
          </w:p>
        </w:tc>
        <w:tc>
          <w:tcPr>
            <w:tcW w:w="34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SALT LAKE</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w w:val="96"/>
              </w:rPr>
              <w:t>UT</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84103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5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4"/>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4"/>
          </w:tcPr>
          <w:p>
            <w:pPr>
              <w:ind w:left="840"/>
              <w:spacing w:after="0"/>
              <w:rPr>
                <w:sz w:val="20"/>
                <w:szCs w:val="20"/>
                <w:color w:val="auto"/>
              </w:rPr>
            </w:pPr>
            <w:r>
              <w:rPr>
                <w:rFonts w:ascii="Arial" w:cs="Arial" w:eastAsia="Arial" w:hAnsi="Arial"/>
                <w:sz w:val="17"/>
                <w:szCs w:val="17"/>
                <w:color w:val="0000FF"/>
              </w:rPr>
              <w:t>04/01/2020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4,601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4"/>
          </w:tcPr>
          <w:p>
            <w:pPr>
              <w:jc w:val="center"/>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1.612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113,777</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4"/>
          </w:tcPr>
          <w:p>
            <w:pPr>
              <w:ind w:left="840"/>
              <w:spacing w:after="0"/>
              <w:rPr>
                <w:sz w:val="20"/>
                <w:szCs w:val="20"/>
                <w:color w:val="auto"/>
              </w:rPr>
            </w:pPr>
            <w:r>
              <w:rPr>
                <w:rFonts w:ascii="Arial" w:cs="Arial" w:eastAsia="Arial" w:hAnsi="Arial"/>
                <w:sz w:val="17"/>
                <w:szCs w:val="17"/>
                <w:color w:val="0000FF"/>
              </w:rPr>
              <w:t>04/01/2020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5,000</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1.6137</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118,377</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36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Mr. Bagley directly owns 118,777 shares of common stock. The shares acquired above are directly owned by Mr. Bagley. Mr. Bagley's indirect ownership consists of 11,262 shares of common stock owned by Mr. Bagley's children, 1,006,991 shares of common stock that Mr. Bagley is deemed to indirectly own because they are in revocable trusts for which he acts as a co-trustee with his wife, and 563,159 shares that Mr. Bagley is deemed to indirectly own because he has a pecuniary interest in that number of shares that are held in a irrevocable trust for which Mr. Bagley acts a co-trustee.</w:t>
      </w:r>
    </w:p>
    <w:p>
      <w:pPr>
        <w:spacing w:after="0" w:line="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E. Bryan Bagley</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04/02/2020</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62764" TargetMode="External"/><Relationship Id="rId14"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2020-04-03T14:06:42Z</dcterms:created>
  <dcterms:modified xsi:type="dcterms:W3CDTF">2020-04-03T14:06:42Z</dcterms:modified>
</cp:coreProperties>
</file>