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730250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15, 2009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r>
        <w:rPr>
          <w:rFonts w:ascii="Arial" w:cs="Arial" w:eastAsia="Arial" w:hAnsi="Arial"/>
          <w:sz w:val="18"/>
          <w:szCs w:val="18"/>
          <w:u w:val="single" w:color="auto"/>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240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4"/>
              </w:rPr>
              <w:t>Utah</w:t>
            </w:r>
          </w:p>
        </w:tc>
        <w:tc>
          <w:tcPr>
            <w:tcW w:w="244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001-33660</w:t>
            </w:r>
          </w:p>
        </w:tc>
        <w:tc>
          <w:tcPr>
            <w:tcW w:w="16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1"/>
              </w:rPr>
              <w:t>87-0398877</w:t>
            </w:r>
          </w:p>
        </w:tc>
      </w:tr>
      <w:tr>
        <w:trPr>
          <w:trHeight w:val="20"/>
        </w:trPr>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2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(State or Other</w:t>
            </w:r>
          </w:p>
        </w:tc>
        <w:tc>
          <w:tcPr>
            <w:tcW w:w="24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(Commission File Number)</w:t>
            </w:r>
          </w:p>
        </w:tc>
        <w:tc>
          <w:tcPr>
            <w:tcW w:w="164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228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Jurisdiction of Incorporation)</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4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Salt Lake City, Utah 84116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(801) 975-7200</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848"/>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previously reported on a Current Report on Form 8-K filed by ClearOne Communications, Inc. (the “Company”) with the Securities and Exchange Commission on September 4, 2007, effective August 30, 2007 the Company’s Chief Financial Officer, Greg LeClaire, entered into 10b5-1(c) Stock Purchase Plan (the “Plan”) in connection with his participation in the Company’s Employee Stock Purchase Plan. The Plan provided that Mr. LeClaire shall terminate the Plan upon his withdrawal from the Company’s Employee Stock Purchase Plan. In connection with his resignation as an officer of the Company, effective May 15, 2009, Mr. LeClaire withdrew from the Company’s Employee Stock Purchase Plan. Notwithstanding termination of the Plan, Mr. LeClaire’s trading, if any, in shares of the Company’s capital stock will remain subject to the restrictions set forth in the Company’s insider trading policy.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980" w:val="left"/>
          <w:tab w:leader="none" w:pos="4680" w:val="left"/>
        </w:tabs>
        <w:rPr>
          <w:sz w:val="20"/>
          <w:szCs w:val="20"/>
          <w:color w:val="auto"/>
        </w:rPr>
      </w:pPr>
      <w:r>
        <w:rPr>
          <w:rFonts w:ascii="Arial" w:cs="Arial" w:eastAsia="Arial" w:hAnsi="Arial"/>
          <w:sz w:val="18"/>
          <w:szCs w:val="18"/>
          <w:color w:val="auto"/>
        </w:rPr>
        <w:t>Date: May 15,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President and Chief Executive Officer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2019-12-10T08:50:37Z</dcterms:created>
  <dcterms:modified xsi:type="dcterms:W3CDTF">2019-12-10T08:50:37Z</dcterms:modified>
</cp:coreProperties>
</file>