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No.11)</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ClearOne Inc.</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18506U104</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2012</w:t>
      </w:r>
    </w:p>
    <w:p>
      <w:pPr>
        <w:spacing w:after="0" w:line="201" w:lineRule="exact"/>
        <w:rPr>
          <w:sz w:val="24"/>
          <w:szCs w:val="24"/>
          <w:color w:val="auto"/>
        </w:rPr>
      </w:pPr>
    </w:p>
    <w:p>
      <w:pPr>
        <w:ind w:right="25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18506U104</w:t>
      </w:r>
      <w:r>
        <w:rPr>
          <w:sz w:val="20"/>
          <w:szCs w:val="20"/>
          <w:color w:val="auto"/>
        </w:rPr>
        <w:tab/>
      </w:r>
      <w:r>
        <w:rPr>
          <w:rFonts w:ascii="Courier New" w:cs="Courier New" w:eastAsia="Courier New" w:hAnsi="Courier New"/>
          <w:sz w:val="16"/>
          <w:szCs w:val="16"/>
          <w:color w:val="auto"/>
        </w:rPr>
        <w:t>13G</w:t>
      </w:r>
    </w:p>
    <w:p>
      <w:pPr>
        <w:spacing w:after="0" w:line="29" w:lineRule="exact"/>
        <w:rPr>
          <w:sz w:val="24"/>
          <w:szCs w:val="24"/>
          <w:color w:val="auto"/>
        </w:rPr>
      </w:pPr>
    </w:p>
    <w:p>
      <w:pPr>
        <w:ind w:left="640" w:hanging="42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220" w:right="4839"/>
        <w:spacing w:after="0" w:line="238"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8"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171"/>
        </w:trPr>
        <w:tc>
          <w:tcPr>
            <w:tcW w:w="15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280"/>
              <w:spacing w:after="0" w:line="170" w:lineRule="exact"/>
              <w:rPr>
                <w:sz w:val="20"/>
                <w:szCs w:val="20"/>
                <w:color w:val="auto"/>
              </w:rPr>
            </w:pPr>
            <w:r>
              <w:rPr>
                <w:rFonts w:ascii="Courier New" w:cs="Courier New" w:eastAsia="Courier New" w:hAnsi="Courier New"/>
                <w:sz w:val="18"/>
                <w:szCs w:val="18"/>
                <w:color w:val="auto"/>
              </w:rPr>
              <w:t>New York</w:t>
            </w: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w:t>
            </w: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694,284</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vMerge w:val="continue"/>
          </w:tcPr>
          <w:p>
            <w:pPr>
              <w:spacing w:after="0"/>
              <w:rPr>
                <w:sz w:val="17"/>
                <w:szCs w:val="17"/>
                <w:color w:val="auto"/>
              </w:rPr>
            </w:pP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w:t>
            </w:r>
          </w:p>
        </w:tc>
        <w:tc>
          <w:tcPr>
            <w:tcW w:w="27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vMerge w:val="continue"/>
          </w:tcPr>
          <w:p>
            <w:pPr>
              <w:spacing w:after="0"/>
              <w:rPr>
                <w:sz w:val="17"/>
                <w:szCs w:val="17"/>
                <w:color w:val="auto"/>
              </w:rPr>
            </w:pPr>
          </w:p>
        </w:tc>
        <w:tc>
          <w:tcPr>
            <w:tcW w:w="2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w:t>
            </w: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694,284</w:t>
            </w:r>
          </w:p>
        </w:tc>
        <w:tc>
          <w:tcPr>
            <w:tcW w:w="0" w:type="dxa"/>
            <w:vAlign w:val="bottom"/>
          </w:tcPr>
          <w:p>
            <w:pPr>
              <w:spacing w:after="0"/>
              <w:rPr>
                <w:sz w:val="1"/>
                <w:szCs w:val="1"/>
                <w:color w:val="auto"/>
              </w:rPr>
            </w:pP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vMerge w:val="continue"/>
          </w:tcPr>
          <w:p>
            <w:pPr>
              <w:spacing w:after="0"/>
              <w:rPr>
                <w:sz w:val="17"/>
                <w:szCs w:val="17"/>
                <w:color w:val="auto"/>
              </w:rPr>
            </w:pP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235"/>
        </w:trPr>
        <w:tc>
          <w:tcPr>
            <w:tcW w:w="1580" w:type="dxa"/>
            <w:vAlign w:val="bottom"/>
          </w:tcPr>
          <w:p>
            <w:pPr>
              <w:jc w:val="center"/>
              <w:ind w:right="452"/>
              <w:spacing w:after="0"/>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40" w:hanging="321"/>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169"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spacing w:after="0" w:line="29" w:lineRule="exact"/>
        <w:rPr>
          <w:sz w:val="24"/>
          <w:szCs w:val="24"/>
          <w:color w:val="auto"/>
        </w:rPr>
      </w:pP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ind w:left="2220" w:right="4519" w:hanging="2107"/>
        <w:spacing w:after="0" w:line="238"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7.55%</w:t>
      </w: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7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18506U104</w:t>
      </w:r>
      <w:r>
        <w:rPr>
          <w:sz w:val="20"/>
          <w:szCs w:val="20"/>
          <w:color w:val="auto"/>
        </w:rPr>
        <w:tab/>
      </w:r>
      <w:r>
        <w:rPr>
          <w:rFonts w:ascii="Courier New" w:cs="Courier New" w:eastAsia="Courier New" w:hAnsi="Courier New"/>
          <w:sz w:val="16"/>
          <w:szCs w:val="16"/>
          <w:color w:val="auto"/>
        </w:rPr>
        <w:t>13G</w:t>
      </w:r>
    </w:p>
    <w:p>
      <w:pPr>
        <w:spacing w:after="0" w:line="29"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ClearOne Inc.</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c>
          <w:tcPr>
            <w:tcW w:w="0" w:type="dxa"/>
            <w:vAlign w:val="bottom"/>
          </w:tcPr>
          <w:p>
            <w:pPr>
              <w:spacing w:after="0"/>
              <w:rPr>
                <w:sz w:val="1"/>
                <w:szCs w:val="1"/>
                <w:color w:val="auto"/>
              </w:rPr>
            </w:pP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Investor Relations</w:t>
            </w:r>
          </w:p>
        </w:tc>
        <w:tc>
          <w:tcPr>
            <w:tcW w:w="5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5225</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Wiley Post Way</w:t>
            </w:r>
          </w:p>
        </w:tc>
        <w:tc>
          <w:tcPr>
            <w:tcW w:w="5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84116</w:t>
            </w:r>
          </w:p>
        </w:tc>
        <w:tc>
          <w:tcPr>
            <w:tcW w:w="0" w:type="dxa"/>
            <w:vAlign w:val="bottom"/>
          </w:tcPr>
          <w:p>
            <w:pPr>
              <w:spacing w:after="0"/>
              <w:rPr>
                <w:sz w:val="1"/>
                <w:szCs w:val="1"/>
                <w:color w:val="auto"/>
              </w:rPr>
            </w:pP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Salt Lake City, UT</w:t>
            </w:r>
          </w:p>
        </w:tc>
        <w:tc>
          <w:tcPr>
            <w:tcW w:w="5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c>
          <w:tcPr>
            <w:tcW w:w="0" w:type="dxa"/>
            <w:vAlign w:val="bottom"/>
          </w:tcPr>
          <w:p>
            <w:pPr>
              <w:spacing w:after="0"/>
              <w:rPr>
                <w:sz w:val="1"/>
                <w:szCs w:val="1"/>
                <w:color w:val="auto"/>
              </w:rPr>
            </w:pPr>
          </w:p>
        </w:tc>
      </w:tr>
      <w:tr>
        <w:trPr>
          <w:trHeight w:val="203"/>
        </w:trPr>
        <w:tc>
          <w:tcPr>
            <w:tcW w:w="9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c>
          <w:tcPr>
            <w:tcW w:w="0" w:type="dxa"/>
            <w:vAlign w:val="bottom"/>
          </w:tcPr>
          <w:p>
            <w:pPr>
              <w:spacing w:after="0"/>
              <w:rPr>
                <w:sz w:val="1"/>
                <w:szCs w:val="1"/>
                <w:color w:val="auto"/>
              </w:rPr>
            </w:pPr>
          </w:p>
        </w:tc>
      </w:tr>
      <w:tr>
        <w:trPr>
          <w:trHeight w:val="203"/>
        </w:trPr>
        <w:tc>
          <w:tcPr>
            <w:tcW w:w="960" w:type="dxa"/>
            <w:vAlign w:val="bottom"/>
            <w:gridSpan w:val="2"/>
            <w:vMerge w:val="continue"/>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c>
          <w:tcPr>
            <w:tcW w:w="0" w:type="dxa"/>
            <w:vAlign w:val="bottom"/>
          </w:tcPr>
          <w:p>
            <w:pPr>
              <w:spacing w:after="0"/>
              <w:rPr>
                <w:sz w:val="1"/>
                <w:szCs w:val="1"/>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203"/>
        </w:trPr>
        <w:tc>
          <w:tcPr>
            <w:tcW w:w="9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c>
          <w:tcPr>
            <w:tcW w:w="0" w:type="dxa"/>
            <w:vAlign w:val="bottom"/>
          </w:tcPr>
          <w:p>
            <w:pPr>
              <w:spacing w:after="0"/>
              <w:rPr>
                <w:sz w:val="1"/>
                <w:szCs w:val="1"/>
                <w:color w:val="auto"/>
              </w:rPr>
            </w:pPr>
          </w:p>
        </w:tc>
      </w:tr>
      <w:tr>
        <w:trPr>
          <w:trHeight w:val="203"/>
        </w:trPr>
        <w:tc>
          <w:tcPr>
            <w:tcW w:w="960" w:type="dxa"/>
            <w:vAlign w:val="bottom"/>
            <w:gridSpan w:val="2"/>
            <w:vMerge w:val="continue"/>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203"/>
        </w:trPr>
        <w:tc>
          <w:tcPr>
            <w:tcW w:w="9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6"/>
              </w:rPr>
              <w:t>Item 2(e)</w:t>
            </w: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c>
          <w:tcPr>
            <w:tcW w:w="0" w:type="dxa"/>
            <w:vAlign w:val="bottom"/>
          </w:tcPr>
          <w:p>
            <w:pPr>
              <w:spacing w:after="0"/>
              <w:rPr>
                <w:sz w:val="1"/>
                <w:szCs w:val="1"/>
                <w:color w:val="auto"/>
              </w:rPr>
            </w:pPr>
          </w:p>
        </w:tc>
      </w:tr>
      <w:tr>
        <w:trPr>
          <w:trHeight w:val="203"/>
        </w:trPr>
        <w:tc>
          <w:tcPr>
            <w:tcW w:w="960" w:type="dxa"/>
            <w:vAlign w:val="bottom"/>
            <w:gridSpan w:val="2"/>
            <w:vMerge w:val="continue"/>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18506U104</w:t>
            </w:r>
          </w:p>
        </w:tc>
        <w:tc>
          <w:tcPr>
            <w:tcW w:w="684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If this statement is filed pursuant to rules 13d-1(b), or 13d-</w:t>
            </w:r>
          </w:p>
        </w:tc>
        <w:tc>
          <w:tcPr>
            <w:tcW w:w="0" w:type="dxa"/>
            <w:vAlign w:val="bottom"/>
          </w:tcPr>
          <w:p>
            <w:pPr>
              <w:spacing w:after="0"/>
              <w:rPr>
                <w:sz w:val="1"/>
                <w:szCs w:val="1"/>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whether the person filing is a:</w:t>
            </w:r>
          </w:p>
        </w:tc>
        <w:tc>
          <w:tcPr>
            <w:tcW w:w="0" w:type="dxa"/>
            <w:vAlign w:val="bottom"/>
          </w:tcPr>
          <w:p>
            <w:pPr>
              <w:spacing w:after="0"/>
              <w:rPr>
                <w:sz w:val="1"/>
                <w:szCs w:val="1"/>
                <w:color w:val="auto"/>
              </w:rPr>
            </w:pP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61" w:orient="portrait"/>
          <w:cols w:equalWidth="0" w:num="1">
            <w:col w:w="10219"/>
          </w:cols>
          <w:pgMar w:left="240" w:top="218"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3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169" w:lineRule="exact"/>
        <w:rPr>
          <w:sz w:val="20"/>
          <w:szCs w:val="20"/>
          <w:color w:val="auto"/>
        </w:rPr>
      </w:pPr>
    </w:p>
    <w:p>
      <w:pPr>
        <w:ind w:left="1380" w:right="3579" w:hanging="845"/>
        <w:spacing w:after="0" w:line="257"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21"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18506U104</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694,284</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7.55%</w:t>
      </w:r>
    </w:p>
    <w:p>
      <w:pPr>
        <w:ind w:left="1380" w:hanging="845"/>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169" w:lineRule="exact"/>
        <w:rPr>
          <w:rFonts w:ascii="Courier New" w:cs="Courier New" w:eastAsia="Courier New" w:hAnsi="Courier New"/>
          <w:sz w:val="18"/>
          <w:szCs w:val="18"/>
          <w:color w:val="auto"/>
        </w:rPr>
      </w:pPr>
    </w:p>
    <w:p>
      <w:pPr>
        <w:jc w:val="right"/>
        <w:ind w:left="4860" w:right="4619" w:hanging="3904"/>
        <w:spacing w:after="0" w:line="402"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694,284</w:t>
      </w: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694,284</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171"/>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520" w:type="dxa"/>
            <w:vAlign w:val="bottom"/>
            <w:gridSpan w:val="3"/>
          </w:tcPr>
          <w:p>
            <w:pPr>
              <w:jc w:val="right"/>
              <w:spacing w:after="0" w:line="171" w:lineRule="exact"/>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4"/>
                <w:szCs w:val="14"/>
                <w:color w:val="auto"/>
              </w:rPr>
            </w:pPr>
          </w:p>
        </w:tc>
        <w:tc>
          <w:tcPr>
            <w:tcW w:w="1420" w:type="dxa"/>
            <w:vAlign w:val="bottom"/>
          </w:tcPr>
          <w:p>
            <w:pPr>
              <w:jc w:val="right"/>
              <w:ind w:right="132"/>
              <w:spacing w:after="0" w:line="171" w:lineRule="exact"/>
              <w:rPr>
                <w:sz w:val="20"/>
                <w:szCs w:val="20"/>
                <w:color w:val="auto"/>
              </w:rPr>
            </w:pPr>
            <w:r>
              <w:rPr>
                <w:rFonts w:ascii="Courier New" w:cs="Courier New" w:eastAsia="Courier New" w:hAnsi="Courier New"/>
                <w:sz w:val="18"/>
                <w:szCs w:val="18"/>
                <w:color w:val="auto"/>
              </w:rPr>
              <w:t>__________</w:t>
            </w:r>
          </w:p>
        </w:tc>
        <w:tc>
          <w:tcPr>
            <w:tcW w:w="126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w w:val="99"/>
              </w:rPr>
              <w:t>Five Percent on</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7"/>
              </w:rPr>
              <w:t>Behalf of Another Person.</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380" w:right="3359"/>
        <w:spacing w:after="0" w:line="274"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82" w:lineRule="exact"/>
        <w:rPr>
          <w:sz w:val="20"/>
          <w:szCs w:val="20"/>
          <w:color w:val="auto"/>
        </w:rPr>
      </w:pPr>
    </w:p>
    <w:p>
      <w:pPr>
        <w:ind w:left="1380" w:right="2519"/>
        <w:spacing w:after="0" w:line="318" w:lineRule="auto"/>
        <w:rPr>
          <w:sz w:val="20"/>
          <w:szCs w:val="20"/>
          <w:color w:val="auto"/>
        </w:rPr>
      </w:pPr>
      <w:r>
        <w:rPr>
          <w:rFonts w:ascii="Courier New" w:cs="Courier New" w:eastAsia="Courier New" w:hAnsi="Courier New"/>
          <w:sz w:val="16"/>
          <w:szCs w:val="16"/>
          <w:color w:val="auto"/>
        </w:rPr>
        <w:t>The interest of one account, Royce Opportunity Fund an investment company registered under the Investment Company Act of 1940 and managed by Royce &amp; Associates, LLC, amounted to 556,620 shares or 6.05% of the total shares outstanding.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522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rPr>
              <w:t>Classification of Members of the Group.</w:t>
            </w: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9</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18506U104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c>
          <w:tcPr>
            <w:tcW w:w="0" w:type="dxa"/>
            <w:vAlign w:val="bottom"/>
          </w:tcPr>
          <w:p>
            <w:pPr>
              <w:spacing w:after="0"/>
              <w:rPr>
                <w:sz w:val="1"/>
                <w:szCs w:val="1"/>
                <w:color w:val="auto"/>
              </w:rPr>
            </w:pPr>
          </w:p>
        </w:tc>
      </w:tr>
      <w:tr>
        <w:trPr>
          <w:trHeight w:val="235"/>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w w:val="97"/>
              </w:rPr>
              <w:t>and are held in the ordinary</w:t>
            </w:r>
          </w:p>
        </w:tc>
        <w:tc>
          <w:tcPr>
            <w:tcW w:w="0" w:type="dxa"/>
            <w:vAlign w:val="bottom"/>
          </w:tcPr>
          <w:p>
            <w:pPr>
              <w:spacing w:after="0"/>
              <w:rPr>
                <w:sz w:val="1"/>
                <w:szCs w:val="1"/>
                <w:color w:val="auto"/>
              </w:rPr>
            </w:pPr>
          </w:p>
        </w:tc>
      </w:tr>
    </w:tbl>
    <w:p>
      <w:pPr>
        <w:ind w:left="120" w:right="2099"/>
        <w:spacing w:after="0" w:line="262"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31" w:lineRule="exact"/>
        <w:rPr>
          <w:sz w:val="20"/>
          <w:szCs w:val="20"/>
          <w:color w:val="auto"/>
        </w:rPr>
      </w:pPr>
    </w:p>
    <w:p>
      <w:pPr>
        <w:ind w:left="120" w:right="2619"/>
        <w:spacing w:after="0" w:line="309"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5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07,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2019-12-06T03:42:55Z</dcterms:created>
  <dcterms:modified xsi:type="dcterms:W3CDTF">2019-12-06T03:42:55Z</dcterms:modified>
</cp:coreProperties>
</file>