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u w:val="single" w:color="auto"/>
          <w:color w:val="auto"/>
        </w:rPr>
        <w:t>April 26, 2018 (April 20,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jc w:val="center"/>
              <w:ind w:right="114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50"/>
              <w:spacing w:after="0"/>
              <w:rPr>
                <w:sz w:val="20"/>
                <w:szCs w:val="20"/>
                <w:color w:val="auto"/>
              </w:rPr>
            </w:pPr>
            <w:r>
              <w:rPr>
                <w:rFonts w:ascii="Arial" w:cs="Arial" w:eastAsia="Arial" w:hAnsi="Arial"/>
                <w:sz w:val="18"/>
                <w:szCs w:val="18"/>
                <w:b w:val="1"/>
                <w:bCs w:val="1"/>
                <w:color w:val="auto"/>
              </w:rPr>
              <w:t>84116</w:t>
            </w:r>
          </w:p>
        </w:tc>
      </w:tr>
      <w:tr>
        <w:trPr>
          <w:trHeight w:val="224"/>
        </w:trPr>
        <w:tc>
          <w:tcPr>
            <w:tcW w:w="754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1"/>
              </w:rPr>
              <w:t>(Zip Code)</w:t>
            </w:r>
          </w:p>
        </w:tc>
      </w:tr>
      <w:tr>
        <w:trPr>
          <w:trHeight w:val="377"/>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20, 2018, ClearOne, Inc. (the “Company”) issued a press release announcing its financial results for the three and twelve months ended December 31 2017.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Exhibit</w:t>
      </w:r>
      <w:r>
        <w:rPr>
          <w:sz w:val="20"/>
          <w:szCs w:val="20"/>
          <w:color w:val="auto"/>
        </w:rPr>
        <w:tab/>
      </w:r>
      <w:hyperlink w:anchor="page5">
        <w:r>
          <w:rPr>
            <w:rFonts w:ascii="Arial" w:cs="Arial" w:eastAsia="Arial" w:hAnsi="Arial"/>
            <w:sz w:val="18"/>
            <w:szCs w:val="18"/>
            <w:u w:val="single" w:color="auto"/>
            <w:color w:val="0000EE"/>
          </w:rPr>
          <w:t>Press Release dated April 20, 2018 titled “ClearOne Reports Fourth Quarter and Full-Year 2017 Financial Results”.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CLEARONE,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April 26, 2018</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195"/>
        </w:trPr>
        <w:tc>
          <w:tcPr>
            <w:tcW w:w="3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5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47" w:lineRule="exact"/>
        <w:rPr>
          <w:sz w:val="20"/>
          <w:szCs w:val="20"/>
          <w:color w:val="auto"/>
        </w:rPr>
      </w:pPr>
    </w:p>
    <w:p>
      <w:pPr>
        <w:spacing w:after="0"/>
        <w:tabs>
          <w:tab w:leader="none" w:pos="740" w:val="left"/>
        </w:tabs>
        <w:rPr>
          <w:sz w:val="20"/>
          <w:szCs w:val="20"/>
          <w:color w:val="auto"/>
        </w:rPr>
      </w:pPr>
      <w:r>
        <w:rPr>
          <w:rFonts w:ascii="Arial" w:cs="Arial" w:eastAsia="Arial" w:hAnsi="Arial"/>
          <w:sz w:val="36"/>
          <w:szCs w:val="36"/>
          <w:b w:val="1"/>
          <w:bCs w:val="1"/>
          <w:color w:val="auto"/>
          <w:vertAlign w:val="superscript"/>
        </w:rPr>
        <w:t>Exhibit</w:t>
      </w:r>
      <w:r>
        <w:rPr>
          <w:sz w:val="20"/>
          <w:szCs w:val="20"/>
          <w:color w:val="auto"/>
        </w:rPr>
        <w:tab/>
      </w:r>
      <w:r>
        <w:rPr>
          <w:rFonts w:ascii="Arial" w:cs="Arial" w:eastAsia="Arial" w:hAnsi="Arial"/>
          <w:sz w:val="15"/>
          <w:szCs w:val="15"/>
          <w:b w:val="1"/>
          <w:bCs w:val="1"/>
          <w:color w:val="auto"/>
        </w:rPr>
        <w:t>Description</w:t>
      </w: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ind w:right="1139"/>
        <w:spacing w:after="0" w:line="277" w:lineRule="auto"/>
        <w:rPr>
          <w:sz w:val="20"/>
          <w:szCs w:val="20"/>
          <w:color w:val="auto"/>
        </w:rPr>
      </w:pPr>
      <w:r>
        <w:rPr>
          <w:rFonts w:ascii="Arial" w:cs="Arial" w:eastAsia="Arial" w:hAnsi="Arial"/>
          <w:sz w:val="18"/>
          <w:szCs w:val="18"/>
          <w:color w:val="auto"/>
        </w:rPr>
        <w:t xml:space="preserve">Exhibit </w:t>
      </w:r>
      <w:r>
        <w:rPr>
          <w:rFonts w:ascii="Arial" w:cs="Arial" w:eastAsia="Arial" w:hAnsi="Arial"/>
          <w:sz w:val="18"/>
          <w:szCs w:val="18"/>
          <w:u w:val="single" w:color="auto"/>
          <w:color w:val="auto"/>
        </w:rPr>
        <w:t>Press Release dated April 20, 2018 titled “ClearOne Reports Fourth Quarter and Full-Year 2017 Financial Results”.</w:t>
      </w:r>
      <w:r>
        <w:rPr>
          <w:rFonts w:ascii="Arial" w:cs="Arial" w:eastAsia="Arial" w:hAnsi="Arial"/>
          <w:sz w:val="18"/>
          <w:szCs w:val="18"/>
          <w:color w:val="auto"/>
        </w:rPr>
        <w:t xml:space="preserve"> 99.1</w:t>
      </w:r>
    </w:p>
    <w:p>
      <w:pPr>
        <w:sectPr>
          <w:pgSz w:w="11900" w:h="16838" w:orient="portrait"/>
          <w:cols w:equalWidth="0" w:num="1">
            <w:col w:w="10219"/>
          </w:cols>
          <w:pgMar w:left="24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8336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33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Fourth Quarter and Full-Year 2017 Financial Results</w:t>
      </w:r>
    </w:p>
    <w:p>
      <w:pPr>
        <w:spacing w:after="0" w:line="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36"/>
          <w:szCs w:val="36"/>
          <w:b w:val="1"/>
          <w:bCs w:val="1"/>
          <w:i w:val="1"/>
          <w:iCs w:val="1"/>
          <w:color w:val="auto"/>
          <w:vertAlign w:val="superscript"/>
        </w:rPr>
      </w:pPr>
      <w:r>
        <w:rPr>
          <w:rFonts w:ascii="Arial" w:cs="Arial" w:eastAsia="Arial" w:hAnsi="Arial"/>
          <w:sz w:val="18"/>
          <w:szCs w:val="18"/>
          <w:b w:val="1"/>
          <w:bCs w:val="1"/>
          <w:i w:val="1"/>
          <w:iCs w:val="1"/>
          <w:color w:val="auto"/>
        </w:rPr>
        <w:t>Increases in Converge</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Pro 2 and Beamformer Microphone Array 2 Quarter-over-Quarter</w:t>
      </w: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Continued increase in Video Products Revenue Year-over-Year</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SALT LAKE CITY, UTAH – April 20, 2018 – ClearOne (NASDAQ: CLRO), a global provider of audio and visual communication solutions, reported financial results for the three months and twelve months ended December 31, 2017.</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recently introduced products and the video category of our business continued to make progress in the fourth quarter,” said Zee Hakimoglu, president and chief executive officer. “Notwithstanding the overall revenue decline, Converge Pro 2, our new platform for professional audio conferencing, along with our Beamforming Microphone Array 2 made significant gains in the Pro AV market and posted robust quarter over quarter revenue growth of 48%. Our video</w:t>
      </w:r>
    </w:p>
    <w:p>
      <w:pPr>
        <w:jc w:val="both"/>
        <w:spacing w:after="0" w:line="205" w:lineRule="auto"/>
        <w:rPr>
          <w:sz w:val="20"/>
          <w:szCs w:val="20"/>
          <w:color w:val="auto"/>
        </w:rPr>
      </w:pPr>
      <w:r>
        <w:rPr>
          <w:rFonts w:ascii="Arial" w:cs="Arial" w:eastAsia="Arial" w:hAnsi="Arial"/>
          <w:sz w:val="18"/>
          <w:szCs w:val="18"/>
          <w:color w:val="auto"/>
        </w:rPr>
        <w:t>category, especially the Collaborate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suite of video collaboration products has continued its revenue growth with year over year increases. Our confidence in our solutions and the potential for success with our strategy are reinforced by these successes.”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9" w:lineRule="exact"/>
        <w:rPr>
          <w:sz w:val="20"/>
          <w:szCs w:val="20"/>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 2017 revenue was $9.3 million, compared to $10.7 million in Q4 2016 and $10.6 million in Q3 2017. The year-over-year decrease as well as sequential revenue decline reflect the continuing transition to the next generation professional audio conferencing platform, and the on-going harm of infringement of ClearOne’s patents.</w:t>
      </w:r>
    </w:p>
    <w:p>
      <w:pPr>
        <w:spacing w:after="0" w:line="190"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gross profit in Q4 2017 was $4.8 million, compared to $5.7 million in Q4 2016 and $6.5 million in Q3 2017. GAAP gross profit margin was 51% in Q4 2017, compared to 53% in Q4 2016 and 62% in Q3 2017. Year over year gross margin decline was mainly due to increased inventory obsolescence costs. Sequential decline in gross margin was largely due to higher than usual gross margin from the large order that was fulfilled in Q3 2017.</w:t>
      </w:r>
    </w:p>
    <w:p>
      <w:pPr>
        <w:spacing w:after="0" w:line="146"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in Q4 2017 were $5.8 million which included net litigation proceeds of $0.8 million, compared to $6.8 million in Q4 2016 and $20.0 million in Q3 2017 which included impairment charges of $13.54 million. The majority of the decrease in operating expenses over Q4 2016 is attributable to reduced legal expenses in general in Q4 2017 and due to capitalization of legal expenses related to patent litigation. Non-GAAP operating expenses in Q4 2017 were $6.1 million, compared to $5.3 million in Q4 2016 and $6.0 million in Q3 2017. The year over year increase in Non-GAAP operating expenses was mainly due to the increase in R&amp;D expenditure.</w:t>
      </w:r>
    </w:p>
    <w:p>
      <w:pPr>
        <w:spacing w:after="0" w:line="188"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in Q4 2017 was $3.6 million, or $0.43 per share, compared to net loss of $1.1 million, or $0.12 per share, in Q4 2016 and net loss of $9.3 million, or $1.07 per share, in Q3 2017. Net loss in Q4 2017 was largely caused by the reduction in tax benefits of approximately $2.6 million due to changes in federal income tax rates effective 2018. Non-GAAP net loss was $2.3 million, or $0.27 per share, in Q4 2017, compared to non-GAAP net loss of $0.1 million in Q4 2016 and net income of $0.8 million, or $0.09 per share, in Q3 2017. Non-GAAP net loss in Q4 2017 was caused by lower revenues and increased R&amp;D expenditures mentioned in the previous paragraphs as well as reduction in tax benefit claimed due to tax rate change.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4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 December 31,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10,730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41,804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48,637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4,753</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5,690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24,009</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29,487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(1,151)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(16,193)</w:t>
            </w:r>
          </w:p>
        </w:tc>
        <w:tc>
          <w:tcPr>
            <w:tcW w:w="3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3,566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2,444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Earnings (Loss) Per Share (Diluted)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(0.12)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0.26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2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4,759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5,909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24,036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30,007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 (Loss)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7,560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Non-GAAP Net Income (Loss)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(2,297)</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(1,490)</w:t>
            </w:r>
          </w:p>
        </w:tc>
        <w:tc>
          <w:tcPr>
            <w:tcW w:w="3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4,994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8,648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02"/>
        </w:trPr>
        <w:tc>
          <w:tcPr>
            <w:tcW w:w="20" w:type="dxa"/>
            <w:vAlign w:val="bottom"/>
          </w:tcPr>
          <w:p>
            <w:pPr>
              <w:spacing w:after="0"/>
              <w:rPr>
                <w:sz w:val="17"/>
                <w:szCs w:val="17"/>
                <w:color w:val="auto"/>
              </w:rPr>
            </w:pPr>
          </w:p>
        </w:tc>
        <w:tc>
          <w:tcPr>
            <w:tcW w:w="3020" w:type="dxa"/>
            <w:vAlign w:val="bottom"/>
            <w:gridSpan w:val="3"/>
          </w:tcPr>
          <w:p>
            <w:pPr>
              <w:spacing w:after="0" w:line="201" w:lineRule="exact"/>
              <w:rPr>
                <w:sz w:val="20"/>
                <w:szCs w:val="20"/>
                <w:color w:val="auto"/>
              </w:rPr>
            </w:pPr>
            <w:r>
              <w:rPr>
                <w:rFonts w:ascii="Arial" w:cs="Arial" w:eastAsia="Arial" w:hAnsi="Arial"/>
                <w:sz w:val="18"/>
                <w:szCs w:val="18"/>
                <w:color w:val="auto"/>
                <w:w w:val="99"/>
              </w:rPr>
              <w:t>Non-GAAP Earnings (Loss) per share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04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(0.27)</w:t>
            </w:r>
          </w:p>
        </w:tc>
        <w:tc>
          <w:tcPr>
            <w:tcW w:w="32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0.54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2017, cash, cash equivalents and investments were $18.6 million, as compared with $38.5 million at December 31, 2016. A significant portion of this decrease can be attributed to patent litigation expenses ($3.4 million), share repurchases ($5.1 million), dividend payments ($2.2 million) and higher investment in inventory related to the Converge Pro 2 platform and wireless microphones ($9.5 million) which is expected to be realized in cash. The Company continued to have no debt.</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Q4 of 2017, the Company paid a cash dividend of $0.07 per share and repurchased approximately 119,000 shares amounting to $1.0 million. As of December 31, 2017, the Company has acquired approximately 1.1 million shares amounting to $11.2 million since this program commenced in March 2016.</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ClearOne senior management will host an investor conference call, the details of which will be announced later, after the financial results of the 2018 first quarter results are available.</w:t>
      </w:r>
    </w:p>
    <w:p>
      <w:pPr>
        <w:sectPr>
          <w:pgSz w:w="11900" w:h="16838" w:orient="portrait"/>
          <w:cols w:equalWidth="0" w:num="1">
            <w:col w:w="11420"/>
          </w:cols>
          <w:pgMar w:left="240" w:top="5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ClearOne is a global company that designs, develops and sells conferencing, collaboration, and network streaming communications. The performance and simplicity of its advanced comprehensive solutions offer unprecedented levels scalability. More information about the Company can be found at www.clearone.com.</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hanging="4"/>
        <w:spacing w:after="0" w:line="277" w:lineRule="auto"/>
        <w:rPr>
          <w:sz w:val="20"/>
          <w:szCs w:val="20"/>
          <w:color w:val="auto"/>
        </w:rPr>
      </w:pPr>
      <w:r>
        <w:rPr>
          <w:rFonts w:ascii="Arial" w:cs="Arial" w:eastAsia="Arial" w:hAnsi="Arial"/>
          <w:sz w:val="18"/>
          <w:szCs w:val="18"/>
          <w:color w:val="auto"/>
        </w:rPr>
        <w:t>solutions for voice and visual of functionality, reliability and</w:t>
      </w:r>
    </w:p>
    <w:p>
      <w:pPr>
        <w:spacing w:after="0" w:line="382" w:lineRule="exact"/>
        <w:rPr>
          <w:sz w:val="20"/>
          <w:szCs w:val="20"/>
          <w:color w:val="auto"/>
        </w:rPr>
      </w:pPr>
    </w:p>
    <w:p>
      <w:pPr>
        <w:sectPr>
          <w:pgSz w:w="11900" w:h="16838" w:orient="portrait"/>
          <w:cols w:equalWidth="0" w:num="2">
            <w:col w:w="9000" w:space="80"/>
            <w:col w:w="2340"/>
          </w:cols>
          <w:pgMar w:left="240" w:top="58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As at</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$472 and $187, respectively</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Inventories, net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67,877</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jc w:val="center"/>
              <w:ind w:right="3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Accounts payable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rent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$0.001, 50,000,000 shares authorized, 8,319,022 and 8,812,644 shares issued and</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Retained earnings</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67,877</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0"/>
              </w:rPr>
              <w:t>Three months ended December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17,795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2,603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2,337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Legal proceeds,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8,384,938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8,860,186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8,384,938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9,089,328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8,576,588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9,306,034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Unrealized gain on available-for-sale securities, net of tax</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(3,624)</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0"/>
              </w:rPr>
              <w:t>Three months ended December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Inventory scrap related to wireless manufacturing move</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Non-GAAP gross profit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24,036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GAAP operating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(16,193)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Inventory scrap related to wireless manufacturing move</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Legal proceeds, net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Legal expenses, acquisition expenses, re-audit expenses, restructuring expenses,</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right w:val="single" w:sz="8" w:color="CCEEFF"/>
            </w:tcBorders>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etc. not related to regular operations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Non-GAAP operating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GAAP 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(14,172)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Inventory scrap related to wireless manufacturing move</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Legal proceeds, net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Legal expenses, acquisition expenses, re-audit expenses, restructuring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etc. not related to regular operations</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on disposal of assets related to wireless microphones manufacturing</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non-GAAP adjustments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Non-GAAP 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(2,297)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GAAP 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(14,172)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computing GAAP income per share (diluted)</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8,384,938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9,089,328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Number of shares used in computing Non-GAAP income per share (diluted)</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8,384,938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9,089,328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8,576,588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9,306,034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(loss) per share (diluted)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net income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Inventory scrap related to wireless manufacturing move</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Legal proceeds, net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Legal expenses, acquisition expenses, re-audit expenses, restructuring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etc. not related to regular operations</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on disposal of assets related to wireless microphones manufacturing</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Non-GAAP Adjusted EBITDA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2019-12-28T22:59:29Z</dcterms:created>
  <dcterms:modified xsi:type="dcterms:W3CDTF">2019-12-28T22:59:29Z</dcterms:modified>
</cp:coreProperties>
</file>