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10-KSB/A</w:t>
      </w:r>
    </w:p>
    <w:p>
      <w:pPr>
        <w:spacing w:after="0" w:line="3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(AMENDMENT NO. 1)</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31" w:lineRule="exact"/>
        <w:rPr>
          <w:sz w:val="24"/>
          <w:szCs w:val="24"/>
          <w:color w:val="auto"/>
        </w:rPr>
      </w:pPr>
    </w:p>
    <w:p>
      <w:pPr>
        <w:ind w:left="860" w:right="2419" w:hanging="536"/>
        <w:spacing w:after="0" w:line="309"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UNDER SECTION 13 OR 15(d) OF THE SECURITIES EXCHANGE ACT OF 1934 [Fee Required]</w:t>
      </w:r>
    </w:p>
    <w:p>
      <w:pPr>
        <w:spacing w:after="0" w:line="5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For the fiscal year ended June 30, 1996</w:t>
      </w:r>
    </w:p>
    <w:p>
      <w:pPr>
        <w:spacing w:after="0" w:line="31"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860" w:right="2319" w:hanging="536"/>
        <w:spacing w:after="0" w:line="347" w:lineRule="auto"/>
        <w:tabs>
          <w:tab w:leader="none" w:pos="5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[No Fee Required]</w:t>
      </w:r>
    </w:p>
    <w:p>
      <w:pPr>
        <w:sectPr>
          <w:pgSz w:w="11900" w:h="16838" w:orient="portrait"/>
          <w:cols w:equalWidth="0" w:num="1">
            <w:col w:w="10219"/>
          </w:cols>
          <w:pgMar w:left="240" w:top="218" w:right="1440" w:bottom="0" w:gutter="0" w:footer="0" w:header="0"/>
        </w:sectPr>
      </w:pPr>
    </w:p>
    <w:p>
      <w:pPr>
        <w:spacing w:after="0" w:line="1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115" w:lineRule="exact"/>
        <w:rPr>
          <w:sz w:val="24"/>
          <w:szCs w:val="24"/>
          <w:color w:val="auto"/>
        </w:rPr>
      </w:pPr>
    </w:p>
    <w:p>
      <w:pPr>
        <w:sectPr>
          <w:pgSz w:w="11900" w:h="16838" w:orient="portrait"/>
          <w:cols w:equalWidth="0" w:num="2">
            <w:col w:w="4980" w:space="720"/>
            <w:col w:w="4519"/>
          </w:cols>
          <w:pgMar w:left="240" w:top="218" w:right="1440" w:bottom="0" w:gutter="0" w:footer="0" w:header="0"/>
          <w:type w:val="continuous"/>
        </w:sect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700" w:space="200"/>
            <w:col w:w="4319"/>
          </w:cols>
          <w:pgMar w:left="240" w:top="218" w:right="1440" w:bottom="0" w:gutter="0" w:footer="0" w:header="0"/>
          <w:type w:val="continuous"/>
        </w:sectPr>
      </w:pPr>
    </w:p>
    <w:p>
      <w:pPr>
        <w:spacing w:after="0" w:line="133" w:lineRule="exact"/>
        <w:rPr>
          <w:sz w:val="24"/>
          <w:szCs w:val="24"/>
          <w:color w:val="auto"/>
        </w:rPr>
      </w:pPr>
    </w:p>
    <w:p>
      <w:pPr>
        <w:jc w:val="right"/>
        <w:ind w:right="4519"/>
        <w:spacing w:after="0"/>
        <w:rPr>
          <w:sz w:val="20"/>
          <w:szCs w:val="20"/>
          <w:color w:val="auto"/>
        </w:rPr>
      </w:pPr>
      <w:r>
        <w:rPr>
          <w:rFonts w:ascii="Courier New" w:cs="Courier New" w:eastAsia="Courier New" w:hAnsi="Courier New"/>
          <w:sz w:val="16"/>
          <w:szCs w:val="16"/>
          <w:color w:val="auto"/>
        </w:rPr>
        <w:t>Commission file number 0-7219</w:t>
      </w:r>
    </w:p>
    <w:p>
      <w:pPr>
        <w:spacing w:after="0" w:line="53" w:lineRule="exact"/>
        <w:rPr>
          <w:sz w:val="24"/>
          <w:szCs w:val="24"/>
          <w:color w:val="auto"/>
        </w:rPr>
      </w:pPr>
    </w:p>
    <w:p>
      <w:pPr>
        <w:jc w:val="right"/>
        <w:ind w:right="451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18" w:right="1440" w:bottom="0" w:gutter="0" w:footer="0" w:header="0"/>
          <w:type w:val="continuous"/>
        </w:sectPr>
      </w:pPr>
    </w:p>
    <w:p>
      <w:pPr>
        <w:spacing w:after="0" w:line="37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tbl>
      <w:tblPr>
        <w:tblLayout w:type="fixed"/>
        <w:tblInd w:w="0" w:type="dxa"/>
        <w:tblCellMar>
          <w:top w:w="0" w:type="dxa"/>
          <w:left w:w="0" w:type="dxa"/>
          <w:bottom w:w="0" w:type="dxa"/>
          <w:right w:w="0" w:type="dxa"/>
        </w:tblCellMar>
      </w:tblPr>
      <w:tr>
        <w:trPr>
          <w:trHeight w:val="201"/>
        </w:trPr>
        <w:tc>
          <w:tcPr>
            <w:tcW w:w="7600" w:type="dxa"/>
            <w:vAlign w:val="bottom"/>
            <w:gridSpan w:val="2"/>
          </w:tcPr>
          <w:p>
            <w:pPr>
              <w:jc w:val="right"/>
              <w:ind w:right="972"/>
              <w:spacing w:after="0" w:line="20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7600" w:type="dxa"/>
            <w:vAlign w:val="bottom"/>
            <w:gridSpan w:val="2"/>
          </w:tcPr>
          <w:p>
            <w:pPr>
              <w:jc w:val="right"/>
              <w:ind w:right="972"/>
              <w:spacing w:after="0"/>
              <w:rPr>
                <w:sz w:val="20"/>
                <w:szCs w:val="20"/>
                <w:color w:val="auto"/>
              </w:rPr>
            </w:pPr>
            <w:r>
              <w:rPr>
                <w:rFonts w:ascii="Courier New" w:cs="Courier New" w:eastAsia="Courier New" w:hAnsi="Courier New"/>
                <w:sz w:val="18"/>
                <w:szCs w:val="18"/>
                <w:color w:val="auto"/>
              </w:rPr>
              <w:t>(Name of small business issuer in its charter)</w:t>
            </w:r>
          </w:p>
        </w:tc>
        <w:tc>
          <w:tcPr>
            <w:tcW w:w="0" w:type="dxa"/>
            <w:vAlign w:val="bottom"/>
          </w:tcPr>
          <w:p>
            <w:pPr>
              <w:spacing w:after="0"/>
              <w:rPr>
                <w:sz w:val="1"/>
                <w:szCs w:val="1"/>
                <w:color w:val="auto"/>
              </w:rPr>
            </w:pPr>
          </w:p>
        </w:tc>
      </w:tr>
      <w:tr>
        <w:trPr>
          <w:trHeight w:val="514"/>
        </w:trPr>
        <w:tc>
          <w:tcPr>
            <w:tcW w:w="4960" w:type="dxa"/>
            <w:vAlign w:val="bottom"/>
          </w:tcPr>
          <w:p>
            <w:pPr>
              <w:jc w:val="right"/>
              <w:ind w:right="2975"/>
              <w:spacing w:after="0"/>
              <w:rPr>
                <w:sz w:val="20"/>
                <w:szCs w:val="20"/>
                <w:color w:val="auto"/>
              </w:rPr>
            </w:pPr>
            <w:r>
              <w:rPr>
                <w:rFonts w:ascii="Courier New" w:cs="Courier New" w:eastAsia="Courier New" w:hAnsi="Courier New"/>
                <w:sz w:val="18"/>
                <w:szCs w:val="18"/>
                <w:color w:val="auto"/>
              </w:rPr>
              <w:t>Utah</w:t>
            </w:r>
          </w:p>
        </w:tc>
        <w:tc>
          <w:tcPr>
            <w:tcW w:w="2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87-0398877</w:t>
            </w:r>
          </w:p>
        </w:tc>
        <w:tc>
          <w:tcPr>
            <w:tcW w:w="0" w:type="dxa"/>
            <w:vAlign w:val="bottom"/>
          </w:tcPr>
          <w:p>
            <w:pPr>
              <w:spacing w:after="0"/>
              <w:rPr>
                <w:sz w:val="1"/>
                <w:szCs w:val="1"/>
                <w:color w:val="auto"/>
              </w:rPr>
            </w:pPr>
          </w:p>
        </w:tc>
      </w:tr>
      <w:tr>
        <w:trPr>
          <w:trHeight w:val="203"/>
        </w:trPr>
        <w:tc>
          <w:tcPr>
            <w:tcW w:w="4960" w:type="dxa"/>
            <w:vAlign w:val="bottom"/>
            <w:vMerge w:val="restart"/>
          </w:tcPr>
          <w:p>
            <w:pPr>
              <w:jc w:val="right"/>
              <w:ind w:right="1495"/>
              <w:spacing w:after="0"/>
              <w:rPr>
                <w:sz w:val="20"/>
                <w:szCs w:val="20"/>
                <w:color w:val="auto"/>
              </w:rPr>
            </w:pPr>
            <w:r>
              <w:rPr>
                <w:rFonts w:ascii="Courier New" w:cs="Courier New" w:eastAsia="Courier New" w:hAnsi="Courier New"/>
                <w:sz w:val="22"/>
                <w:szCs w:val="22"/>
                <w:color w:val="auto"/>
                <w:w w:val="70"/>
                <w:vertAlign w:val="subscript"/>
              </w:rPr>
              <w:t>(State</w:t>
            </w: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orotherjurisdictionof</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4960" w:type="dxa"/>
            <w:vAlign w:val="bottom"/>
          </w:tcPr>
          <w:p>
            <w:pPr>
              <w:jc w:val="right"/>
              <w:ind w:right="1495"/>
              <w:spacing w:after="0"/>
              <w:rPr>
                <w:sz w:val="20"/>
                <w:szCs w:val="20"/>
                <w:color w:val="auto"/>
              </w:rPr>
            </w:pPr>
            <w:r>
              <w:rPr>
                <w:rFonts w:ascii="Courier New" w:cs="Courier New" w:eastAsia="Courier New" w:hAnsi="Courier New"/>
                <w:sz w:val="18"/>
                <w:szCs w:val="18"/>
                <w:color w:val="auto"/>
              </w:rPr>
              <w:t>incorporation or organization)</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311"/>
        </w:trPr>
        <w:tc>
          <w:tcPr>
            <w:tcW w:w="4960" w:type="dxa"/>
            <w:vAlign w:val="bottom"/>
          </w:tcPr>
          <w:p>
            <w:pPr>
              <w:jc w:val="right"/>
              <w:ind w:right="655"/>
              <w:spacing w:after="0"/>
              <w:rPr>
                <w:sz w:val="20"/>
                <w:szCs w:val="20"/>
                <w:color w:val="auto"/>
              </w:rPr>
            </w:pPr>
            <w:r>
              <w:rPr>
                <w:rFonts w:ascii="Courier New" w:cs="Courier New" w:eastAsia="Courier New" w:hAnsi="Courier New"/>
                <w:sz w:val="18"/>
                <w:szCs w:val="18"/>
                <w:color w:val="auto"/>
                <w:w w:val="99"/>
              </w:rPr>
              <w:t>1825 Research Way, Salt Lake City, Utah</w:t>
            </w:r>
          </w:p>
        </w:tc>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84119</w:t>
            </w:r>
          </w:p>
        </w:tc>
        <w:tc>
          <w:tcPr>
            <w:tcW w:w="0" w:type="dxa"/>
            <w:vAlign w:val="bottom"/>
          </w:tcPr>
          <w:p>
            <w:pPr>
              <w:spacing w:after="0"/>
              <w:rPr>
                <w:sz w:val="1"/>
                <w:szCs w:val="1"/>
                <w:color w:val="auto"/>
              </w:rPr>
            </w:pPr>
          </w:p>
        </w:tc>
      </w:tr>
      <w:tr>
        <w:trPr>
          <w:trHeight w:val="203"/>
        </w:trPr>
        <w:tc>
          <w:tcPr>
            <w:tcW w:w="4960" w:type="dxa"/>
            <w:vAlign w:val="bottom"/>
          </w:tcPr>
          <w:p>
            <w:pPr>
              <w:jc w:val="right"/>
              <w:ind w:right="435"/>
              <w:spacing w:after="0" w:line="203" w:lineRule="exact"/>
              <w:rPr>
                <w:sz w:val="20"/>
                <w:szCs w:val="20"/>
                <w:color w:val="auto"/>
              </w:rPr>
            </w:pPr>
            <w:r>
              <w:rPr>
                <w:rFonts w:ascii="Courier New" w:cs="Courier New" w:eastAsia="Courier New" w:hAnsi="Courier New"/>
                <w:sz w:val="18"/>
                <w:szCs w:val="18"/>
                <w:color w:val="auto"/>
                <w:w w:val="97"/>
              </w:rPr>
              <w:t>- ----------------------------------------</w:t>
            </w:r>
          </w:p>
        </w:tc>
        <w:tc>
          <w:tcPr>
            <w:tcW w:w="2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4960" w:type="dxa"/>
            <w:vAlign w:val="bottom"/>
          </w:tcPr>
          <w:p>
            <w:pPr>
              <w:jc w:val="right"/>
              <w:ind w:right="655"/>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Issuer's telephone number (801) 975-7200</w:t>
      </w:r>
    </w:p>
    <w:p>
      <w:pPr>
        <w:spacing w:after="0" w:line="31"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under Section 12(b) of the Exchange Act:</w:t>
      </w:r>
    </w:p>
    <w:p>
      <w:pPr>
        <w:spacing w:after="0" w:line="200"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w w:val="99"/>
              </w:rPr>
              <w:t>Title of each class</w:t>
            </w:r>
          </w:p>
        </w:tc>
        <w:tc>
          <w:tcPr>
            <w:tcW w:w="5320" w:type="dxa"/>
            <w:vAlign w:val="bottom"/>
          </w:tcPr>
          <w:p>
            <w:pPr>
              <w:ind w:left="2680"/>
              <w:spacing w:after="0"/>
              <w:rPr>
                <w:sz w:val="20"/>
                <w:szCs w:val="20"/>
                <w:color w:val="auto"/>
              </w:rPr>
            </w:pPr>
            <w:r>
              <w:rPr>
                <w:rFonts w:ascii="Courier New" w:cs="Courier New" w:eastAsia="Courier New" w:hAnsi="Courier New"/>
                <w:sz w:val="18"/>
                <w:szCs w:val="18"/>
                <w:color w:val="auto"/>
              </w:rPr>
              <w:t>Name of each exchange on</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5320" w:type="dxa"/>
            <w:vAlign w:val="bottom"/>
          </w:tcPr>
          <w:p>
            <w:pPr>
              <w:ind w:left="3000"/>
              <w:spacing w:after="0" w:line="203" w:lineRule="exact"/>
              <w:rPr>
                <w:sz w:val="20"/>
                <w:szCs w:val="20"/>
                <w:color w:val="auto"/>
              </w:rPr>
            </w:pPr>
            <w:r>
              <w:rPr>
                <w:rFonts w:ascii="Courier New" w:cs="Courier New" w:eastAsia="Courier New" w:hAnsi="Courier New"/>
                <w:sz w:val="18"/>
                <w:szCs w:val="18"/>
                <w:color w:val="auto"/>
              </w:rPr>
              <w:t>which registered</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w w:val="78"/>
              </w:rPr>
              <w:t>-------------------</w:t>
            </w:r>
            <w:r>
              <w:rPr>
                <w:rFonts w:ascii="Courier New" w:cs="Courier New" w:eastAsia="Courier New" w:hAnsi="Courier New"/>
                <w:sz w:val="35"/>
                <w:szCs w:val="35"/>
                <w:color w:val="auto"/>
                <w:w w:val="78"/>
                <w:vertAlign w:val="subscript"/>
              </w:rPr>
              <w:t>None</w:t>
            </w:r>
          </w:p>
        </w:tc>
        <w:tc>
          <w:tcPr>
            <w:tcW w:w="5320" w:type="dxa"/>
            <w:vAlign w:val="bottom"/>
          </w:tcPr>
          <w:p>
            <w:pPr>
              <w:ind w:left="26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3"/>
        </w:trPr>
        <w:tc>
          <w:tcPr>
            <w:tcW w:w="2060" w:type="dxa"/>
            <w:vAlign w:val="bottom"/>
            <w:vMerge w:val="continue"/>
          </w:tcPr>
          <w:p>
            <w:pPr>
              <w:spacing w:after="0"/>
              <w:rPr>
                <w:sz w:val="24"/>
                <w:szCs w:val="24"/>
                <w:color w:val="auto"/>
              </w:rPr>
            </w:pPr>
          </w:p>
        </w:tc>
        <w:tc>
          <w:tcPr>
            <w:tcW w:w="5320" w:type="dxa"/>
            <w:vAlign w:val="bottom"/>
          </w:tcPr>
          <w:p>
            <w:pPr>
              <w:ind w:left="374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591"/>
        </w:trPr>
        <w:tc>
          <w:tcPr>
            <w:tcW w:w="73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Securities registered under Section 12(g) of the Exchange Act:</w:t>
            </w: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5320" w:type="dxa"/>
            <w:vAlign w:val="bottom"/>
          </w:tcPr>
          <w:p>
            <w:pPr>
              <w:jc w:val="center"/>
              <w:ind w:right="1952"/>
              <w:spacing w:after="0"/>
              <w:rPr>
                <w:sz w:val="20"/>
                <w:szCs w:val="20"/>
                <w:color w:val="auto"/>
              </w:rPr>
            </w:pPr>
            <w:r>
              <w:rPr>
                <w:rFonts w:ascii="Courier New" w:cs="Courier New" w:eastAsia="Courier New" w:hAnsi="Courier New"/>
                <w:sz w:val="18"/>
                <w:szCs w:val="18"/>
                <w:color w:val="auto"/>
                <w:w w:val="97"/>
              </w:rPr>
              <w:t>Common Stock, $0.001 par value</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5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5320" w:type="dxa"/>
            <w:vAlign w:val="bottom"/>
          </w:tcPr>
          <w:p>
            <w:pPr>
              <w:jc w:val="center"/>
              <w:ind w:right="1952"/>
              <w:spacing w:after="0"/>
              <w:rPr>
                <w:sz w:val="20"/>
                <w:szCs w:val="20"/>
                <w:color w:val="auto"/>
              </w:rPr>
            </w:pPr>
            <w:r>
              <w:rPr>
                <w:rFonts w:ascii="Courier New" w:cs="Courier New" w:eastAsia="Courier New" w:hAnsi="Courier New"/>
                <w:sz w:val="18"/>
                <w:szCs w:val="18"/>
                <w:color w:val="auto"/>
                <w:w w:val="97"/>
              </w:rPr>
              <w:t>(Title of class)</w:t>
            </w:r>
          </w:p>
        </w:tc>
        <w:tc>
          <w:tcPr>
            <w:tcW w:w="0" w:type="dxa"/>
            <w:vAlign w:val="bottom"/>
          </w:tcPr>
          <w:p>
            <w:pPr>
              <w:spacing w:after="0"/>
              <w:rPr>
                <w:sz w:val="1"/>
                <w:szCs w:val="1"/>
                <w:color w:val="auto"/>
              </w:rPr>
            </w:pPr>
          </w:p>
        </w:tc>
      </w:tr>
    </w:tbl>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Check</w:t>
            </w:r>
          </w:p>
        </w:tc>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whether the issuer (1) filed all reports required</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to be filed by</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7"/>
              </w:rPr>
              <w:t>or 15(d) of the Exchange Act during the past 12 months (or for such</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shorter</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period</w:t>
            </w:r>
          </w:p>
        </w:tc>
        <w:tc>
          <w:tcPr>
            <w:tcW w:w="4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that the registrant was required to file such</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reports),and (2)</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been subject to such filing requirements for the past 90</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days.</w:t>
            </w:r>
          </w:p>
        </w:tc>
      </w:tr>
      <w:tr>
        <w:trPr>
          <w:trHeight w:val="296"/>
        </w:trPr>
        <w:tc>
          <w:tcPr>
            <w:tcW w:w="38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[X]</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No [</w:t>
            </w:r>
          </w:p>
        </w:tc>
        <w:tc>
          <w:tcPr>
            <w:tcW w:w="4840" w:type="dxa"/>
            <w:vAlign w:val="bottom"/>
          </w:tcPr>
          <w:p>
            <w:pPr>
              <w:jc w:val="right"/>
              <w:ind w:right="4592"/>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r>
    </w:tbl>
    <w:p>
      <w:pPr>
        <w:spacing w:after="0" w:line="109" w:lineRule="exact"/>
        <w:rPr>
          <w:sz w:val="24"/>
          <w:szCs w:val="24"/>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the Form 10-KSB or any amendment to this Form 10-KSB/A (Amendment No. 1). [X]</w:t>
      </w:r>
    </w:p>
    <w:p>
      <w:pPr>
        <w:spacing w:after="0" w:line="90" w:lineRule="exact"/>
        <w:rPr>
          <w:sz w:val="24"/>
          <w:szCs w:val="24"/>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issuer's revenues for its most recent fiscal year ended June 30, 1996 were $11,469,155</w:t>
      </w:r>
    </w:p>
    <w:p>
      <w:pPr>
        <w:spacing w:after="0" w:line="18" w:lineRule="exact"/>
        <w:rPr>
          <w:sz w:val="24"/>
          <w:szCs w:val="24"/>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aggregate market value of the voting stock held by non-affiliates is approximately $5,200,000. This value was computed by reference to the price at which the stock was sold, $0.84, on September 18, 1996 (which date is within 60 days of the filing of this Form 10-KSB/A (Amendment No. 1)).</w:t>
      </w:r>
    </w:p>
    <w:p>
      <w:pPr>
        <w:sectPr>
          <w:pgSz w:w="11900" w:h="16838" w:orient="portrait"/>
          <w:cols w:equalWidth="0" w:num="1">
            <w:col w:w="10219"/>
          </w:cols>
          <w:pgMar w:left="240" w:top="218" w:right="1440" w:bottom="0" w:gutter="0" w:footer="0" w:header="0"/>
          <w:type w:val="continuous"/>
        </w:sectPr>
      </w:pPr>
    </w:p>
    <w:bookmarkStart w:id="1" w:name="page2"/>
    <w:bookmarkEnd w:id="1"/>
    <w:p>
      <w:pPr>
        <w:ind w:right="2619" w:firstLine="527"/>
        <w:spacing w:after="0" w:line="347" w:lineRule="auto"/>
        <w:rPr>
          <w:sz w:val="20"/>
          <w:szCs w:val="20"/>
          <w:color w:val="auto"/>
        </w:rPr>
      </w:pPr>
      <w:r>
        <w:rPr>
          <w:rFonts w:ascii="Courier New" w:cs="Courier New" w:eastAsia="Courier New" w:hAnsi="Courier New"/>
          <w:sz w:val="18"/>
          <w:szCs w:val="18"/>
          <w:color w:val="auto"/>
        </w:rPr>
        <w:t>The number of shares outstanding of the issuer's Common Stock as of September 18, 1996 was 7,662,375.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10-KSB filed by the Company on September 30, 1996, is hereby amended as follows:</w:t>
      </w: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EXECUTIVE COMPENSATION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compensation of the Chief Executive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 of the Company and the other most highly compensated executive</w:t>
      </w:r>
    </w:p>
    <w:p>
      <w:pPr>
        <w:spacing w:after="0" w:line="238" w:lineRule="auto"/>
        <w:rPr>
          <w:sz w:val="20"/>
          <w:szCs w:val="20"/>
          <w:color w:val="auto"/>
        </w:rPr>
      </w:pPr>
      <w:r>
        <w:rPr>
          <w:rFonts w:ascii="Courier New" w:cs="Courier New" w:eastAsia="Courier New" w:hAnsi="Courier New"/>
          <w:sz w:val="18"/>
          <w:szCs w:val="18"/>
          <w:color w:val="auto"/>
        </w:rPr>
        <w:t>officers of the Company for each of the Company's last three fiscal years</w:t>
      </w:r>
    </w:p>
    <w:p>
      <w:pPr>
        <w:spacing w:after="0"/>
        <w:rPr>
          <w:sz w:val="20"/>
          <w:szCs w:val="20"/>
          <w:color w:val="auto"/>
        </w:rPr>
      </w:pPr>
      <w:r>
        <w:rPr>
          <w:rFonts w:ascii="Courier New" w:cs="Courier New" w:eastAsia="Courier New" w:hAnsi="Courier New"/>
          <w:sz w:val="18"/>
          <w:szCs w:val="18"/>
          <w:color w:val="auto"/>
        </w:rPr>
        <w:t>whose total salary and bonus for the year ended June 30, 1996 exceeded</w:t>
      </w:r>
    </w:p>
    <w:p>
      <w:pPr>
        <w:spacing w:after="0" w:line="238" w:lineRule="auto"/>
        <w:rPr>
          <w:sz w:val="20"/>
          <w:szCs w:val="20"/>
          <w:color w:val="auto"/>
        </w:rPr>
      </w:pPr>
      <w:r>
        <w:rPr>
          <w:rFonts w:ascii="Courier New" w:cs="Courier New" w:eastAsia="Courier New" w:hAnsi="Courier New"/>
          <w:sz w:val="18"/>
          <w:szCs w:val="18"/>
          <w:color w:val="auto"/>
        </w:rPr>
        <w:t>$100,000, for services rendered in all capacities to the Company during such</w:t>
      </w:r>
    </w:p>
    <w:p>
      <w:pPr>
        <w:spacing w:after="0"/>
        <w:rPr>
          <w:sz w:val="20"/>
          <w:szCs w:val="20"/>
          <w:color w:val="auto"/>
        </w:rPr>
      </w:pPr>
      <w:r>
        <w:rPr>
          <w:rFonts w:ascii="Courier New" w:cs="Courier New" w:eastAsia="Courier New" w:hAnsi="Courier New"/>
          <w:sz w:val="18"/>
          <w:szCs w:val="18"/>
          <w:color w:val="auto"/>
        </w:rPr>
        <w:t>fiscal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80" w:type="dxa"/>
            <w:vAlign w:val="bottom"/>
          </w:tcPr>
          <w:p>
            <w:pPr>
              <w:spacing w:after="0"/>
              <w:rPr>
                <w:sz w:val="24"/>
                <w:szCs w:val="24"/>
                <w:color w:val="auto"/>
              </w:rPr>
            </w:pPr>
          </w:p>
        </w:tc>
        <w:tc>
          <w:tcPr>
            <w:tcW w:w="332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SUMMARY COMPENSATION TABLE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280" w:type="dxa"/>
            <w:vAlign w:val="bottom"/>
          </w:tcPr>
          <w:p>
            <w:pPr>
              <w:spacing w:after="0"/>
              <w:rPr>
                <w:sz w:val="24"/>
                <w:szCs w:val="24"/>
                <w:color w:val="auto"/>
              </w:rPr>
            </w:pPr>
          </w:p>
        </w:tc>
        <w:tc>
          <w:tcPr>
            <w:tcW w:w="3320" w:type="dxa"/>
            <w:vAlign w:val="bottom"/>
            <w:gridSpan w:val="4"/>
          </w:tcPr>
          <w:p>
            <w:pPr>
              <w:jc w:val="right"/>
              <w:ind w:right="352"/>
              <w:spacing w:after="0"/>
              <w:rPr>
                <w:sz w:val="20"/>
                <w:szCs w:val="20"/>
                <w:color w:val="auto"/>
              </w:rPr>
            </w:pPr>
            <w:r>
              <w:rPr>
                <w:rFonts w:ascii="Courier New" w:cs="Courier New" w:eastAsia="Courier New" w:hAnsi="Courier New"/>
                <w:sz w:val="18"/>
                <w:szCs w:val="18"/>
                <w:color w:val="auto"/>
              </w:rPr>
              <w:t>Annual Compensation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3320" w:type="dxa"/>
            <w:vAlign w:val="bottom"/>
            <w:gridSpan w:val="4"/>
          </w:tcPr>
          <w:p>
            <w:pPr>
              <w:jc w:val="center"/>
              <w:ind w:left="352"/>
              <w:spacing w:after="0"/>
              <w:rPr>
                <w:sz w:val="20"/>
                <w:szCs w:val="20"/>
                <w:color w:val="auto"/>
              </w:rPr>
            </w:pPr>
            <w:r>
              <w:rPr>
                <w:rFonts w:ascii="Courier New" w:cs="Courier New" w:eastAsia="Courier New" w:hAnsi="Courier New"/>
                <w:sz w:val="18"/>
                <w:szCs w:val="18"/>
                <w:color w:val="auto"/>
                <w:w w:val="97"/>
              </w:rPr>
              <w:t>-------------------</w:t>
            </w:r>
          </w:p>
        </w:tc>
        <w:tc>
          <w:tcPr>
            <w:tcW w:w="1140" w:type="dxa"/>
            <w:vAlign w:val="bottom"/>
          </w:tcPr>
          <w:p>
            <w:pPr>
              <w:spacing w:after="0"/>
              <w:rPr>
                <w:sz w:val="24"/>
                <w:szCs w:val="24"/>
                <w:color w:val="auto"/>
              </w:rPr>
            </w:pPr>
          </w:p>
        </w:tc>
        <w:tc>
          <w:tcPr>
            <w:tcW w:w="16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Other Annual</w:t>
            </w:r>
          </w:p>
        </w:tc>
        <w:tc>
          <w:tcPr>
            <w:tcW w:w="0" w:type="dxa"/>
            <w:vAlign w:val="bottom"/>
          </w:tcPr>
          <w:p>
            <w:pPr>
              <w:spacing w:after="0"/>
              <w:rPr>
                <w:sz w:val="1"/>
                <w:szCs w:val="1"/>
                <w:color w:val="auto"/>
              </w:rPr>
            </w:pPr>
          </w:p>
        </w:tc>
      </w:tr>
      <w:tr>
        <w:trPr>
          <w:trHeight w:val="109"/>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0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Year</w:t>
            </w:r>
          </w:p>
        </w:tc>
        <w:tc>
          <w:tcPr>
            <w:tcW w:w="900" w:type="dxa"/>
            <w:vAlign w:val="bottom"/>
          </w:tcPr>
          <w:p>
            <w:pPr>
              <w:spacing w:after="0"/>
              <w:rPr>
                <w:sz w:val="9"/>
                <w:szCs w:val="9"/>
                <w:color w:val="auto"/>
              </w:rPr>
            </w:pPr>
          </w:p>
        </w:tc>
        <w:tc>
          <w:tcPr>
            <w:tcW w:w="1380" w:type="dxa"/>
            <w:vAlign w:val="bottom"/>
            <w:gridSpan w:val="2"/>
            <w:vMerge w:val="restart"/>
          </w:tcPr>
          <w:p>
            <w:pPr>
              <w:jc w:val="right"/>
              <w:ind w:right="652"/>
              <w:spacing w:after="0"/>
              <w:rPr>
                <w:sz w:val="20"/>
                <w:szCs w:val="20"/>
                <w:color w:val="auto"/>
              </w:rPr>
            </w:pPr>
            <w:r>
              <w:rPr>
                <w:rFonts w:ascii="Courier New" w:cs="Courier New" w:eastAsia="Courier New" w:hAnsi="Courier New"/>
                <w:sz w:val="18"/>
                <w:szCs w:val="18"/>
                <w:color w:val="auto"/>
                <w:w w:val="95"/>
              </w:rPr>
              <w:t>Salary</w:t>
            </w:r>
          </w:p>
        </w:tc>
        <w:tc>
          <w:tcPr>
            <w:tcW w:w="11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Bonus</w:t>
            </w: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0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c>
          <w:tcPr>
            <w:tcW w:w="13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156,756</w:t>
            </w:r>
          </w:p>
        </w:tc>
        <w:tc>
          <w:tcPr>
            <w:tcW w:w="11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95-96</w:t>
            </w:r>
          </w:p>
        </w:tc>
        <w:tc>
          <w:tcPr>
            <w:tcW w:w="9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0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150,000</w:t>
            </w:r>
          </w:p>
        </w:tc>
        <w:tc>
          <w:tcPr>
            <w:tcW w:w="11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2"/>
              </w:rPr>
              <w:t>$15,000</w:t>
            </w:r>
          </w:p>
        </w:tc>
        <w:tc>
          <w:tcPr>
            <w:tcW w:w="220" w:type="dxa"/>
            <w:vAlign w:val="bottom"/>
          </w:tcPr>
          <w:p>
            <w:pPr>
              <w:spacing w:after="0"/>
              <w:rPr>
                <w:sz w:val="9"/>
                <w:szCs w:val="9"/>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94-95</w:t>
            </w:r>
          </w:p>
        </w:tc>
        <w:tc>
          <w:tcPr>
            <w:tcW w:w="90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150,000</w:t>
            </w:r>
          </w:p>
        </w:tc>
        <w:tc>
          <w:tcPr>
            <w:tcW w:w="11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2"/>
              </w:rPr>
              <w:t>$15,000</w:t>
            </w:r>
          </w:p>
        </w:tc>
        <w:tc>
          <w:tcPr>
            <w:tcW w:w="220" w:type="dxa"/>
            <w:vAlign w:val="bottom"/>
          </w:tcPr>
          <w:p>
            <w:pPr>
              <w:spacing w:after="0"/>
              <w:rPr>
                <w:sz w:val="24"/>
                <w:szCs w:val="24"/>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93-94</w:t>
            </w:r>
          </w:p>
        </w:tc>
        <w:tc>
          <w:tcPr>
            <w:tcW w:w="90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28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102,000</w:t>
            </w:r>
          </w:p>
        </w:tc>
        <w:tc>
          <w:tcPr>
            <w:tcW w:w="11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95-96</w:t>
            </w:r>
          </w:p>
        </w:tc>
        <w:tc>
          <w:tcPr>
            <w:tcW w:w="90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Operations)</w:t>
            </w:r>
          </w:p>
        </w:tc>
        <w:tc>
          <w:tcPr>
            <w:tcW w:w="10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w w:val="95"/>
              </w:rPr>
              <w:t>100,000</w:t>
            </w:r>
          </w:p>
        </w:tc>
        <w:tc>
          <w:tcPr>
            <w:tcW w:w="11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9"/>
                <w:szCs w:val="9"/>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94-95</w:t>
            </w:r>
          </w:p>
        </w:tc>
        <w:tc>
          <w:tcPr>
            <w:tcW w:w="90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712"/>
              <w:spacing w:after="0"/>
              <w:rPr>
                <w:sz w:val="20"/>
                <w:szCs w:val="20"/>
                <w:color w:val="auto"/>
              </w:rPr>
            </w:pPr>
            <w:r>
              <w:rPr>
                <w:rFonts w:ascii="Courier New" w:cs="Courier New" w:eastAsia="Courier New" w:hAnsi="Courier New"/>
                <w:sz w:val="18"/>
                <w:szCs w:val="18"/>
                <w:color w:val="auto"/>
                <w:w w:val="92"/>
              </w:rPr>
              <w:t>$</w:t>
            </w:r>
          </w:p>
        </w:tc>
        <w:tc>
          <w:tcPr>
            <w:tcW w:w="1380" w:type="dxa"/>
            <w:vAlign w:val="bottom"/>
            <w:gridSpan w:val="2"/>
            <w:vMerge w:val="restart"/>
          </w:tcPr>
          <w:p>
            <w:pPr>
              <w:jc w:val="right"/>
              <w:ind w:right="552"/>
              <w:spacing w:after="0"/>
              <w:rPr>
                <w:sz w:val="20"/>
                <w:szCs w:val="20"/>
                <w:color w:val="auto"/>
              </w:rPr>
            </w:pPr>
            <w:r>
              <w:rPr>
                <w:rFonts w:ascii="Courier New" w:cs="Courier New" w:eastAsia="Courier New" w:hAnsi="Courier New"/>
                <w:sz w:val="18"/>
                <w:szCs w:val="18"/>
                <w:color w:val="auto"/>
              </w:rPr>
              <w:t>12,827</w:t>
            </w:r>
          </w:p>
        </w:tc>
        <w:tc>
          <w:tcPr>
            <w:tcW w:w="11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93-94</w:t>
            </w:r>
          </w:p>
        </w:tc>
        <w:tc>
          <w:tcPr>
            <w:tcW w:w="900" w:type="dxa"/>
            <w:vAlign w:val="bottom"/>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280" w:type="dxa"/>
            <w:vAlign w:val="bottom"/>
          </w:tcPr>
          <w:p>
            <w:pPr>
              <w:spacing w:after="0"/>
              <w:rPr>
                <w:sz w:val="24"/>
                <w:szCs w:val="24"/>
                <w:color w:val="auto"/>
              </w:rPr>
            </w:pPr>
          </w:p>
        </w:tc>
        <w:tc>
          <w:tcPr>
            <w:tcW w:w="3320" w:type="dxa"/>
            <w:vAlign w:val="bottom"/>
            <w:gridSpan w:val="4"/>
          </w:tcPr>
          <w:p>
            <w:pPr>
              <w:ind w:left="680"/>
              <w:spacing w:after="0"/>
              <w:rPr>
                <w:sz w:val="20"/>
                <w:szCs w:val="20"/>
                <w:color w:val="auto"/>
              </w:rPr>
            </w:pPr>
            <w:r>
              <w:rPr>
                <w:rFonts w:ascii="Courier New" w:cs="Courier New" w:eastAsia="Courier New" w:hAnsi="Courier New"/>
                <w:sz w:val="18"/>
                <w:szCs w:val="18"/>
                <w:color w:val="auto"/>
              </w:rPr>
              <w:t>Long Term Compensation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3320" w:type="dxa"/>
            <w:vAlign w:val="bottom"/>
            <w:gridSpan w:val="4"/>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80" w:type="dxa"/>
            <w:vAlign w:val="bottom"/>
            <w:gridSpan w:val="3"/>
          </w:tcPr>
          <w:p>
            <w:pPr>
              <w:jc w:val="right"/>
              <w:ind w:right="772"/>
              <w:spacing w:after="0"/>
              <w:rPr>
                <w:sz w:val="20"/>
                <w:szCs w:val="20"/>
                <w:color w:val="auto"/>
              </w:rPr>
            </w:pPr>
            <w:r>
              <w:rPr>
                <w:rFonts w:ascii="Courier New" w:cs="Courier New" w:eastAsia="Courier New" w:hAnsi="Courier New"/>
                <w:sz w:val="18"/>
                <w:szCs w:val="18"/>
                <w:color w:val="auto"/>
              </w:rPr>
              <w:t>Awards</w:t>
            </w:r>
          </w:p>
        </w:tc>
        <w:tc>
          <w:tcPr>
            <w:tcW w:w="1140" w:type="dxa"/>
            <w:vAlign w:val="bottom"/>
          </w:tcPr>
          <w:p>
            <w:pPr>
              <w:jc w:val="right"/>
              <w:spacing w:after="0"/>
              <w:rPr>
                <w:sz w:val="20"/>
                <w:szCs w:val="20"/>
                <w:color w:val="auto"/>
              </w:rPr>
            </w:pPr>
            <w:r>
              <w:rPr>
                <w:rFonts w:ascii="Courier New" w:cs="Courier New" w:eastAsia="Courier New" w:hAnsi="Courier New"/>
                <w:sz w:val="18"/>
                <w:szCs w:val="18"/>
                <w:color w:val="auto"/>
              </w:rPr>
              <w:t>Payouts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gridSpan w:val="2"/>
            <w:vMerge w:val="restart"/>
          </w:tcPr>
          <w:p>
            <w:pPr>
              <w:jc w:val="center"/>
              <w:ind w:right="52"/>
              <w:spacing w:after="0"/>
              <w:rPr>
                <w:sz w:val="20"/>
                <w:szCs w:val="20"/>
                <w:color w:val="auto"/>
              </w:rPr>
            </w:pPr>
            <w:r>
              <w:rPr>
                <w:rFonts w:ascii="Courier New" w:cs="Courier New" w:eastAsia="Courier New" w:hAnsi="Courier New"/>
                <w:sz w:val="18"/>
                <w:szCs w:val="18"/>
                <w:color w:val="auto"/>
                <w:w w:val="98"/>
              </w:rPr>
              <w:t>Restricted</w:t>
            </w:r>
          </w:p>
        </w:tc>
        <w:tc>
          <w:tcPr>
            <w:tcW w:w="2100" w:type="dxa"/>
            <w:vAlign w:val="bottom"/>
            <w:gridSpan w:val="2"/>
          </w:tcPr>
          <w:p>
            <w:pPr>
              <w:jc w:val="center"/>
              <w:ind w:right="95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20" w:type="dxa"/>
            <w:vAlign w:val="bottom"/>
          </w:tcPr>
          <w:p>
            <w:pPr>
              <w:spacing w:after="0"/>
              <w:rPr>
                <w:sz w:val="17"/>
                <w:szCs w:val="17"/>
                <w:color w:val="auto"/>
              </w:rPr>
            </w:pPr>
          </w:p>
        </w:tc>
        <w:tc>
          <w:tcPr>
            <w:tcW w:w="1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100" w:type="dxa"/>
            <w:vAlign w:val="bottom"/>
            <w:gridSpan w:val="2"/>
          </w:tcPr>
          <w:p>
            <w:pPr>
              <w:jc w:val="center"/>
              <w:ind w:right="95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0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Year</w:t>
            </w:r>
          </w:p>
        </w:tc>
        <w:tc>
          <w:tcPr>
            <w:tcW w:w="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2"/>
              </w:rPr>
              <w:t>Stock</w:t>
            </w: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Options</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LTIP</w:t>
            </w:r>
          </w:p>
        </w:tc>
        <w:tc>
          <w:tcPr>
            <w:tcW w:w="220" w:type="dxa"/>
            <w:vAlign w:val="bottom"/>
          </w:tcPr>
          <w:p>
            <w:pPr>
              <w:spacing w:after="0"/>
              <w:rPr>
                <w:sz w:val="17"/>
                <w:szCs w:val="17"/>
                <w:color w:val="auto"/>
              </w:rPr>
            </w:pP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w:t>
            </w: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0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Awards</w:t>
            </w:r>
          </w:p>
        </w:tc>
        <w:tc>
          <w:tcPr>
            <w:tcW w:w="420" w:type="dxa"/>
            <w:vAlign w:val="bottom"/>
          </w:tcPr>
          <w:p>
            <w:pPr>
              <w:spacing w:after="0"/>
              <w:rPr>
                <w:sz w:val="17"/>
                <w:szCs w:val="17"/>
                <w:color w:val="auto"/>
              </w:rPr>
            </w:pP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/SARS</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Payouts</w:t>
            </w:r>
          </w:p>
        </w:tc>
        <w:tc>
          <w:tcPr>
            <w:tcW w:w="220" w:type="dxa"/>
            <w:vAlign w:val="bottom"/>
          </w:tcPr>
          <w:p>
            <w:pPr>
              <w:spacing w:after="0"/>
              <w:rPr>
                <w:sz w:val="17"/>
                <w:szCs w:val="17"/>
                <w:color w:val="auto"/>
              </w:rPr>
            </w:pPr>
          </w:p>
        </w:tc>
        <w:tc>
          <w:tcPr>
            <w:tcW w:w="1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sation*</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0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   -------</w:t>
            </w:r>
          </w:p>
        </w:tc>
        <w:tc>
          <w:tcPr>
            <w:tcW w:w="1380" w:type="dxa"/>
            <w:vAlign w:val="bottom"/>
          </w:tcPr>
          <w:p>
            <w:pPr>
              <w:ind w:left="42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192"/>
              <w:spacing w:after="0"/>
              <w:rPr>
                <w:sz w:val="20"/>
                <w:szCs w:val="20"/>
                <w:color w:val="auto"/>
              </w:rPr>
            </w:pPr>
            <w:r>
              <w:rPr>
                <w:rFonts w:ascii="Courier New" w:cs="Courier New" w:eastAsia="Courier New" w:hAnsi="Courier New"/>
                <w:sz w:val="18"/>
                <w:szCs w:val="18"/>
                <w:color w:val="auto"/>
                <w:w w:val="97"/>
              </w:rPr>
              <w:t>None</w:t>
            </w:r>
          </w:p>
        </w:tc>
        <w:tc>
          <w:tcPr>
            <w:tcW w:w="420" w:type="dxa"/>
            <w:vAlign w:val="bottom"/>
          </w:tcPr>
          <w:p>
            <w:pPr>
              <w:spacing w:after="0"/>
              <w:rPr>
                <w:sz w:val="24"/>
                <w:szCs w:val="24"/>
                <w:color w:val="auto"/>
              </w:rPr>
            </w:pP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None</w:t>
            </w:r>
          </w:p>
        </w:tc>
        <w:tc>
          <w:tcPr>
            <w:tcW w:w="11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0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95-96</w:t>
            </w:r>
          </w:p>
        </w:tc>
        <w:tc>
          <w:tcPr>
            <w:tcW w:w="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0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00" w:type="dxa"/>
            <w:vAlign w:val="bottom"/>
            <w:vMerge w:val="restart"/>
          </w:tcPr>
          <w:p>
            <w:pPr>
              <w:jc w:val="center"/>
              <w:ind w:left="192"/>
              <w:spacing w:after="0"/>
              <w:rPr>
                <w:sz w:val="20"/>
                <w:szCs w:val="20"/>
                <w:color w:val="auto"/>
              </w:rPr>
            </w:pPr>
            <w:r>
              <w:rPr>
                <w:rFonts w:ascii="Courier New" w:cs="Courier New" w:eastAsia="Courier New" w:hAnsi="Courier New"/>
                <w:sz w:val="18"/>
                <w:szCs w:val="18"/>
                <w:color w:val="auto"/>
                <w:w w:val="97"/>
              </w:rPr>
              <w:t>None</w:t>
            </w:r>
          </w:p>
        </w:tc>
        <w:tc>
          <w:tcPr>
            <w:tcW w:w="420" w:type="dxa"/>
            <w:vAlign w:val="bottom"/>
          </w:tcPr>
          <w:p>
            <w:pPr>
              <w:spacing w:after="0"/>
              <w:rPr>
                <w:sz w:val="9"/>
                <w:szCs w:val="9"/>
                <w:color w:val="auto"/>
              </w:rPr>
            </w:pP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None</w:t>
            </w:r>
          </w:p>
        </w:tc>
        <w:tc>
          <w:tcPr>
            <w:tcW w:w="11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9"/>
                <w:szCs w:val="9"/>
                <w:color w:val="auto"/>
              </w:rPr>
            </w:pPr>
          </w:p>
        </w:tc>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94-95</w:t>
            </w:r>
          </w:p>
        </w:tc>
        <w:tc>
          <w:tcPr>
            <w:tcW w:w="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192"/>
              <w:spacing w:after="0"/>
              <w:rPr>
                <w:sz w:val="20"/>
                <w:szCs w:val="20"/>
                <w:color w:val="auto"/>
              </w:rPr>
            </w:pPr>
            <w:r>
              <w:rPr>
                <w:rFonts w:ascii="Courier New" w:cs="Courier New" w:eastAsia="Courier New" w:hAnsi="Courier New"/>
                <w:sz w:val="18"/>
                <w:szCs w:val="18"/>
                <w:color w:val="auto"/>
                <w:w w:val="97"/>
              </w:rPr>
              <w:t>None</w:t>
            </w:r>
          </w:p>
        </w:tc>
        <w:tc>
          <w:tcPr>
            <w:tcW w:w="420" w:type="dxa"/>
            <w:vAlign w:val="bottom"/>
          </w:tcPr>
          <w:p>
            <w:pPr>
              <w:spacing w:after="0"/>
              <w:rPr>
                <w:sz w:val="24"/>
                <w:szCs w:val="24"/>
                <w:color w:val="auto"/>
              </w:rPr>
            </w:pP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None</w:t>
            </w:r>
          </w:p>
        </w:tc>
        <w:tc>
          <w:tcPr>
            <w:tcW w:w="11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$890</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93-94</w:t>
            </w:r>
          </w:p>
        </w:tc>
        <w:tc>
          <w:tcPr>
            <w:tcW w:w="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28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Fiscal</w:t>
            </w:r>
          </w:p>
        </w:tc>
        <w:tc>
          <w:tcPr>
            <w:tcW w:w="900" w:type="dxa"/>
            <w:vAlign w:val="bottom"/>
            <w:vMerge w:val="restart"/>
          </w:tcPr>
          <w:p>
            <w:pPr>
              <w:jc w:val="center"/>
              <w:ind w:left="192"/>
              <w:spacing w:after="0"/>
              <w:rPr>
                <w:sz w:val="20"/>
                <w:szCs w:val="20"/>
                <w:color w:val="auto"/>
              </w:rPr>
            </w:pPr>
            <w:r>
              <w:rPr>
                <w:rFonts w:ascii="Courier New" w:cs="Courier New" w:eastAsia="Courier New" w:hAnsi="Courier New"/>
                <w:sz w:val="18"/>
                <w:szCs w:val="18"/>
                <w:color w:val="auto"/>
                <w:w w:val="97"/>
              </w:rPr>
              <w:t>None</w:t>
            </w:r>
          </w:p>
        </w:tc>
        <w:tc>
          <w:tcPr>
            <w:tcW w:w="420" w:type="dxa"/>
            <w:vAlign w:val="bottom"/>
          </w:tcPr>
          <w:p>
            <w:pPr>
              <w:spacing w:after="0"/>
              <w:rPr>
                <w:sz w:val="24"/>
                <w:szCs w:val="24"/>
                <w:color w:val="auto"/>
              </w:rPr>
            </w:pPr>
          </w:p>
        </w:tc>
        <w:tc>
          <w:tcPr>
            <w:tcW w:w="9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None</w:t>
            </w:r>
          </w:p>
        </w:tc>
        <w:tc>
          <w:tcPr>
            <w:tcW w:w="11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None</w:t>
            </w:r>
          </w:p>
        </w:tc>
        <w:tc>
          <w:tcPr>
            <w:tcW w:w="220" w:type="dxa"/>
            <w:vAlign w:val="bottom"/>
          </w:tcPr>
          <w:p>
            <w:pPr>
              <w:spacing w:after="0"/>
              <w:rPr>
                <w:sz w:val="24"/>
                <w:szCs w:val="24"/>
                <w:color w:val="auto"/>
              </w:rPr>
            </w:pPr>
          </w:p>
        </w:tc>
        <w:tc>
          <w:tcPr>
            <w:tcW w:w="13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$538</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(former V.P. of</w:t>
            </w:r>
          </w:p>
        </w:tc>
        <w:tc>
          <w:tcPr>
            <w:tcW w:w="1040" w:type="dxa"/>
            <w:vAlign w:val="bottom"/>
          </w:tcPr>
          <w:p>
            <w:pPr>
              <w:ind w:left="160"/>
              <w:spacing w:after="0"/>
              <w:rPr>
                <w:sz w:val="20"/>
                <w:szCs w:val="20"/>
                <w:color w:val="auto"/>
              </w:rPr>
            </w:pPr>
            <w:r>
              <w:rPr>
                <w:rFonts w:ascii="Courier New" w:cs="Courier New" w:eastAsia="Courier New" w:hAnsi="Courier New"/>
                <w:sz w:val="18"/>
                <w:szCs w:val="18"/>
                <w:color w:val="auto"/>
              </w:rPr>
              <w:t>95-96</w:t>
            </w:r>
          </w:p>
        </w:tc>
        <w:tc>
          <w:tcPr>
            <w:tcW w:w="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Operations)</w:t>
      </w:r>
    </w:p>
    <w:tbl>
      <w:tblPr>
        <w:tblLayout w:type="fixed"/>
        <w:tblInd w:w="2440" w:type="dxa"/>
        <w:tblCellMar>
          <w:top w:w="0" w:type="dxa"/>
          <w:left w:w="0" w:type="dxa"/>
          <w:bottom w:w="0" w:type="dxa"/>
          <w:right w:w="0" w:type="dxa"/>
        </w:tblCellMar>
      </w:tblPr>
      <w:tr>
        <w:trPr>
          <w:trHeight w:val="201"/>
        </w:trPr>
        <w:tc>
          <w:tcPr>
            <w:tcW w:w="940" w:type="dxa"/>
            <w:vAlign w:val="bottom"/>
          </w:tcPr>
          <w:p>
            <w:pPr>
              <w:spacing w:after="0" w:line="201" w:lineRule="exact"/>
              <w:rPr>
                <w:sz w:val="20"/>
                <w:szCs w:val="20"/>
                <w:color w:val="auto"/>
              </w:rPr>
            </w:pPr>
            <w:r>
              <w:rPr>
                <w:rFonts w:ascii="Courier New" w:cs="Courier New" w:eastAsia="Courier New" w:hAnsi="Courier New"/>
                <w:sz w:val="18"/>
                <w:szCs w:val="18"/>
                <w:color w:val="auto"/>
              </w:rPr>
              <w:t>Fiscal</w:t>
            </w:r>
          </w:p>
        </w:tc>
        <w:tc>
          <w:tcPr>
            <w:tcW w:w="11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12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None</w:t>
            </w:r>
          </w:p>
        </w:tc>
        <w:tc>
          <w:tcPr>
            <w:tcW w:w="122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8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2"/>
              </w:rPr>
              <w:t>$538</w:t>
            </w: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Courier New" w:cs="Courier New" w:eastAsia="Courier New" w:hAnsi="Courier New"/>
                <w:sz w:val="18"/>
                <w:szCs w:val="18"/>
                <w:color w:val="auto"/>
              </w:rPr>
              <w:t>94-95</w:t>
            </w:r>
          </w:p>
        </w:tc>
        <w:tc>
          <w:tcPr>
            <w:tcW w:w="11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40" w:type="dxa"/>
            <w:vAlign w:val="bottom"/>
          </w:tcPr>
          <w:p>
            <w:pPr>
              <w:spacing w:after="0"/>
              <w:rPr>
                <w:sz w:val="20"/>
                <w:szCs w:val="20"/>
                <w:color w:val="auto"/>
              </w:rPr>
            </w:pPr>
            <w:r>
              <w:rPr>
                <w:rFonts w:ascii="Courier New" w:cs="Courier New" w:eastAsia="Courier New" w:hAnsi="Courier New"/>
                <w:sz w:val="18"/>
                <w:szCs w:val="18"/>
                <w:color w:val="auto"/>
              </w:rPr>
              <w:t>Fiscal</w:t>
            </w:r>
          </w:p>
        </w:tc>
        <w:tc>
          <w:tcPr>
            <w:tcW w:w="11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12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None</w:t>
            </w:r>
          </w:p>
        </w:tc>
        <w:tc>
          <w:tcPr>
            <w:tcW w:w="122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8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92"/>
              </w:rPr>
              <w:t>None</w:t>
            </w:r>
          </w:p>
        </w:tc>
        <w:tc>
          <w:tcPr>
            <w:tcW w:w="0" w:type="dxa"/>
            <w:vAlign w:val="bottom"/>
          </w:tcPr>
          <w:p>
            <w:pPr>
              <w:spacing w:after="0"/>
              <w:rPr>
                <w:sz w:val="1"/>
                <w:szCs w:val="1"/>
                <w:color w:val="auto"/>
              </w:rPr>
            </w:pPr>
          </w:p>
        </w:tc>
      </w:tr>
      <w:tr>
        <w:trPr>
          <w:trHeight w:val="296"/>
        </w:trPr>
        <w:tc>
          <w:tcPr>
            <w:tcW w:w="940" w:type="dxa"/>
            <w:vAlign w:val="bottom"/>
          </w:tcPr>
          <w:p>
            <w:pPr>
              <w:spacing w:after="0"/>
              <w:rPr>
                <w:sz w:val="20"/>
                <w:szCs w:val="20"/>
                <w:color w:val="auto"/>
              </w:rPr>
            </w:pPr>
            <w:r>
              <w:rPr>
                <w:rFonts w:ascii="Courier New" w:cs="Courier New" w:eastAsia="Courier New" w:hAnsi="Courier New"/>
                <w:sz w:val="18"/>
                <w:szCs w:val="18"/>
                <w:color w:val="auto"/>
              </w:rPr>
              <w:t>93-94</w:t>
            </w:r>
          </w:p>
        </w:tc>
        <w:tc>
          <w:tcPr>
            <w:tcW w:w="11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039" w:firstLine="8"/>
        <w:spacing w:after="0" w:line="34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reflect the Company's contributions to the deferred compensation plan (401(k) plan).</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OPTIONS/SARS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in the last fiscal year:</w:t>
      </w:r>
    </w:p>
    <w:p>
      <w:pPr>
        <w:spacing w:after="0" w:line="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OPTION/SAR GRANTS IN FISCAL YEAR ENDED JUNE 30, 1996</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(INDIVIDUAL GRANTS)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Number of</w:t>
            </w:r>
          </w:p>
        </w:tc>
        <w:tc>
          <w:tcPr>
            <w:tcW w:w="19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6"/>
              </w:rPr>
              <w:t>Percent of</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Securities</w:t>
            </w:r>
          </w:p>
        </w:tc>
        <w:tc>
          <w:tcPr>
            <w:tcW w:w="19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Total Options/</w:t>
            </w:r>
          </w:p>
        </w:tc>
        <w:tc>
          <w:tcPr>
            <w:tcW w:w="16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Exercise or</w:t>
            </w:r>
          </w:p>
        </w:tc>
        <w:tc>
          <w:tcPr>
            <w:tcW w:w="9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Expir-</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Underlying</w:t>
            </w:r>
          </w:p>
        </w:tc>
        <w:tc>
          <w:tcPr>
            <w:tcW w:w="19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SARs Granted</w:t>
            </w:r>
          </w:p>
        </w:tc>
        <w:tc>
          <w:tcPr>
            <w:tcW w:w="16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Options/SARs</w:t>
            </w:r>
          </w:p>
        </w:tc>
        <w:tc>
          <w:tcPr>
            <w:tcW w:w="19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to Employees</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Base Price</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ation</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Granted (#)</w:t>
            </w:r>
          </w:p>
        </w:tc>
        <w:tc>
          <w:tcPr>
            <w:tcW w:w="19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in Fiscal Year</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($/share)</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w w:val="97"/>
              </w:rPr>
              <w:t>- ------------------</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5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10,000</w:t>
            </w:r>
          </w:p>
        </w:tc>
        <w:tc>
          <w:tcPr>
            <w:tcW w:w="19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7%</w:t>
            </w:r>
          </w:p>
        </w:tc>
        <w:tc>
          <w:tcPr>
            <w:tcW w:w="1640" w:type="dxa"/>
            <w:vAlign w:val="bottom"/>
          </w:tcPr>
          <w:p>
            <w:pPr>
              <w:ind w:left="380"/>
              <w:spacing w:after="0"/>
              <w:rPr>
                <w:sz w:val="20"/>
                <w:szCs w:val="20"/>
                <w:color w:val="auto"/>
              </w:rPr>
            </w:pPr>
            <w:r>
              <w:rPr>
                <w:rFonts w:ascii="Courier New" w:cs="Courier New" w:eastAsia="Courier New" w:hAnsi="Courier New"/>
                <w:sz w:val="18"/>
                <w:szCs w:val="18"/>
                <w:color w:val="auto"/>
              </w:rPr>
              <w:t>$0.84</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6/30/03</w:t>
            </w:r>
          </w:p>
        </w:tc>
        <w:tc>
          <w:tcPr>
            <w:tcW w:w="0" w:type="dxa"/>
            <w:vAlign w:val="bottom"/>
          </w:tcPr>
          <w:p>
            <w:pPr>
              <w:spacing w:after="0"/>
              <w:rPr>
                <w:sz w:val="1"/>
                <w:szCs w:val="1"/>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Operations)</w:t>
            </w:r>
          </w:p>
        </w:tc>
        <w:tc>
          <w:tcPr>
            <w:tcW w:w="1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the last fiscal year and the year-end value of unexercised options and SARs:</w:t>
      </w:r>
    </w:p>
    <w:p>
      <w:pPr>
        <w:spacing w:after="0" w:line="6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AGGREGATED OPTION/SAR EXERCISES IN FISCAL YEAR ENDED JUNE 30, 1996</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FISCAL YEAR-END OPTION/SAR VALUES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1600" w:type="dxa"/>
            <w:vAlign w:val="bottom"/>
            <w:vMerge w:val="restart"/>
          </w:tcPr>
          <w:p>
            <w:pPr>
              <w:jc w:val="center"/>
              <w:ind w:right="32"/>
              <w:spacing w:after="0"/>
              <w:rPr>
                <w:sz w:val="20"/>
                <w:szCs w:val="20"/>
                <w:color w:val="auto"/>
              </w:rPr>
            </w:pPr>
            <w:r>
              <w:rPr>
                <w:rFonts w:ascii="Courier New" w:cs="Courier New" w:eastAsia="Courier New" w:hAnsi="Courier New"/>
                <w:sz w:val="18"/>
                <w:szCs w:val="18"/>
                <w:color w:val="auto"/>
                <w:w w:val="97"/>
              </w:rPr>
              <w:t>Value of</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16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Unexercised</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6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In-The-Money</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Options/SARs</w:t>
            </w:r>
          </w:p>
        </w:tc>
        <w:tc>
          <w:tcPr>
            <w:tcW w:w="16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64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5"/>
              </w:rPr>
              <w:t>Shares</w:t>
            </w:r>
          </w:p>
        </w:tc>
        <w:tc>
          <w:tcPr>
            <w:tcW w:w="12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Value</w:t>
            </w:r>
          </w:p>
        </w:tc>
        <w:tc>
          <w:tcPr>
            <w:tcW w:w="162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at FY-End(#)</w:t>
            </w:r>
          </w:p>
        </w:tc>
        <w:tc>
          <w:tcPr>
            <w:tcW w:w="16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at FY-End($)</w:t>
            </w:r>
          </w:p>
        </w:tc>
        <w:tc>
          <w:tcPr>
            <w:tcW w:w="0" w:type="dxa"/>
            <w:vAlign w:val="bottom"/>
          </w:tcPr>
          <w:p>
            <w:pPr>
              <w:spacing w:after="0"/>
              <w:rPr>
                <w:sz w:val="1"/>
                <w:szCs w:val="1"/>
                <w:color w:val="auto"/>
              </w:rPr>
            </w:pPr>
          </w:p>
        </w:tc>
      </w:tr>
      <w:tr>
        <w:trPr>
          <w:trHeight w:val="109"/>
        </w:trPr>
        <w:tc>
          <w:tcPr>
            <w:tcW w:w="222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62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8"/>
              </w:rPr>
              <w:t>Exercisable/</w:t>
            </w:r>
          </w:p>
        </w:tc>
        <w:tc>
          <w:tcPr>
            <w:tcW w:w="1600" w:type="dxa"/>
            <w:vAlign w:val="bottom"/>
            <w:vMerge w:val="restart"/>
          </w:tcPr>
          <w:p>
            <w:pPr>
              <w:spacing w:after="0"/>
              <w:rPr>
                <w:sz w:val="20"/>
                <w:szCs w:val="20"/>
                <w:color w:val="auto"/>
              </w:rPr>
            </w:pPr>
            <w:r>
              <w:rPr>
                <w:rFonts w:ascii="Courier New" w:cs="Courier New" w:eastAsia="Courier New" w:hAnsi="Courier New"/>
                <w:sz w:val="18"/>
                <w:szCs w:val="18"/>
                <w:color w:val="auto"/>
              </w:rPr>
              <w:t>Exercisable/</w:t>
            </w:r>
          </w:p>
        </w:tc>
        <w:tc>
          <w:tcPr>
            <w:tcW w:w="0" w:type="dxa"/>
            <w:vAlign w:val="bottom"/>
          </w:tcPr>
          <w:p>
            <w:pPr>
              <w:spacing w:after="0"/>
              <w:rPr>
                <w:sz w:val="1"/>
                <w:szCs w:val="1"/>
                <w:color w:val="auto"/>
              </w:rPr>
            </w:pPr>
          </w:p>
        </w:tc>
      </w:tr>
      <w:tr>
        <w:trPr>
          <w:trHeight w:val="203"/>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Acquired on</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Realized</w:t>
            </w:r>
          </w:p>
        </w:tc>
        <w:tc>
          <w:tcPr>
            <w:tcW w:w="162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1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1600" w:type="dxa"/>
            <w:vAlign w:val="bottom"/>
          </w:tcPr>
          <w:p>
            <w:pPr>
              <w:spacing w:after="0" w:line="203" w:lineRule="exact"/>
              <w:rPr>
                <w:sz w:val="20"/>
                <w:szCs w:val="20"/>
                <w:color w:val="auto"/>
              </w:rPr>
            </w:pPr>
            <w:r>
              <w:rPr>
                <w:rFonts w:ascii="Courier New" w:cs="Courier New" w:eastAsia="Courier New" w:hAnsi="Courier New"/>
                <w:sz w:val="18"/>
                <w:szCs w:val="18"/>
                <w:color w:val="auto"/>
              </w:rPr>
              <w:t>Unexercisable</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Russell D. Gentner</w:t>
            </w:r>
          </w:p>
        </w:tc>
        <w:tc>
          <w:tcPr>
            <w:tcW w:w="1640" w:type="dxa"/>
            <w:vAlign w:val="bottom"/>
          </w:tcPr>
          <w:p>
            <w:pPr>
              <w:jc w:val="center"/>
              <w:ind w:right="29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9"/>
              </w:rPr>
              <w:t>90,000/40,000</w:t>
            </w:r>
          </w:p>
        </w:tc>
        <w:tc>
          <w:tcPr>
            <w:tcW w:w="160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$11,250/$5,000</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CEO,</w:t>
            </w: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20" w:type="dxa"/>
            <w:vAlign w:val="bottom"/>
          </w:tcPr>
          <w:p>
            <w:pPr>
              <w:spacing w:after="0"/>
              <w:rPr>
                <w:sz w:val="20"/>
                <w:szCs w:val="20"/>
                <w:color w:val="auto"/>
              </w:rPr>
            </w:pPr>
            <w:r>
              <w:rPr>
                <w:rFonts w:ascii="Courier New" w:cs="Courier New" w:eastAsia="Courier New" w:hAnsi="Courier New"/>
                <w:sz w:val="18"/>
                <w:szCs w:val="18"/>
                <w:color w:val="auto"/>
              </w:rPr>
              <w:t>William H. Gillman</w:t>
            </w:r>
          </w:p>
        </w:tc>
        <w:tc>
          <w:tcPr>
            <w:tcW w:w="1640" w:type="dxa"/>
            <w:vAlign w:val="bottom"/>
          </w:tcPr>
          <w:p>
            <w:pPr>
              <w:jc w:val="center"/>
              <w:ind w:right="29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17,500/7,500</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rPr>
              <w:t>$2,187/$938</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V.P. of</w:t>
            </w: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220" w:type="dxa"/>
            <w:vAlign w:val="bottom"/>
          </w:tcPr>
          <w:p>
            <w:pPr>
              <w:ind w:left="120"/>
              <w:spacing w:after="0"/>
              <w:rPr>
                <w:sz w:val="20"/>
                <w:szCs w:val="20"/>
                <w:color w:val="auto"/>
              </w:rPr>
            </w:pPr>
            <w:r>
              <w:rPr>
                <w:rFonts w:ascii="Courier New" w:cs="Courier New" w:eastAsia="Courier New" w:hAnsi="Courier New"/>
                <w:sz w:val="18"/>
                <w:szCs w:val="18"/>
                <w:color w:val="auto"/>
              </w:rPr>
              <w:t>Operations)</w:t>
            </w:r>
          </w:p>
        </w:tc>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SECURITY OWNERSHIP OF CERTAIN BENEFICIAL OWNERS AND MANAGEMENT</w:t>
      </w:r>
    </w:p>
    <w:p>
      <w:pPr>
        <w:spacing w:after="0" w:line="201" w:lineRule="exact"/>
        <w:rPr>
          <w:sz w:val="20"/>
          <w:szCs w:val="20"/>
          <w:color w:val="auto"/>
        </w:rPr>
      </w:pPr>
    </w:p>
    <w:p>
      <w:pPr>
        <w:ind w:right="1999" w:firstLine="527"/>
        <w:spacing w:after="0" w:line="278" w:lineRule="auto"/>
        <w:rPr>
          <w:sz w:val="20"/>
          <w:szCs w:val="20"/>
          <w:color w:val="auto"/>
        </w:rPr>
      </w:pPr>
      <w:r>
        <w:rPr>
          <w:rFonts w:ascii="Courier New" w:cs="Courier New" w:eastAsia="Courier New" w:hAnsi="Courier New"/>
          <w:sz w:val="16"/>
          <w:szCs w:val="16"/>
          <w:color w:val="auto"/>
        </w:rPr>
        <w:t>The following table sets forth certain information regarding ownership of the Common Stock of the Company as of September 1, 1996 by (i) each person known to the Company to be the beneficial owner of more than 5% of the outstanding Common Stock of the Company, (ii) each director of the Company,</w:t>
      </w:r>
    </w:p>
    <w:p>
      <w:pPr>
        <w:spacing w:after="0" w:line="3" w:lineRule="exact"/>
        <w:rPr>
          <w:sz w:val="20"/>
          <w:szCs w:val="20"/>
          <w:color w:val="auto"/>
        </w:rPr>
      </w:pPr>
    </w:p>
    <w:p>
      <w:pPr>
        <w:ind w:right="1999" w:firstLine="8"/>
        <w:spacing w:after="0" w:line="252"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as of June 30, 1996 whose salary and bonus for the year ended June 30, 1996 exceeded $100,000, and (iv) all executive officers and directors of the Company as a group. Each person has sole investment and voting power with respect to the shares indicated, subject to community property laws where applicable, except as otherwise indicated below.</w:t>
      </w:r>
    </w:p>
    <w:p>
      <w:pPr>
        <w:sectPr>
          <w:pgSz w:w="11900" w:h="16838" w:orient="portrait"/>
          <w:cols w:equalWidth="0" w:num="1">
            <w:col w:w="10219"/>
          </w:cols>
          <w:pgMar w:left="240" w:top="110"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380" w:type="dxa"/>
            <w:vAlign w:val="bottom"/>
            <w:vMerge w:val="restart"/>
          </w:tcPr>
          <w:p>
            <w:pPr>
              <w:spacing w:after="0"/>
              <w:rPr>
                <w:sz w:val="20"/>
                <w:szCs w:val="20"/>
                <w:color w:val="auto"/>
              </w:rPr>
            </w:pPr>
            <w:r>
              <w:rPr>
                <w:rFonts w:ascii="Courier New" w:cs="Courier New" w:eastAsia="Courier New" w:hAnsi="Courier New"/>
                <w:sz w:val="18"/>
                <w:szCs w:val="18"/>
                <w:color w:val="auto"/>
              </w:rPr>
              <w:t>Names of Beneficial Owners</w:t>
            </w:r>
          </w:p>
        </w:tc>
        <w:tc>
          <w:tcPr>
            <w:tcW w:w="28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Amount of</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Percentage</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Beneficial Ownership</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Class</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726,128(1)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Dallin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423,707(2)</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91,666(3)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N. Bagley</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274,833(4)</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Dwight H. Egan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17,500(5)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K. Bradford Romney, Jr.</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17,500(5)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H. Gillman</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180,119(6)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Directors and Executive Officers</w:t>
            </w:r>
          </w:p>
        </w:tc>
        <w:tc>
          <w:tcPr>
            <w:tcW w:w="464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1,754,453(1)(2)(3)(4)(5)(6)(7)  22.2%</w:t>
            </w:r>
          </w:p>
        </w:tc>
        <w:tc>
          <w:tcPr>
            <w:tcW w:w="0" w:type="dxa"/>
            <w:vAlign w:val="bottom"/>
          </w:tcPr>
          <w:p>
            <w:pPr>
              <w:spacing w:after="0"/>
              <w:rPr>
                <w:sz w:val="1"/>
                <w:szCs w:val="1"/>
                <w:color w:val="auto"/>
              </w:rPr>
            </w:pPr>
          </w:p>
        </w:tc>
      </w:tr>
      <w:tr>
        <w:trPr>
          <w:trHeight w:val="296"/>
        </w:trPr>
        <w:tc>
          <w:tcPr>
            <w:tcW w:w="3380" w:type="dxa"/>
            <w:vAlign w:val="bottom"/>
          </w:tcPr>
          <w:p>
            <w:pPr>
              <w:ind w:left="220"/>
              <w:spacing w:after="0"/>
              <w:rPr>
                <w:sz w:val="20"/>
                <w:szCs w:val="20"/>
                <w:color w:val="auto"/>
              </w:rPr>
            </w:pPr>
            <w:r>
              <w:rPr>
                <w:rFonts w:ascii="Courier New" w:cs="Courier New" w:eastAsia="Courier New" w:hAnsi="Courier New"/>
                <w:sz w:val="18"/>
                <w:szCs w:val="18"/>
                <w:color w:val="auto"/>
              </w:rPr>
              <w:t>as a Group (8 persons)</w:t>
            </w:r>
          </w:p>
        </w:tc>
        <w:tc>
          <w:tcPr>
            <w:tcW w:w="4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099" w:firstLine="8"/>
        <w:spacing w:after="0" w:line="274"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595,928 shares owned directly; options to purchase 130,000 shares that are exercisable within 60 days; and 200 shares owned by Mr. Gentner's wife. Excludes: options to purchase 100,000 shares that are not exercisable within 60 days.</w:t>
      </w:r>
    </w:p>
    <w:p>
      <w:pPr>
        <w:spacing w:after="0" w:line="81" w:lineRule="exact"/>
        <w:rPr>
          <w:rFonts w:ascii="Courier New" w:cs="Courier New" w:eastAsia="Courier New" w:hAnsi="Courier New"/>
          <w:sz w:val="18"/>
          <w:szCs w:val="18"/>
          <w:color w:val="auto"/>
        </w:rPr>
      </w:pPr>
    </w:p>
    <w:p>
      <w:pPr>
        <w:ind w:right="1999" w:firstLine="8"/>
        <w:spacing w:after="0" w:line="25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306,157 shares owned directly; 100,000 shares owned by a corporation controlled by Mr. Bagley; 50 shares owned by Mr. Bagley's wife as custodian for one of Mr. Bagley's daughters; and options to purchase 17,500 shares that are exercisable within 60 days. Excludes: 50 shares owned by another of Mr. Bagley's daughters; shares owned by the Bagley Family Revocable Trust, all of which Mr. Bagley disclaims beneficial ownership; and options to purchase 12,500 shares that are not exercisable within 60 days.</w:t>
      </w:r>
    </w:p>
    <w:p>
      <w:pPr>
        <w:spacing w:after="0" w:line="98" w:lineRule="exact"/>
        <w:rPr>
          <w:rFonts w:ascii="Courier New" w:cs="Courier New" w:eastAsia="Courier New" w:hAnsi="Courier New"/>
          <w:sz w:val="18"/>
          <w:szCs w:val="18"/>
          <w:color w:val="auto"/>
        </w:rPr>
      </w:pPr>
    </w:p>
    <w:p>
      <w:pPr>
        <w:ind w:right="2319" w:firstLine="8"/>
        <w:spacing w:after="0" w:line="26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54,666 shares owned directly; options to purchase 30,000 shares that are exercisable within 60 days; 5,000 shares owned by Mr. Baldwin's wife; and warrants to purchase 2,000 shares that are currently exercisable. Excludes: options to purchase 5,000 shares that are not exercisable within 60 days.</w:t>
      </w:r>
    </w:p>
    <w:p>
      <w:pPr>
        <w:spacing w:after="0" w:line="89" w:lineRule="exact"/>
        <w:rPr>
          <w:rFonts w:ascii="Courier New" w:cs="Courier New" w:eastAsia="Courier New" w:hAnsi="Courier New"/>
          <w:sz w:val="18"/>
          <w:szCs w:val="18"/>
          <w:color w:val="auto"/>
        </w:rPr>
      </w:pPr>
    </w:p>
    <w:p>
      <w:pPr>
        <w:ind w:right="2199" w:firstLine="8"/>
        <w:spacing w:after="0" w:line="256"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257,333 shares owned by the Bagley Family Revocable Trust, of which Mr. Bagley is a co-trustee with his wife; and options to purchase 17,500 shares that are exercisable within 60 days. Excludes: shares held or controlled by Mr. Bagley's son (Edward Dallin Bagley) and granddaughters as described in footnote 2 above, all of which Mr. Edward N. Bagley disclaims beneficial ownership; and options to purchase 12,500 shares that are not exercisable within 60 days.</w:t>
      </w:r>
    </w:p>
    <w:p>
      <w:pPr>
        <w:spacing w:after="0" w:line="98" w:lineRule="exact"/>
        <w:rPr>
          <w:rFonts w:ascii="Courier New" w:cs="Courier New" w:eastAsia="Courier New" w:hAnsi="Courier New"/>
          <w:sz w:val="18"/>
          <w:szCs w:val="18"/>
          <w:color w:val="auto"/>
        </w:rPr>
      </w:pPr>
    </w:p>
    <w:p>
      <w:pPr>
        <w:ind w:right="1999" w:firstLine="8"/>
        <w:spacing w:after="0" w:line="292"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acquire 17,500 shares that are exercisable within 60 days. Excludes: options to acquire 12,500 shares that are not exercisable within 60 days.</w:t>
      </w:r>
    </w:p>
    <w:p>
      <w:pPr>
        <w:spacing w:after="0" w:line="66" w:lineRule="exact"/>
        <w:rPr>
          <w:rFonts w:ascii="Courier New" w:cs="Courier New" w:eastAsia="Courier New" w:hAnsi="Courier New"/>
          <w:sz w:val="18"/>
          <w:szCs w:val="18"/>
          <w:color w:val="auto"/>
        </w:rPr>
      </w:pPr>
    </w:p>
    <w:p>
      <w:pPr>
        <w:ind w:right="1999" w:firstLine="8"/>
        <w:spacing w:after="0" w:line="292"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162,619 shares owned directly and options to purchase 17,500 shares that are exercisable within 60 days. Excludes: options to purchase 7,500 shares that are not exercisable within 60 days.</w:t>
      </w:r>
    </w:p>
    <w:p>
      <w:pPr>
        <w:spacing w:after="0" w:line="66" w:lineRule="exact"/>
        <w:rPr>
          <w:rFonts w:ascii="Courier New" w:cs="Courier New" w:eastAsia="Courier New" w:hAnsi="Courier New"/>
          <w:sz w:val="18"/>
          <w:szCs w:val="18"/>
          <w:color w:val="auto"/>
        </w:rPr>
      </w:pPr>
    </w:p>
    <w:p>
      <w:pPr>
        <w:ind w:right="2199" w:firstLine="8"/>
        <w:spacing w:after="0" w:line="274"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owned directly and options to acquire 22,000 shares by two other officers that are exercisable within 60 days. Excludes: options to acquire 128,000 shares by those officers that are not exercisable within 60 days.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EXHIBITS AND REPORTS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ind w:left="860" w:right="303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Articles of Incorporation and all amendments thereto through March 1, 1988.</w:t>
      </w:r>
    </w:p>
    <w:p>
      <w:pPr>
        <w:spacing w:after="0" w:line="18" w:lineRule="exact"/>
        <w:rPr>
          <w:sz w:val="20"/>
          <w:szCs w:val="20"/>
          <w:color w:val="auto"/>
        </w:rPr>
      </w:pPr>
    </w:p>
    <w:p>
      <w:pPr>
        <w:ind w:left="860" w:right="3159" w:hanging="842"/>
        <w:spacing w:after="0" w:line="274"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VRC-1000 Purchase Agreement between Gentner Engineering Company, Inc. (a former subsidiary of the Company which was merged into the Company) and Gentner Research Ltd., dated January 1, 1987.</w:t>
      </w:r>
    </w:p>
    <w:p>
      <w:pPr>
        <w:spacing w:after="0" w:line="82" w:lineRule="exact"/>
        <w:rPr>
          <w:sz w:val="20"/>
          <w:szCs w:val="20"/>
          <w:color w:val="auto"/>
        </w:rPr>
      </w:pPr>
    </w:p>
    <w:p>
      <w:pPr>
        <w:ind w:left="860" w:right="335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Commercial Lease between the Company and Dell S. Nichols, dated January 15, 1988.</w:t>
      </w: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6"/>
          <w:szCs w:val="16"/>
          <w:color w:val="auto"/>
        </w:rPr>
        <w:t>Form of Split-Dollar Insurance Agreement.</w:t>
      </w:r>
    </w:p>
    <w:p>
      <w:pPr>
        <w:sectPr>
          <w:pgSz w:w="11900" w:h="16838" w:orient="portrait"/>
          <w:cols w:equalWidth="0" w:num="1">
            <w:col w:w="10219"/>
          </w:cols>
          <w:pgMar w:left="240" w:top="108" w:right="1440" w:bottom="0" w:gutter="0" w:footer="0" w:header="0"/>
        </w:sectPr>
      </w:pPr>
    </w:p>
    <w:bookmarkStart w:id="4" w:name="page5"/>
    <w:bookmarkEnd w:id="4"/>
    <w:p>
      <w:pPr>
        <w:ind w:right="1999" w:firstLine="527"/>
        <w:spacing w:after="0" w:line="344"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1990. The exhibit number shown is the one in the 1990 Form 10-K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ind w:left="860" w:right="335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Dealer Agreement between the Company and Allied Broadcast Equipment, dated January 19, 1990.</w:t>
      </w:r>
    </w:p>
    <w:p>
      <w:pPr>
        <w:spacing w:after="0" w:line="22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1" w:lineRule="exact"/>
        <w:rPr>
          <w:sz w:val="20"/>
          <w:szCs w:val="20"/>
          <w:color w:val="auto"/>
        </w:rPr>
      </w:pPr>
    </w:p>
    <w:p>
      <w:pPr>
        <w:jc w:val="both"/>
        <w:ind w:left="860" w:right="2519" w:hanging="842"/>
        <w:spacing w:after="0" w:line="402"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Internal Modem Purchase Agreement between Gentner Engineering Company, Inc. and Gentner Research, Ltd., dated October 12, 1987.</w:t>
      </w:r>
    </w:p>
    <w:p>
      <w:pPr>
        <w:spacing w:after="0" w:line="1" w:lineRule="exact"/>
        <w:rPr>
          <w:sz w:val="20"/>
          <w:szCs w:val="20"/>
          <w:color w:val="auto"/>
        </w:rPr>
      </w:pPr>
    </w:p>
    <w:p>
      <w:pPr>
        <w:ind w:left="860" w:right="2839" w:hanging="842"/>
        <w:spacing w:after="0" w:line="420"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Digital Hybrid Purchase Agreement between Gentner Engineering, Inc. and Gentner Research, Ltd., dated September 8, 1988.</w:t>
      </w:r>
    </w:p>
    <w:p>
      <w:pPr>
        <w:spacing w:after="0" w:line="176" w:lineRule="exact"/>
        <w:rPr>
          <w:sz w:val="20"/>
          <w:szCs w:val="20"/>
          <w:color w:val="auto"/>
        </w:rPr>
      </w:pPr>
    </w:p>
    <w:p>
      <w:pPr>
        <w:jc w:val="both"/>
        <w:ind w:right="2519" w:firstLine="527"/>
        <w:spacing w:after="0" w:line="344" w:lineRule="auto"/>
        <w:rPr>
          <w:sz w:val="20"/>
          <w:szCs w:val="20"/>
          <w:color w:val="auto"/>
        </w:rPr>
      </w:pPr>
      <w:r>
        <w:rPr>
          <w:rFonts w:ascii="Courier New" w:cs="Courier New" w:eastAsia="Courier New" w:hAnsi="Courier New"/>
          <w:sz w:val="16"/>
          <w:szCs w:val="16"/>
          <w:color w:val="auto"/>
        </w:rPr>
        <w:t>The following exhibits are hereby incorporated by reference from the Company's Form 10-K for the fiscal year ended June 30, 1992. The exhibit numbers shown are those in the 1992 Form 10-K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Revolving Credit Agreement with West One Bank, dated December 5, 1991.</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Asset Purchase Agreement with MacroMedia, Inc., dated March 16, 1992.</w:t>
      </w:r>
    </w:p>
    <w:p>
      <w:pPr>
        <w:spacing w:after="0" w:line="200" w:lineRule="exact"/>
        <w:rPr>
          <w:sz w:val="20"/>
          <w:szCs w:val="20"/>
          <w:color w:val="auto"/>
        </w:rPr>
      </w:pPr>
    </w:p>
    <w:p>
      <w:pPr>
        <w:spacing w:after="0" w:line="204"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1993. The exhibit numbers shown are those in the 1993 Form 10-KSB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as amended on August 24, 1993.</w:t>
      </w:r>
    </w:p>
    <w:p>
      <w:pPr>
        <w:spacing w:after="0" w:line="200" w:lineRule="exact"/>
        <w:rPr>
          <w:sz w:val="20"/>
          <w:szCs w:val="20"/>
          <w:color w:val="auto"/>
        </w:rPr>
      </w:pPr>
    </w:p>
    <w:p>
      <w:pPr>
        <w:spacing w:after="0" w:line="204"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1994. The exhibit numbers shown are those in the 1994 Form 10-KSB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ind w:left="860" w:right="2419" w:hanging="842"/>
        <w:spacing w:after="0" w:line="347"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Business Loan Agreement, as amended, and Promissory Note with West One Bank, dated October 29, 1993.</w:t>
      </w:r>
    </w:p>
    <w:p>
      <w:pPr>
        <w:spacing w:after="0" w:line="221" w:lineRule="exact"/>
        <w:rPr>
          <w:sz w:val="20"/>
          <w:szCs w:val="20"/>
          <w:color w:val="auto"/>
        </w:rPr>
      </w:pPr>
    </w:p>
    <w:p>
      <w:pPr>
        <w:ind w:right="2319" w:firstLine="527"/>
        <w:spacing w:after="0" w:line="344" w:lineRule="auto"/>
        <w:rPr>
          <w:sz w:val="20"/>
          <w:szCs w:val="20"/>
          <w:color w:val="auto"/>
        </w:rPr>
      </w:pPr>
      <w:r>
        <w:rPr>
          <w:rFonts w:ascii="Courier New" w:cs="Courier New" w:eastAsia="Courier New" w:hAnsi="Courier New"/>
          <w:sz w:val="16"/>
          <w:szCs w:val="16"/>
          <w:color w:val="auto"/>
        </w:rPr>
        <w:t>The following documents are hereby incorporated by reference from the Company's Form 10-KSB for the fiscal year ended June 30, 1996. The exhibit numbers shown are those in the 1996 Form 10-KSB as originally filed.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1990 Incentive Plan, as amended August 7, 1996</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Power of Attorney of Members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filed as exhibits to this Form 10-KSB/A.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ectPr>
          <w:pgSz w:w="11900" w:h="16838" w:orient="portrait"/>
          <w:cols w:equalWidth="0" w:num="1">
            <w:col w:w="10219"/>
          </w:cols>
          <w:pgMar w:left="240" w:top="312" w:right="1440" w:bottom="0" w:gutter="0" w:footer="0" w:header="0"/>
        </w:sectPr>
      </w:pPr>
    </w:p>
    <w:bookmarkStart w:id="5" w:name="page6"/>
    <w:bookmarkEnd w:id="5"/>
    <w:p>
      <w:pPr>
        <w:spacing w:after="0"/>
        <w:tabs>
          <w:tab w:leader="none" w:pos="8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ON FORM 8-K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right="2419" w:firstLine="527"/>
        <w:spacing w:after="0" w:line="274" w:lineRule="auto"/>
        <w:rPr>
          <w:sz w:val="20"/>
          <w:szCs w:val="20"/>
          <w:color w:val="auto"/>
        </w:rPr>
      </w:pPr>
      <w:r>
        <w:rPr>
          <w:rFonts w:ascii="Courier New" w:cs="Courier New" w:eastAsia="Courier New" w:hAnsi="Courier New"/>
          <w:sz w:val="18"/>
          <w:szCs w:val="18"/>
          <w:color w:val="auto"/>
        </w:rPr>
        <w:t>The Company filed a Form 8-K, dated August 7, 1996, that reported the Board of Directors of the Company had extended the exercise date of the Company's outstanding warrants for one year from September 22, 1996 to September 22, 1997.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In accordance with Section 13 or 15(d) of the Exchange Act, the Company caused this Amendment to be signed on its behalf by the undersigned, thereunto duly authorized.</w:t>
      </w: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GENTNER COMMUNICATIONS CORPORATION</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 Russell D. Gentner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Russell D. Gentner</w:t>
      </w: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3">
            <w:col w:w="3080" w:space="720"/>
            <w:col w:w="320" w:space="100"/>
            <w:col w:w="5999"/>
          </w:cols>
          <w:pgMar w:left="240" w:top="110" w:right="1440" w:bottom="1440" w:gutter="0" w:footer="0" w:header="0"/>
          <w:type w:val="continuous"/>
        </w:sectPr>
      </w:pPr>
    </w:p>
    <w:p>
      <w:pPr>
        <w:spacing w:after="0" w:line="17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In accordance with the Exchange Act, this report has been signed below by the following persons on behalf of the Company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740"/>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302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ind w:left="140"/>
              <w:spacing w:after="0"/>
              <w:rPr>
                <w:sz w:val="20"/>
                <w:szCs w:val="20"/>
                <w:color w:val="auto"/>
              </w:rPr>
            </w:pPr>
            <w:r>
              <w:rPr>
                <w:rFonts w:ascii="Courier New" w:cs="Courier New" w:eastAsia="Courier New" w:hAnsi="Courier New"/>
                <w:sz w:val="18"/>
                <w:szCs w:val="18"/>
                <w:color w:val="auto"/>
              </w:rPr>
              <w:t>Director, Chairman of the</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Board of Directors, and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D. Gentner</w:t>
            </w:r>
          </w:p>
        </w:tc>
        <w:tc>
          <w:tcPr>
            <w:tcW w:w="320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4"/>
                <w:szCs w:val="24"/>
                <w:color w:val="auto"/>
              </w:rPr>
            </w:pPr>
          </w:p>
        </w:tc>
        <w:tc>
          <w:tcPr>
            <w:tcW w:w="3200" w:type="dxa"/>
            <w:vAlign w:val="bottom"/>
          </w:tcPr>
          <w:p>
            <w:pPr>
              <w:ind w:left="140"/>
              <w:spacing w:after="0"/>
              <w:rPr>
                <w:sz w:val="20"/>
                <w:szCs w:val="20"/>
                <w:color w:val="auto"/>
              </w:rPr>
            </w:pPr>
            <w:r>
              <w:rPr>
                <w:rFonts w:ascii="Courier New" w:cs="Courier New" w:eastAsia="Courier New" w:hAnsi="Courier New"/>
                <w:sz w:val="18"/>
                <w:szCs w:val="18"/>
                <w:color w:val="auto"/>
                <w:w w:val="97"/>
              </w:rPr>
              <w:t>(Principal Executive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David L. Harmon</w:t>
            </w:r>
          </w:p>
        </w:tc>
        <w:tc>
          <w:tcPr>
            <w:tcW w:w="3200" w:type="dxa"/>
            <w:vAlign w:val="bottom"/>
          </w:tcPr>
          <w:p>
            <w:pPr>
              <w:ind w:left="140"/>
              <w:spacing w:after="0"/>
              <w:rPr>
                <w:sz w:val="20"/>
                <w:szCs w:val="20"/>
                <w:color w:val="auto"/>
              </w:rPr>
            </w:pPr>
            <w:r>
              <w:rPr>
                <w:rFonts w:ascii="Courier New" w:cs="Courier New" w:eastAsia="Courier New" w:hAnsi="Courier New"/>
                <w:sz w:val="18"/>
                <w:szCs w:val="18"/>
                <w:color w:val="auto"/>
              </w:rPr>
              <w:t>Chief Financial Officer</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David L. Harmon</w:t>
            </w:r>
          </w:p>
        </w:tc>
        <w:tc>
          <w:tcPr>
            <w:tcW w:w="3200" w:type="dxa"/>
            <w:vAlign w:val="bottom"/>
          </w:tcPr>
          <w:p>
            <w:pPr>
              <w:ind w:left="140"/>
              <w:spacing w:after="0"/>
              <w:rPr>
                <w:sz w:val="20"/>
                <w:szCs w:val="20"/>
                <w:color w:val="auto"/>
              </w:rPr>
            </w:pPr>
            <w:r>
              <w:rPr>
                <w:rFonts w:ascii="Courier New" w:cs="Courier New" w:eastAsia="Courier New" w:hAnsi="Courier New"/>
                <w:sz w:val="18"/>
                <w:szCs w:val="18"/>
                <w:color w:val="auto"/>
              </w:rPr>
              <w:t>Accounting Officer)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Attorney-In-Fact</w:t>
            </w:r>
          </w:p>
        </w:tc>
        <w:tc>
          <w:tcPr>
            <w:tcW w:w="3200" w:type="dxa"/>
            <w:vAlign w:val="bottom"/>
            <w:vMerge w:val="restart"/>
          </w:tcPr>
          <w:p>
            <w:pPr>
              <w:ind w:left="1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Attorney-In-Fact</w:t>
            </w:r>
          </w:p>
        </w:tc>
        <w:tc>
          <w:tcPr>
            <w:tcW w:w="3200" w:type="dxa"/>
            <w:vAlign w:val="bottom"/>
            <w:vMerge w:val="restart"/>
          </w:tcPr>
          <w:p>
            <w:pPr>
              <w:ind w:left="1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Attorney-In-Fact</w:t>
            </w:r>
          </w:p>
        </w:tc>
        <w:tc>
          <w:tcPr>
            <w:tcW w:w="3200" w:type="dxa"/>
            <w:vAlign w:val="bottom"/>
            <w:vMerge w:val="restart"/>
          </w:tcPr>
          <w:p>
            <w:pPr>
              <w:ind w:left="1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Edward N. Bagley</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Attorney-In-Fact</w:t>
            </w:r>
          </w:p>
        </w:tc>
        <w:tc>
          <w:tcPr>
            <w:tcW w:w="3200" w:type="dxa"/>
            <w:vAlign w:val="bottom"/>
            <w:vMerge w:val="restart"/>
          </w:tcPr>
          <w:p>
            <w:pPr>
              <w:ind w:left="1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K. Bradford Romney</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tcPr>
          <w:p>
            <w:pPr>
              <w:spacing w:after="0"/>
              <w:rPr>
                <w:sz w:val="20"/>
                <w:szCs w:val="20"/>
                <w:color w:val="auto"/>
              </w:rPr>
            </w:pPr>
            <w:r>
              <w:rPr>
                <w:rFonts w:ascii="Courier New" w:cs="Courier New" w:eastAsia="Courier New" w:hAnsi="Courier New"/>
                <w:sz w:val="18"/>
                <w:szCs w:val="18"/>
                <w:color w:val="auto"/>
              </w:rPr>
              <w:t>/s/ Russell D. Gentner</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Attorney-In-Fact</w:t>
            </w:r>
          </w:p>
        </w:tc>
        <w:tc>
          <w:tcPr>
            <w:tcW w:w="3200" w:type="dxa"/>
            <w:vAlign w:val="bottom"/>
            <w:vMerge w:val="restart"/>
          </w:tcPr>
          <w:p>
            <w:pPr>
              <w:ind w:left="1100"/>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6"/>
              </w:rPr>
              <w:t>November 5, 1996</w:t>
            </w:r>
          </w:p>
        </w:tc>
        <w:tc>
          <w:tcPr>
            <w:tcW w:w="0" w:type="dxa"/>
            <w:vAlign w:val="bottom"/>
          </w:tcPr>
          <w:p>
            <w:pPr>
              <w:spacing w:after="0"/>
              <w:rPr>
                <w:sz w:val="1"/>
                <w:szCs w:val="1"/>
                <w:color w:val="auto"/>
              </w:rPr>
            </w:pP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020" w:type="dxa"/>
            <w:vAlign w:val="bottom"/>
          </w:tcPr>
          <w:p>
            <w:pPr>
              <w:spacing w:after="0"/>
              <w:rPr>
                <w:sz w:val="20"/>
                <w:szCs w:val="20"/>
                <w:color w:val="auto"/>
              </w:rPr>
            </w:pPr>
            <w:r>
              <w:rPr>
                <w:rFonts w:ascii="Courier New" w:cs="Courier New" w:eastAsia="Courier New" w:hAnsi="Courier New"/>
                <w:sz w:val="18"/>
                <w:szCs w:val="18"/>
                <w:color w:val="auto"/>
              </w:rPr>
              <w:t>Dwight H. Egan</w:t>
            </w:r>
          </w:p>
        </w:tc>
        <w:tc>
          <w:tcPr>
            <w:tcW w:w="3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type w:val="continuous"/>
        </w:sectPr>
      </w:pPr>
    </w:p>
    <w:bookmarkStart w:id="6" w:name="page7"/>
    <w:bookmarkEnd w:id="6"/>
    <w:p>
      <w:pPr>
        <w:jc w:val="center"/>
        <w:ind w:right="199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ind w:right="241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33-65848) pertaining to the 1990 Incentive Plan of Gentner Communications Corporation of our report dated August 7, 1996, with respect to the financial statements of Gentner Communications Corporation included in the Annual Report (Form 10-KSB/A) for the year ended June 30, 1996.</w:t>
      </w:r>
    </w:p>
    <w:p>
      <w:pPr>
        <w:spacing w:after="0" w:line="295"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ERNST &amp; YOUNG LLP</w:t>
      </w:r>
    </w:p>
    <w:p>
      <w:pPr>
        <w:spacing w:after="0" w:line="3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4, 1996</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2019-12-13T18:14:28Z</dcterms:created>
  <dcterms:modified xsi:type="dcterms:W3CDTF">2019-12-13T18:14:28Z</dcterms:modified>
</cp:coreProperties>
</file>