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68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2021</w:t>
      </w:r>
    </w:p>
    <w:p>
      <w:pPr>
        <w:spacing w:after="0" w:line="162" w:lineRule="exact"/>
        <w:rPr>
          <w:sz w:val="24"/>
          <w:szCs w:val="24"/>
          <w:color w:val="auto"/>
        </w:rPr>
      </w:pPr>
    </w:p>
    <w:p>
      <w:pPr>
        <w:ind w:left="380" w:right="170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2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3"/>
          </w:tcPr>
          <w:p>
            <w:pPr>
              <w:jc w:val="center"/>
              <w:ind w:right="87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377"/>
        </w:trPr>
        <w:tc>
          <w:tcPr>
            <w:tcW w:w="4920" w:type="dxa"/>
            <w:vAlign w:val="bottom"/>
            <w:gridSpan w:val="4"/>
          </w:tcPr>
          <w:p>
            <w:pPr>
              <w:spacing w:after="0"/>
              <w:rPr>
                <w:sz w:val="20"/>
                <w:szCs w:val="20"/>
                <w:color w:val="auto"/>
              </w:rPr>
            </w:pPr>
            <w:r>
              <w:rPr>
                <w:rFonts w:ascii="Arial" w:cs="Arial" w:eastAsia="Arial" w:hAnsi="Arial"/>
                <w:sz w:val="18"/>
                <w:szCs w:val="18"/>
                <w:color w:val="auto"/>
                <w:w w:val="90"/>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5"/>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0" w:right="339" w:bottom="1440" w:gutter="0" w:footer="0" w:header="0"/>
          <w:type w:val="continuous"/>
        </w:sectPr>
      </w:pPr>
    </w:p>
    <w:p>
      <w:pPr>
        <w:spacing w:after="0" w:line="4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November 11, 2021 was 22,402,970.</w:t>
      </w:r>
    </w:p>
    <w:p>
      <w:pPr>
        <w:spacing w:after="0" w:line="36"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gridSpan w:val="6"/>
          </w:tcPr>
          <w:p>
            <w:pPr>
              <w:ind w:left="6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2021 and December 31, 2020</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and Comprehensive Loss for the three and nine months ended</w:t>
              </w:r>
            </w:hyperlink>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shd w:val="clear" w:color="auto" w:fill="CCEEFF"/>
          </w:tcPr>
          <w:p>
            <w:pPr>
              <w:spacing w:after="0"/>
              <w:rPr>
                <w:sz w:val="11"/>
                <w:szCs w:val="11"/>
                <w:color w:val="auto"/>
              </w:rPr>
            </w:pPr>
          </w:p>
        </w:tc>
        <w:tc>
          <w:tcPr>
            <w:tcW w:w="8940" w:type="dxa"/>
            <w:vAlign w:val="bottom"/>
            <w:tcBorders>
              <w:top w:val="single" w:sz="8" w:color="0000EE"/>
            </w:tcBorders>
            <w:gridSpan w:val="17"/>
            <w:vMerge w:val="restart"/>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2021 and 2020</w:t>
              </w:r>
            </w:hyperlink>
          </w:p>
        </w:tc>
        <w:tc>
          <w:tcPr>
            <w:tcW w:w="420" w:type="dxa"/>
            <w:vAlign w:val="bottom"/>
            <w:tcBorders>
              <w:top w:val="single" w:sz="8" w:color="CCEEFF"/>
            </w:tcBorders>
            <w:vMerge w:val="restart"/>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8940" w:type="dxa"/>
            <w:vAlign w:val="bottom"/>
            <w:gridSpan w:val="17"/>
            <w:vMerge w:val="continue"/>
            <w:shd w:val="clear" w:color="auto" w:fill="CCEEFF"/>
          </w:tcPr>
          <w:p>
            <w:pPr>
              <w:spacing w:after="0"/>
              <w:rPr>
                <w:sz w:val="7"/>
                <w:szCs w:val="7"/>
                <w:color w:val="auto"/>
              </w:rPr>
            </w:pPr>
          </w:p>
        </w:tc>
        <w:tc>
          <w:tcPr>
            <w:tcW w:w="420" w:type="dxa"/>
            <w:vAlign w:val="bottom"/>
            <w:vMerge w:val="continue"/>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Unaudited Condensed Consolidated Statements of Cash Flows for the nine months ended September 30, 2021 and 2020</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8760" w:type="dxa"/>
            <w:vAlign w:val="bottom"/>
            <w:tcBorders>
              <w:bottom w:val="single" w:sz="8" w:color="CCEEFF"/>
            </w:tcBorders>
            <w:gridSpan w:val="17"/>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Arial" w:cs="Arial" w:eastAsia="Arial" w:hAnsi="Arial"/>
                <w:sz w:val="18"/>
                <w:szCs w:val="18"/>
                <w:color w:val="auto"/>
                <w:w w:val="99"/>
              </w:rPr>
              <w:t>2</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$505 and $506, respectively</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9,218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 net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23,179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r>
      <w:tr>
        <w:trPr>
          <w:trHeight w:val="263"/>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Short-term debt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23"/>
        </w:trPr>
        <w:tc>
          <w:tcPr>
            <w:tcW w:w="8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$0.001, 50,000,000 shares authorized, 22,402,970 and 18,775,773 shares issued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and outstanding,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2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9"/>
                <w:szCs w:val="19"/>
                <w:color w:val="auto"/>
              </w:rPr>
            </w:pPr>
          </w:p>
        </w:tc>
      </w:tr>
      <w:tr>
        <w:trPr>
          <w:trHeight w:val="223"/>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Three months ended September</w:t>
            </w:r>
          </w:p>
        </w:tc>
        <w:tc>
          <w:tcPr>
            <w:tcW w:w="268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w w:val="88"/>
              </w:rPr>
              <w:t>Nine months ended 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Borders>
              <w:bottom w:val="single" w:sz="8" w:color="auto"/>
            </w:tcBorders>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4,141</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4,892</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1,692</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1,443</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1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(2,169)</w:t>
            </w: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(1,260)</w:t>
            </w:r>
          </w:p>
        </w:tc>
        <w:tc>
          <w:tcPr>
            <w:tcW w:w="260" w:type="dxa"/>
            <w:vAlign w:val="bottom"/>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56" w:lineRule="exact"/>
              <w:rPr>
                <w:sz w:val="20"/>
                <w:szCs w:val="20"/>
                <w:color w:val="auto"/>
              </w:rPr>
            </w:pPr>
            <w:r>
              <w:rPr>
                <w:rFonts w:ascii="Arial" w:cs="Arial" w:eastAsia="Arial" w:hAnsi="Arial"/>
                <w:sz w:val="18"/>
                <w:szCs w:val="18"/>
                <w:color w:val="auto"/>
              </w:rPr>
              <w:t>(5,410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56" w:lineRule="exact"/>
              <w:rPr>
                <w:sz w:val="20"/>
                <w:szCs w:val="20"/>
                <w:color w:val="auto"/>
              </w:rPr>
            </w:pPr>
            <w:r>
              <w:rPr>
                <w:rFonts w:ascii="Arial" w:cs="Arial" w:eastAsia="Arial" w:hAnsi="Arial"/>
                <w:sz w:val="18"/>
                <w:szCs w:val="18"/>
                <w:color w:val="auto"/>
              </w:rPr>
              <w:t>(5,044</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08"/>
        </w:trPr>
        <w:tc>
          <w:tcPr>
            <w:tcW w:w="516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19,449,283</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17,000,215</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19,002,758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16,768,088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19,449,283</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17,000,215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19,002,758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16,768,088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Diluted loss per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(2,169)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(5,410)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Unrealized gain (loss) on available-for-sale securities, net of tax</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(2,181)</w:t>
            </w: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(5,449</w:t>
            </w:r>
          </w:p>
        </w:tc>
        <w:tc>
          <w:tcPr>
            <w:tcW w:w="14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(5,058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516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380" w:type="dxa"/>
            <w:vAlign w:val="bottom"/>
            <w:tcBorders>
              <w:right w:val="single" w:sz="8" w:color="CCEEFF"/>
            </w:tcBorders>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gridSpan w:val="2"/>
            <w:shd w:val="clear" w:color="auto" w:fill="CCEEFF"/>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64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6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9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(5,044)</w:t>
            </w: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2,042</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1,682</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417</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55</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 net</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937</w:t>
            </w: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(1,319)</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1,724</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2,667</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(973)</w:t>
            </w:r>
          </w:p>
        </w:tc>
        <w:tc>
          <w:tcPr>
            <w:tcW w:w="3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(985)</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1,484</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179</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Deferred product revenue</w:t>
            </w:r>
          </w:p>
        </w:tc>
        <w:tc>
          <w:tcPr>
            <w:tcW w:w="9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(14)</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(421)</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9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(29)</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(1,477)</w:t>
            </w: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spacing w:after="0"/>
              <w:rPr>
                <w:sz w:val="19"/>
                <w:szCs w:val="19"/>
                <w:color w:val="auto"/>
              </w:rPr>
            </w:pPr>
          </w:p>
        </w:tc>
      </w:tr>
      <w:tr>
        <w:trPr>
          <w:trHeight w:val="209"/>
        </w:trPr>
        <w:tc>
          <w:tcPr>
            <w:tcW w:w="7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(266)</w:t>
            </w:r>
          </w:p>
        </w:tc>
      </w:tr>
      <w:tr>
        <w:trPr>
          <w:trHeight w:val="243"/>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intangibles</w:t>
            </w:r>
          </w:p>
        </w:tc>
        <w:tc>
          <w:tcPr>
            <w:tcW w:w="9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(140)</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9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(5,348)</w:t>
            </w:r>
          </w:p>
        </w:tc>
        <w:tc>
          <w:tcPr>
            <w:tcW w:w="3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(5,565)</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1,971</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3,697</w:t>
            </w: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tcPr>
          <w:p>
            <w:pPr>
              <w:spacing w:after="0"/>
              <w:rPr>
                <w:sz w:val="21"/>
                <w:szCs w:val="2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21"/>
                <w:szCs w:val="21"/>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(2,155)</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(4,162)</w:t>
            </w: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r>
      <w:tr>
        <w:trPr>
          <w:trHeight w:val="210"/>
        </w:trPr>
        <w:tc>
          <w:tcPr>
            <w:tcW w:w="7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9,288</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4,764</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short-term notes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Net proceeds from Paycheck Protection Program loan</w:t>
            </w:r>
          </w:p>
        </w:tc>
        <w:tc>
          <w:tcPr>
            <w:tcW w:w="9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1,499</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9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w:t>
            </w: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Principal payments of long-term debt</w:t>
            </w:r>
          </w:p>
        </w:tc>
        <w:tc>
          <w:tcPr>
            <w:tcW w:w="960" w:type="dxa"/>
            <w:vAlign w:val="bottom"/>
          </w:tcPr>
          <w:p>
            <w:pPr>
              <w:spacing w:after="0"/>
              <w:rPr>
                <w:sz w:val="21"/>
                <w:szCs w:val="2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11,030</w:t>
            </w: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220" w:type="dxa"/>
            <w:vAlign w:val="bottom"/>
            <w:tcBorders>
              <w:top w:val="single" w:sz="8" w:color="CCEEFF"/>
            </w:tcBorders>
            <w:shd w:val="clear" w:color="auto" w:fill="CCEEFF"/>
          </w:tcPr>
          <w:p>
            <w:pPr>
              <w:spacing w:after="0"/>
              <w:rPr>
                <w:sz w:val="19"/>
                <w:szCs w:val="19"/>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23"/>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36" w:lineRule="exact"/>
        <w:rPr>
          <w:sz w:val="20"/>
          <w:szCs w:val="20"/>
          <w:color w:val="auto"/>
        </w:rPr>
      </w:pPr>
    </w:p>
    <w:p>
      <w:pPr>
        <w:spacing w:after="0" w:line="395"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5,358</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580" w:type="dxa"/>
            <w:vAlign w:val="bottom"/>
          </w:tcPr>
          <w:p>
            <w:pPr>
              <w:spacing w:after="0"/>
              <w:rPr>
                <w:sz w:val="21"/>
                <w:szCs w:val="21"/>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3,803</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4,064</w:t>
            </w: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-479425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80" w:space="66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2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80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2021 and December 31, 2020, the results of operations for the three and nine months ended September 30, 2021 and 2020, and the cash flows for the nine months ended September 30, 2021 and 2020. The results of operations for the three and nine months ended September 30, 2021 and 2020 are not necessarily indicative of the results for a full-year period. These interim unaudited condensed consolidated financial statements should be read in conjunction with the financial statements included in our Annual Report on Form 10-K for the year ended December 31, 2020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2020. There have been no changes to these policies during the nine months ended September 30, 2021 that are of significance or potential significance to the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our cash and cash equivalents were approximately $9,161 compared to $3,803 as of December 31, 2020. Our working capital was $23,739 as of September 30, 2021. Net cash used in operating activities was $1,477 for the nine months ended September 30, 2021, an increase of $1,168 from $309 of cash used in activities in the nine months ended September 30, 2021.</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spent approximately $25,668 from 2016 through September 30,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 For more information about our intellectual property litigation, See Note 8. Commitments and Contingencies - Legal Proceedings, in our annual report on Form 10-K for the year ended December 31, 2020 and Part II, Item 1. Legal Proceedings in this quarterly report.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been actively engaged in preserving cash by suspending our dividend program and allowing our share repurchase program to expire in 2018 and implementing company-wide cost reduction measures. We have also raised additional capital in 2019 by issuing senior convertible notes, in 2020 by borrowing through the CARES Act Paycheck Protection Program and issuing common stock and warrants and in 2021 by issuing short term notes and issuing common stock and warrants. In addition, we have been generating additional cash as our inventory levels are brought down to historical levels.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November 12,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9"/>
              </w:rPr>
              <w:t>Three months ended September 30,</w:t>
            </w:r>
          </w:p>
        </w:tc>
        <w:tc>
          <w:tcPr>
            <w:tcW w:w="120" w:type="dxa"/>
            <w:vAlign w:val="bottom"/>
          </w:tcPr>
          <w:p>
            <w:pPr>
              <w:spacing w:after="0"/>
              <w:rPr>
                <w:sz w:val="21"/>
                <w:szCs w:val="21"/>
                <w:color w:val="auto"/>
              </w:rPr>
            </w:pPr>
          </w:p>
        </w:tc>
        <w:tc>
          <w:tcPr>
            <w:tcW w:w="276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2,659</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8,227</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20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1,417</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6,992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8,412</w:t>
            </w:r>
          </w:p>
        </w:tc>
        <w:tc>
          <w:tcPr>
            <w:tcW w:w="120" w:type="dxa"/>
            <w:vAlign w:val="bottom"/>
            <w:vMerge w:val="continue"/>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21,765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September</w:t>
            </w:r>
          </w:p>
        </w:tc>
        <w:tc>
          <w:tcPr>
            <w:tcW w:w="100" w:type="dxa"/>
            <w:vAlign w:val="bottom"/>
          </w:tcPr>
          <w:p>
            <w:pPr>
              <w:spacing w:after="0"/>
              <w:rPr>
                <w:sz w:val="18"/>
                <w:szCs w:val="18"/>
                <w:color w:val="auto"/>
              </w:rPr>
            </w:pPr>
          </w:p>
        </w:tc>
        <w:tc>
          <w:tcPr>
            <w:tcW w:w="2820" w:type="dxa"/>
            <w:vAlign w:val="bottom"/>
            <w:gridSpan w:val="7"/>
            <w:vMerge w:val="restart"/>
          </w:tcPr>
          <w:p>
            <w:pPr>
              <w:ind w:left="4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Asia Pacific (includes Middle East, India and Australia)</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spacing w:after="0"/>
              <w:rPr>
                <w:sz w:val="21"/>
                <w:szCs w:val="21"/>
                <w:color w:val="auto"/>
              </w:rPr>
            </w:pP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6,992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8,412</w:t>
            </w:r>
          </w:p>
        </w:tc>
        <w:tc>
          <w:tcPr>
            <w:tcW w:w="100" w:type="dxa"/>
            <w:vAlign w:val="bottom"/>
            <w:vMerge w:val="continue"/>
          </w:tcPr>
          <w:p>
            <w:pPr>
              <w:spacing w:after="0"/>
              <w:rPr>
                <w:sz w:val="21"/>
                <w:szCs w:val="21"/>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21,765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20,503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800" w:type="dxa"/>
            <w:vAlign w:val="bottom"/>
          </w:tcPr>
          <w:p>
            <w:pPr>
              <w:jc w:val="right"/>
              <w:ind w:right="577"/>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per common share is computed based on the weighted-average number of common shares outstanding and, when appropriate, dilutive potential common stock outstanding during the period. Stock options, warrants and convertible portion of senior convertible notes are considered to be potential common stock. The computation of diluted earnings (loss) per share does not assume exercise or conversion of securities that would have an anti-dilutive effect.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3"/>
              </w:rPr>
              <w:t>Three months ended September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23"/>
        </w:trPr>
        <w:tc>
          <w:tcPr>
            <w:tcW w:w="5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(2,169)</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(5,044)</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8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19,449,283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17,000,215</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19,002,758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16,768,088</w:t>
            </w:r>
          </w:p>
        </w:tc>
      </w:tr>
      <w:tr>
        <w:trPr>
          <w:trHeight w:val="243"/>
        </w:trPr>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Dilutive common stock equivalents using treasury stock method</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19,449,283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17,000,215</w:t>
            </w:r>
          </w:p>
        </w:tc>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19,002,758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16,768,088</w:t>
            </w: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29"/>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options, warrants and convertible portion of senior</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outstanding</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4,240,247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511,332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3,826,807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528,107</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Anti-dilutive options, warrants and convertible portion of senior</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convertible notes not included in the computation</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4,240,247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511,332</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3,826,807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528,107</w:t>
            </w:r>
          </w:p>
        </w:tc>
      </w:tr>
      <w:tr>
        <w:trPr>
          <w:trHeight w:val="459"/>
        </w:trPr>
        <w:tc>
          <w:tcPr>
            <w:tcW w:w="5280" w:type="dxa"/>
            <w:vAlign w:val="bottom"/>
          </w:tcPr>
          <w:p>
            <w:pPr>
              <w:spacing w:after="0"/>
              <w:rPr>
                <w:sz w:val="24"/>
                <w:szCs w:val="24"/>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2021 and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available-for-sale securities</w:t>
            </w:r>
          </w:p>
        </w:tc>
        <w:tc>
          <w:tcPr>
            <w:tcW w:w="28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60" w:type="dxa"/>
            <w:vAlign w:val="bottom"/>
            <w:vMerge w:val="restart"/>
          </w:tcPr>
          <w:p>
            <w:pPr>
              <w:jc w:val="right"/>
              <w:ind w:right="11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in an unrealized loss position as of September 30, 2021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available-for-sale marketable securities with gross unrealized loss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80"/>
              <w:spacing w:after="0"/>
              <w:rPr>
                <w:sz w:val="20"/>
                <w:szCs w:val="20"/>
                <w:color w:val="auto"/>
              </w:rPr>
            </w:pPr>
            <w:r>
              <w:rPr>
                <w:rFonts w:ascii="Arial" w:cs="Arial" w:eastAsia="Arial" w:hAnsi="Arial"/>
                <w:sz w:val="18"/>
                <w:szCs w:val="18"/>
                <w:color w:val="auto"/>
              </w:rPr>
              <w:t>to 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30,994</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25,427</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60"/>
              <w:spacing w:after="0"/>
              <w:rPr>
                <w:sz w:val="20"/>
                <w:szCs w:val="20"/>
                <w:color w:val="auto"/>
              </w:rPr>
            </w:pPr>
            <w:r>
              <w:rPr>
                <w:rFonts w:ascii="Arial" w:cs="Arial" w:eastAsia="Arial" w:hAnsi="Arial"/>
                <w:sz w:val="18"/>
                <w:szCs w:val="18"/>
                <w:color w:val="auto"/>
              </w:rPr>
              <w:t>to 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(11,674)</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(10,038)</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September 30, 2021 and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Arial" w:cs="Arial" w:eastAsia="Arial" w:hAnsi="Arial"/>
                <w:sz w:val="18"/>
                <w:szCs w:val="18"/>
                <w:b w:val="1"/>
                <w:bCs w:val="1"/>
                <w:color w:val="auto"/>
                <w:w w:val="89"/>
              </w:rPr>
              <w:t>Three months ended September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spacing w:after="0"/>
              <w:rPr>
                <w:sz w:val="20"/>
                <w:szCs w:val="20"/>
                <w:color w:val="auto"/>
              </w:rPr>
            </w:pPr>
            <w:r>
              <w:rPr>
                <w:rFonts w:ascii="Arial" w:cs="Arial" w:eastAsia="Arial" w:hAnsi="Arial"/>
                <w:sz w:val="18"/>
                <w:szCs w:val="18"/>
                <w:b w:val="1"/>
                <w:bCs w:val="1"/>
                <w:color w:val="auto"/>
                <w:w w:val="92"/>
              </w:rPr>
              <w:t>Nine months ended September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w w:val="94"/>
              </w:rPr>
              <w:t>The estimated future amortization expense of intangible assets is as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2,445</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2,438</w:t>
            </w:r>
          </w:p>
        </w:tc>
        <w:tc>
          <w:tcPr>
            <w:tcW w:w="220" w:type="dxa"/>
            <w:vAlign w:val="bottom"/>
            <w:tcBorders>
              <w:left w:val="single" w:sz="8" w:color="CCEE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2,174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2,113</w:t>
            </w:r>
          </w:p>
        </w:tc>
        <w:tc>
          <w:tcPr>
            <w:tcW w:w="220" w:type="dxa"/>
            <w:vAlign w:val="bottom"/>
            <w:tcBorders>
              <w:left w:val="single" w:sz="8" w:color="CCEE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13,398</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left w:val="single" w:sz="8" w:color="CCEE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2020</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1,772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w:t>
            </w:r>
          </w:p>
        </w:tc>
      </w:tr>
      <w:tr>
        <w:trPr>
          <w:trHeight w:val="263"/>
        </w:trPr>
        <w:tc>
          <w:tcPr>
            <w:tcW w:w="73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tcPr>
          <w:p>
            <w:pPr>
              <w:spacing w:after="0"/>
              <w:rPr>
                <w:sz w:val="22"/>
                <w:szCs w:val="22"/>
                <w:color w:val="auto"/>
              </w:rPr>
            </w:pPr>
          </w:p>
        </w:tc>
      </w:tr>
      <w:tr>
        <w:trPr>
          <w:trHeight w:val="197"/>
        </w:trPr>
        <w:tc>
          <w:tcPr>
            <w:tcW w:w="7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r>
      <w:tr>
        <w:trPr>
          <w:trHeight w:val="223"/>
        </w:trPr>
        <w:tc>
          <w:tcPr>
            <w:tcW w:w="7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Net loss incurred on valuation of inventory at lower of cost or market value and write-off of obsolete inventory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Net loss incurred on valuation of inventory at lower of cost or</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and write-off of obsolete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and nine months ended September 30, 2021 and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 September</w:t>
            </w:r>
          </w:p>
        </w:tc>
        <w:tc>
          <w:tcPr>
            <w:tcW w:w="278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113"/>
        </w:trPr>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under the terms of an operating lease expiring in October 2022. This facility supports our sales, marketing, customer support, and research and development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under the terms of an operating lease expiring in August 2024. This facility supports our administrative, marketing, customer support, and research and product development activities.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5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0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418"/>
        </w:trPr>
        <w:tc>
          <w:tcPr>
            <w:tcW w:w="650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9"/>
              </w:rPr>
              <w:t>September 30, 2021</w:t>
            </w:r>
          </w:p>
        </w:tc>
        <w:tc>
          <w:tcPr>
            <w:tcW w:w="1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21"/>
                <w:szCs w:val="21"/>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1"/>
                <w:szCs w:val="21"/>
                <w:color w:val="auto"/>
              </w:rPr>
            </w:pPr>
          </w:p>
        </w:tc>
        <w:tc>
          <w:tcPr>
            <w:tcW w:w="1680" w:type="dxa"/>
            <w:vAlign w:val="bottom"/>
            <w:gridSpan w:val="4"/>
          </w:tcPr>
          <w:p>
            <w:pPr>
              <w:jc w:val="right"/>
              <w:ind w:right="1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8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22"/>
                <w:szCs w:val="22"/>
                <w:color w:val="auto"/>
              </w:rPr>
            </w:pPr>
          </w:p>
        </w:tc>
        <w:tc>
          <w:tcPr>
            <w:tcW w:w="1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80" w:type="dxa"/>
            <w:vAlign w:val="bottom"/>
          </w:tcPr>
          <w:p>
            <w:pPr>
              <w:spacing w:after="0"/>
              <w:rPr>
                <w:sz w:val="23"/>
                <w:szCs w:val="23"/>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September 30, 2021: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2021 (Remainder)</w:t>
            </w:r>
          </w:p>
        </w:tc>
        <w:tc>
          <w:tcPr>
            <w:tcW w:w="80" w:type="dxa"/>
            <w:vAlign w:val="bottom"/>
          </w:tcPr>
          <w:p>
            <w:pPr>
              <w:spacing w:after="0"/>
              <w:rPr>
                <w:sz w:val="19"/>
                <w:szCs w:val="19"/>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671</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1,969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6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1,806</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8. Shareholders' Equity</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Three months ended September 30,</w:t>
            </w:r>
          </w:p>
        </w:tc>
        <w:tc>
          <w:tcPr>
            <w:tcW w:w="80" w:type="dxa"/>
            <w:vAlign w:val="bottom"/>
          </w:tcPr>
          <w:p>
            <w:pPr>
              <w:spacing w:after="0"/>
              <w:rPr>
                <w:sz w:val="24"/>
                <w:szCs w:val="24"/>
                <w:color w:val="auto"/>
              </w:rPr>
            </w:pPr>
          </w:p>
        </w:tc>
        <w:tc>
          <w:tcPr>
            <w:tcW w:w="278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63,450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58,597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63,378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58,537</w:t>
            </w:r>
          </w:p>
        </w:tc>
        <w:tc>
          <w:tcPr>
            <w:tcW w:w="0" w:type="dxa"/>
            <w:vAlign w:val="bottom"/>
          </w:tcPr>
          <w:p>
            <w:pPr>
              <w:spacing w:after="0"/>
              <w:rPr>
                <w:sz w:val="1"/>
                <w:szCs w:val="1"/>
                <w:color w:val="auto"/>
              </w:rPr>
            </w:pPr>
          </w:p>
        </w:tc>
      </w:tr>
      <w:tr>
        <w:trPr>
          <w:trHeight w:val="229"/>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9,288</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29"/>
        </w:trPr>
        <w:tc>
          <w:tcPr>
            <w:tcW w:w="5300" w:type="dxa"/>
            <w:vAlign w:val="bottom"/>
            <w:gridSpan w:val="3"/>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72,778</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72,778</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300" w:type="dxa"/>
            <w:vAlign w:val="bottom"/>
            <w:gridSpan w:val="3"/>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Accumulated deficit</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43"/>
        </w:trPr>
        <w:tc>
          <w:tcPr>
            <w:tcW w:w="53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(2,169)</w:t>
            </w: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53,765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44,250</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w w:val="86"/>
              </w:rPr>
              <w:t>Issue of Common Stock and Warrants</w:t>
            </w:r>
          </w:p>
        </w:tc>
        <w:tc>
          <w:tcPr>
            <w:tcW w:w="23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 w:right="300"/>
        <w:spacing w:after="0" w:line="255" w:lineRule="auto"/>
        <w:rPr>
          <w:sz w:val="20"/>
          <w:szCs w:val="20"/>
          <w:color w:val="auto"/>
        </w:rPr>
      </w:pPr>
      <w:r>
        <w:rPr>
          <w:rFonts w:ascii="Arial" w:cs="Arial" w:eastAsia="Arial" w:hAnsi="Arial"/>
          <w:sz w:val="18"/>
          <w:szCs w:val="18"/>
          <w:color w:val="auto"/>
        </w:rPr>
        <w:t>On September 13, 2020, the Company entered into a securities purchase agreement with certain purchasers named therein, pursuant to which the Company issued and sold in a registered direct offering 2,116,050 shares of the Company's common stock, par value $0.001 per share at an offering price of $2.4925 per share. The Company received gross proceeds of approximately $5,275 and net proceeds $4,764 after deducting placement agent fees and related offering expenses. In a concurring private placement, the Company also issued to the same purchasers warrants exercisable for an aggregate of 1,058,025 shares of common stock at an exercise price of $2.43 per share. Each warrant became immediately exercisable and will expire five years from the issuance date.</w:t>
      </w:r>
    </w:p>
    <w:p>
      <w:pPr>
        <w:spacing w:after="0" w:line="192" w:lineRule="exact"/>
        <w:rPr>
          <w:sz w:val="20"/>
          <w:szCs w:val="20"/>
          <w:color w:val="auto"/>
        </w:rPr>
      </w:pPr>
    </w:p>
    <w:p>
      <w:pPr>
        <w:ind w:left="140" w:right="260"/>
        <w:spacing w:after="0" w:line="296" w:lineRule="auto"/>
        <w:rPr>
          <w:sz w:val="20"/>
          <w:szCs w:val="20"/>
          <w:color w:val="auto"/>
        </w:rPr>
      </w:pPr>
      <w:r>
        <w:rPr>
          <w:rFonts w:ascii="Arial" w:cs="Arial" w:eastAsia="Arial" w:hAnsi="Arial"/>
          <w:sz w:val="16"/>
          <w:szCs w:val="16"/>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at the time that the Notes and Warrants were issued to him.</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2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 NOTES TO CONSOLIDATED FINANCIAL STATEMENTS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(Dollars in thousands, except share and per share amounts)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September 30, 2021</w:t>
            </w:r>
          </w:p>
        </w:tc>
        <w:tc>
          <w:tcPr>
            <w:tcW w:w="16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4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2,730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carrying amount</w:t>
            </w: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2,296</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80" w:type="dxa"/>
            <w:vAlign w:val="bottom"/>
            <w:gridSpan w:val="2"/>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carrying amount</w:t>
            </w:r>
          </w:p>
        </w:tc>
        <w:tc>
          <w:tcPr>
            <w:tcW w:w="14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FF0FC"/>
          </w:tcPr>
          <w:p>
            <w:pPr>
              <w:spacing w:after="0"/>
              <w:rPr>
                <w:sz w:val="18"/>
                <w:szCs w:val="18"/>
                <w:color w:val="auto"/>
              </w:rPr>
            </w:pPr>
          </w:p>
        </w:tc>
        <w:tc>
          <w:tcPr>
            <w:tcW w:w="58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Current portion of liability component included under short-term debt</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portion of liability component included under long-term debt</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1,666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Liability component total</w:t>
            </w:r>
          </w:p>
        </w:tc>
        <w:tc>
          <w:tcPr>
            <w:tcW w:w="14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2,296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212529"/>
                <w:w w:val="99"/>
              </w:rPr>
              <w:t>(1) Recorded on the condensed consolidated balance sheets as additional paid-in capital.</w:t>
            </w: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and nine months ended September 30, 2021, amortization of debt discount and issuance costs was $49 and $147, respectively and for the three and nine months ended September 30, 2020, amortization of debt discount and issuance costs was $50 and $148, respectively. The following table represents schedule of maturities of principal amount contained in the Notes as of September 30,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6"/>
              </w:rPr>
              <w:t>Principal Amount Maturing</w:t>
            </w: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(Remainder)</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Bridge Loan</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 2021, the Company obtained a bridge loan in the principal amount of $2,000 from Edward D. Bagley (the “Bridge Loan”), an affiliate of the Company.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Bridge Loan to extend the latest maturity date from October 1, 2021 to January 3, 2022. All other terms and conditions of the Bridge Loan remained the same. This Bridge Loan of $2,000 is included under short-term debt.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the PPP Loan included under short-term debt</w:t>
            </w:r>
          </w:p>
        </w:tc>
        <w:tc>
          <w:tcPr>
            <w:tcW w:w="2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Long-term portion of the PPP Loan included under long-term debt</w:t>
            </w:r>
          </w:p>
        </w:tc>
        <w:tc>
          <w:tcPr>
            <w:tcW w:w="2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 total</w:t>
            </w:r>
          </w:p>
        </w:tc>
        <w:tc>
          <w:tcPr>
            <w:tcW w:w="2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80" w:type="dxa"/>
            <w:vAlign w:val="bottom"/>
            <w:vMerge w:val="restart"/>
          </w:tcPr>
          <w:p>
            <w:pPr>
              <w:jc w:val="right"/>
              <w:ind w:right="17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are valued using observable inputs. The following table sets forth the fair value of the financial instruments re-measured by the Company as of September 30, 2021 and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819</w:t>
            </w: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63"/>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nine months ended September 30, 2021 represents income tax expense recorded for jurisdictions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2020.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the first quarter of 2021, we announced two new powerful cameras that enhance the ease and visual quality of online collaboration beyond the capabilities of integrated laptop and PC cameras. With the new ClearOne UNITE® 10, the company’s most affordable camera ever, and the feature-rich ClearOne UNITE 50 4K AF that includes Auto-Framing technology for automatic single- or multi-person capture, everyone can take on the new year with the confidence provided by stunning video that puts them in the best possible light. We recognized that millions of people were expected to use video collaboration tools, for the first time, and the rapid societal shift to home-based and remote work left a lot of people desiring higher quality video solutions to ensure they make a good impression and enjoy reliable, clear and efficient communication. For users who want to upgrade from the basic camera included in their laptop or PC, ClearOne has lowered the barrier of entry with its most affordable webcam ever, the UNITE 10. The small, powerful webcam supports up to 1080p video quality and offers autofocus. The UNITE 10 can capture five-megapixel images with a field of view up to 87 degrees, while major competitors at this price point only achieve 78-degree field of view. The UNITE 10 attaches to any PC or laptop with a simple mounting bracket, and a 1.5m USB-A cable ensures simple connection to most modern computers. The UNITE 10 is also available to dealers and distributors in 20 packs for commercial sale. 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ClearOne’s COLLABORATE® Space, WebEx™, Google Meet, Zoom™, GoToMeeting™, and Microsoft® Teams.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During May 2021, we announced the immediate availability of CONVERGENCE AV Cloud, which significantly expands AV Practitioner recurring revenue opportunities for remote, real-time Management as a Service (MaaS).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July 2021 we introduced UNITE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ClearOne’s COLLABORATE Space and others.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July 2021 we also announced the market introduction of Versa Mediabar,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With a compact design that can be mounted on a wall or attached to a video display, the Versa Mediabar connects via a single USB cable to elevate the soundbar concept into a powerful tool for virtual collaboration that includes AI-enabled auto-framing and people tracking. The Versa All-In-One Mediabar features a built-in 4K Ultra HD camera with a 110-degree ultra wide-angle field of view and a four-element microphone array with 360-degree voice pickup and intelligent DSP that provides acoustic echo cancellation (AEC) and automatic noise reduction to ensure crystal clear audio capture. The camera combines electronic pan, tilt and zoom functions (ePTZ) with artificial intelligence to enable auto-framing and people tracking that keeps the speaker in view even if they move around the room. From huddle spaces and small meeting rooms to executive offices and home offices, the compact Versa Mediabar delivers all the power and clarity needed for daily virtual communications. In addition to its professional-quality audio and video capture, the Versa Mediabar also features a powerful built-in speaker with Bluetooth connectivity that allows it to serve double duty as a fully-featured conferencing solution or a Bluetooth speaker for impromptu calls using any Bluetooth device. These attributes make the Versa Mediabar perfect for popular cloud-based collaboration applications such as Microsoft Teams, Zoom, WebEx, Google Meet, and ClearOne’s COLLABORATE® Space. The Versa Mediabar supports standard UVC commands for control, making it a great addition to existing systems, while dual wall and display mounting options deliver freedom of placement and movement.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During the first nine months of 2021, we continued our efforts, primarily through litigation, to stop the infringement of our strategic patents. 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also continued our programs to cut costs and to speed up product development that we believe will enable us to get back to a growth path.</w:t>
      </w:r>
    </w:p>
    <w:p>
      <w:pPr>
        <w:spacing w:after="0" w:line="18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Overall revenue decreased by 17% in the third quarter of 2021 when compared to the third quarter of 2020, primarily due to a sharp decline in revenues from video products partially offset by increase in revenues from microphones and audio conferencing products. Overall revenue increased by 6% during the nine months ended September 30, 2021 compared to the same period in 2020, primarily due to increase in revenue from microphones, especially the BMA based solutions and audio conferencing products partially offset by a decline in revenues from video products. Revenue from video products was impacted negatively during 2021-Q3 when compared to 2020-Q3 due to lack of demand for video products and personal audio conferencing products at the same level as it was in latter half of 2020 when the demand from work from home and learn from home markets was boosted by stimulus funding through CARES Act.</w:t>
      </w:r>
    </w:p>
    <w:p>
      <w:pPr>
        <w:spacing w:after="0" w:line="15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revenue performance in 2021-Q3 was also impacted negatively due to the raw material supply shortages that have affected the global manufacturing of high tech products as well as due to logistics bottlenecks. Despite the negative impact of COVID-19 and the infringement of our patents by Shure on all professional installed products, our new solutions incorporating Beamforming Microphone Array Ceiling Tile ("BMA-CT") continued to result in overall Beamforming Microphone Array ("BMA") revenue to be significantly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certain of our patents and violates the preliminary injunction. The patent infringement also has negatively impacted directly the revenue from ClearOne’s other products not related to the infringed patents.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gross profit margin decreased to 40.8% during the third quarter of 2021 from 41.8% during the third quarter of 2020. Net loss increased from $1.3 million in the third quarter of 2020 to $2.2 million in the third quarter of 2021. The increase in net loss was mainly due to (a) decrease in absolute gross profit dollars as a result of lower revenue (b) increased amortization costs relating to our capitalized patent defense costs, and (c) increase in trade show related marketing expenses. During the nine months ended September 30, 2021, our absolute gross profit dollars increased to $9.3 million from $9.0 million in the same period in 2020 despite gross profit margin declining to 42.6% from 43.8% due to increase in revenues. During the nine months ended September 30, 2021, net loss increased to $5.4 million compared to $5.0 million during the same period in 2020 mainly due to increased amortization costs relating to our capitalized patent defense costs, partially offset by higher gross profit dollars from higher revenue.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right="1940"/>
        <w:spacing w:after="0" w:line="440"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i w:val="1"/>
          <w:iCs w:val="1"/>
          <w:color w:val="auto"/>
        </w:rPr>
        <w:t>Industry conditions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video products and beamforming microphone arrays, especially BMA-CT and the newly introduced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derive a major portion of our revenue (approximately 38% for the year ended December 31, 2020)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for our video products and personal conferencing products due to the significant expansion of work-from-home market. The extent of COVID-19’s effect on our operational and financial performance will depend on future developments, including the vaccination rate, effectiveness of vaccines especially on novel strains of COVID-19, government regulations, etc., all of which are uncertain and difficult to predict considering the rapidly evolving landscape.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Product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Deferred product revenue decreased to $57 thousand on September 30, 2021 compared to $123 thousand on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Results of Operations for the three and nine months ended September 30, 2021</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and nine months ended September 30, 2021 (“2021-Q3”) ("2021-YTD") and 2020 ("2020-Q3") ("2020-YTD"), respectively, together with the percentage of total revenue which each such item represents: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gridSpan w:val="7"/>
          </w:tcPr>
          <w:p>
            <w:pPr>
              <w:jc w:val="right"/>
              <w:ind w:right="9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700" w:type="dxa"/>
            <w:vAlign w:val="bottom"/>
            <w:gridSpan w:val="7"/>
          </w:tcPr>
          <w:p>
            <w:pPr>
              <w:jc w:val="right"/>
              <w:ind w:right="86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Change 2021 vs</w:t>
            </w:r>
          </w:p>
        </w:tc>
        <w:tc>
          <w:tcPr>
            <w:tcW w:w="240" w:type="dxa"/>
            <w:vAlign w:val="bottom"/>
          </w:tcPr>
          <w:p>
            <w:pPr>
              <w:spacing w:after="0"/>
              <w:rPr>
                <w:sz w:val="17"/>
                <w:szCs w:val="17"/>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Change 2021 vs</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4,141</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4,892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12,487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11,527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4,932</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1,443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5,024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4,475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w:t>
            </w:r>
          </w:p>
        </w:tc>
        <w:tc>
          <w:tcPr>
            <w:tcW w:w="2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(5,019)</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(4,750)</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other income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(5,371)</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(5,005)</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(2,169</w:t>
            </w:r>
          </w:p>
        </w:tc>
        <w:tc>
          <w:tcPr>
            <w:tcW w:w="22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(5,410)</w:t>
            </w:r>
          </w:p>
        </w:tc>
        <w:tc>
          <w:tcPr>
            <w:tcW w:w="2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(5,044)</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revenue decreased to $7.0 million in 2021-Q3 compared to $8.4 million in 2020-Q3 primarily due to a 55% decrease in video products partially offset by increases in microphones revenue by 9% and audio conferencing revenue by 4%. Video products suffered declines in 2021-Q3 compared to 2020-Q3 due to lack of demand for video products and personal audio conferencing products at the same level as it was in 2020-YTD when the demand from work from home and learn from home markets was boosted by stimulus funding through CARES Act. Microphones growth continued to be led by our new solutions incorporating BMA-CT and BMA 360 while our traditional ceiling mics suffered a decline in revenues. Audio Conferencing category as a whole increased mainly due to a strong revenue performance of our professional mixers despite significant decline in revenues from personal audio conferencing products. During the third quarter of 2021, revenues from Americas declined by 45% primarily due to decline in revenues from USA and Canada despite significant revenue growth from Latin America, while revenues from Asia Pacific, including the Middle East, India and Australia grew by 88% primarily due to overall increase in revenues from all regions except Korea, and revenues from Europe and Africa increased by 34% primarily due to significant revenue increases from Northern Europe followed by overall revenue growth in all other regions of Europe and Africa.</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nine months ended September 30, 2021 our revenues increased from $20.5 million to $21.8 million compared to same period in 2020 due to increases in microphones revenue increasing by 27%, and audio conferencing revenue by 7%, partially offset by a decrease in video products revenue by 19%. The increase in revenue from microphones continued to be led by our new solutions incorporating BMA-CT and BMA 360 with wireless microphones also enjoying revenue growth. Audio Conferencing category as a whole increased mainly due to a strong revenue performance by our professional mixers. However other product categories within audio conferencing category suffered revenue declines during 2021-YTD when compared to 2020-YTD. Video products suffered declines in 2021-YTD compared to 2020-YTD due to lack of demand for video products and personal audio conferencing products at the same level as it was in latter half of 2020 when the demand from work from home and learn from home markets was boosted by stimulus funding through CARES Act. During 2021-YTD revenues from Americas declined by 22%, Asia Pacific, including the Middle East, India and Australia increased by 49% and Europe and Africa increased by 78%. Revenues increased from all major regions except USA and Canada during 2021-YTD compared to 2020-YTD with rate of revenue growth from Southern Europe and Latin America far exceeding rate of revenue from other regions.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although there can be no assurance, that we can sustain our revenue growth and return to generating operating profits through our strategic initiatives namely product innovation, cost reduction and defense of our intellectual property.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gross profit margin decreased from 41.8% during 2020-Q3 to 40.8% during 2021-Q3. The gross profit margin was negatively impacted due to increased freight and tariff costs, and inventory obsolescence and scrap costs as a percentage of revenue, partially offset by decrease in material costs and inventory adjustment costs as a percentage of revenue.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gross profit margin decreased from 43.8% during 2020-YTD to 42.6% during 2021-YTD. The gross profit margin decreased primarily due to increased material costs, freight and tariff costs, and inventory obsolescence and scrap costs as a percentage of revenue, partially offset by decrease inventory adjustment costs as a percentage of revenue.</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$0.6 million of wireless microphone-related finished goods and assemblies, $0.5 million of Converge Pro and Beamforming microphone array products, $0.2 million of network media streaming products, $0.3 million of tabletop conferencing products and about $1.0 million of raw materials that will be used primarily for manufacturing professional audio conferencing products. Any business changes that are adverse to these product lines could potentially impact our ability to sell our long-term inventory in addition to our current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$4.9 million for 2021-Q3 compared to $4.7 million for 2020-Q3. Total operating expenses were $14.3 million for 2021-YTD compared to $13.7 million for 2020-YTD.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S&amp;M expenses for 2021-Q3 remained almost unchanged at $1.7 when compared to 2020-Q3. The increases in marketing expenses including trade-show expenses were more than offset by a decline in sales commissions.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S&amp;M expenses for 2021-YTD increased to $5.0 million from $4.9 million for 2020-YTD. The increases in employee sales commissions and marketing expenses were partially offset by decreases in commissions paid to independent reps, travel expenses and shipping costs.</w:t>
      </w:r>
    </w:p>
    <w:p>
      <w:pPr>
        <w:spacing w:after="0" w:line="143"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R&amp;D expenses remained almost the same at $1.5 million for both quarters compared. The increase in R&amp;D project expenses were offset by decreases in legal expenses and employee related expenses.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R&amp;D expenses remained almost the same at $4.3 million for 2021-YTD, as compared to 2020-YTD. The decreases in employee related expenses and legal expenses were offset by increases in R&amp;D project expenses and one-time employment termination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finance and human resources teams.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from $1.4 million in 2020-Q3 to $1.7 million in 2021-Q3. The increase was primarily due to increased amortization costs relating to our capitalized patent defense costs and an increase in insurance expenses partially offset by a decrease in legal expenses.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G&amp;A expenses increased from $4.5 million in 2020-YTD to $5.0 million in 2021-YTD. The increase was primarily due to increased amortization costs relating to our capitalized patent defense costs and increase in insurance expenses partially offset by a decrease in legal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(expense), net includes interest income and foreign currency changes. Other income remained immaterial during the third quarter of 2021 and 2020 and between 2021-YTD and 2020-YTD.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from $0.1 million in 2020-Q3 to $0.15 million in 2021-Q3 due to increased debt during 2021-Q3 compared to 2020-Q3.</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increased to $0.4 million in 2021-YTD compared to $0.3 million in 2020-YTD due to increased debt during 2021-YTD compared to 2020-YTD.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2021-YTD, we did not recognize any benefit from the losses incurred due to setting up of a full valuation allowance. Provision for income taxes recognized for 2021-Q3 and 2021-YTD relates to foreign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LIQUIDITY AND CAPITAL RESOURCES</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September 30, 2021, our cash and cash equivalents were approximately $9.2 million compared to $3.8 million as of December 31, 2020. Our working capital was $23.7 million and $22.2 million as of September 30, 2021 and December 31, 2020, respectively.</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operating activities was approximately $1.5 million in 2021-YTD, an increase of cash used of approximately $1.2 million from $0.3 million of cash used in operating activities in 2020-YTD. The increase in cash outflow was due to a negative change in operating assets and liabilities of $1.0 million, increase in non-cash charges by $0.2 million and an increase in net loss by $0.4 million.</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cash used in investing activities was $4.2 million in 2021-YTD compared to $4.4 million in 2020-YTD, a decrease in cash used of $0.3 million. The decrease in cash used in investing activities was primarily due to a decrease in capitalized patent defense costs by $0.2 million and a decrease in purchase of property and equipment by $0.2 million, offset partially by a decrease in net cash realized from marketable securities of approximately $0.1 million.</w:t>
      </w:r>
    </w:p>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cash provided by financing activities in 2021-YTD was $11.0 million consisting primarily of net proceeds from issue of common stock and warrants for $9.3 million and proceeds from short-term bridge loan of $2.0 million offset by repayment of principal amounts due on senior convertible notes of $0.3 million compared to cash provided by financing activities of $6.3 million in 2020-YTD, which consisted of net proceeds from issue of common stock and warrants for $4.8 million and proceeds of $1.5 million from Paycheck Protection Program.</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 which is 15 to 17 years. During 2021-Q3 we spent $2.1 million on legal costs related to the defense of our patents and capitalized the entire amount.</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$25.7 million from 2016 through September 30,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been actively engaged in preserving cash by suspending our dividend program and allowing our share repurchase program to expire in 2018 and implementing company-wide cost reduction measures. We have also raised additional capital of $9.9 million (net of issuance costs) in 2018 by issuing common stock, $2.7 million (net of issuances costs) in 2019 by issuing senior convertible notes, $1.5 million in April 2020 by borrowing through Paycheck Protection Program, $4.8 million (net of issuances costs) in September 2020 by issuing common stock and warrants, $2.0 million in July 2021 by issuing short-term debt and $9.3 million (net of issuances costs) in September 2021 by issuing common stock and warrants. In addition, we are generating additional cash as our inventory levels are brought down to historical levels.</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November 12,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we had open purchase orders of approximately $6.0 million mostly for purchase of inventory.</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30, 2021, we had inventory totaling $12.5 million, of which non-current inventory accounted for $3.3 million. This compares to total inventories of $15.1 million and non-current inventory of $4.6 million as of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1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Contractual Obligations and Commitments</w:t>
      </w:r>
    </w:p>
    <w:p>
      <w:pPr>
        <w:spacing w:after="0"/>
        <w:rPr>
          <w:sz w:val="20"/>
          <w:szCs w:val="20"/>
          <w:color w:val="auto"/>
        </w:rPr>
      </w:pPr>
      <w:r>
        <w:rPr>
          <w:rFonts w:ascii="Arial" w:cs="Arial" w:eastAsia="Arial" w:hAnsi="Arial"/>
          <w:sz w:val="18"/>
          <w:szCs w:val="18"/>
          <w:color w:val="212529"/>
        </w:rPr>
        <w:t>The following table summarizes our contractual obligations as of September 30, 2021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Payment Due by Period</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Less Than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More than 5</w:t>
            </w:r>
          </w:p>
        </w:tc>
        <w:tc>
          <w:tcPr>
            <w:tcW w:w="120" w:type="dxa"/>
            <w:vAlign w:val="bottom"/>
          </w:tcPr>
          <w:p>
            <w:pPr>
              <w:spacing w:after="0"/>
              <w:rPr>
                <w:sz w:val="17"/>
                <w:szCs w:val="17"/>
                <w:color w:val="auto"/>
              </w:rPr>
            </w:pPr>
          </w:p>
        </w:tc>
      </w:tr>
      <w:tr>
        <w:trPr>
          <w:trHeight w:val="213"/>
        </w:trPr>
        <w:tc>
          <w:tcPr>
            <w:tcW w:w="35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1 Year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1-3 Years</w:t>
            </w: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r>
      <w:tr>
        <w:trPr>
          <w:trHeight w:val="22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92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Short-term bridge loan</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Payroll Protection Plan loan</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September 30, 2021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September 30, 2021.</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September 30, 2021,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involved in litigation against Shure Incorporated (“Shure”) as further described in Part I, Item 3 of the Company’s Annual Report on Form 10-K for the year ended December 31, 2020 (the “Annual Report”), which information is incorporated herein by reference. The following recent developments amend and supplement the disclosure of the ongoing litigation proceedings against Shure as at November 12, 2021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Shure, Incorporated v. ClearOne, Inc., 17-cv-3078 (N.D. of Illinois)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Shure and ClearOne completed supplemental briefing before the district court relating to the Court’s ruling holding Shure in contempt. The Court has not yet issued a ruling on the supplemental briefing. On July 21, 2021, the Federal Circuit dismissed Shure’s appeal of the Court’s ruling holding Shure in contempt.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ClearOne, Inc. v. Shure, Incorporated, 19-cv-02421 (N.D. of Illinois)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2020, ClearOne informed the Court that it would proceed with its advertising-related claims in Delaware rather than Illinois. ClearOne thus filed a Second Amended Complaint removing the prospective economic advantage and trade libel claims. In July 2021, the parties completed briefing on Shure’s early motion to obtain summary judgment and dismissal of ClearOne’s trade secret misappropriation claims. The parties’ claim construction briefing is still pending.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Shure, Incorporated v. ClearOne, Inc., 19-cv-1343 (D. of Delaware)</w:t>
      </w:r>
    </w:p>
    <w:p>
      <w:pPr>
        <w:spacing w:after="0" w:line="21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November 1, 2021, a jury trial commenced in the U.S. District Court for the District of Delaware on Shure’s claim of infringement the sole claim of U.S. Patent No. D865,723 (the “’723 patent”). On the third day of trial, November 3, 2021, a jury returned a verdict in favor of ClearOne on all issues. The jury found that ClearOne had not infringed the ’723 patent and that the ’723 patent was invalid.</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Shortly before trial, Shure dropped its business tort claims against ClearOne, and ClearOne has asked the Court to dismiss Shure’s now withdrawn business tort claims with prejudice. That request is still pending. The Court also severed ClearOne’s business tort claims from the trial of Shure’s ’723 patent infringement claims, and the parties are waiting for the Court to schedule a trial on ClearOne’s business tort claims.</w:t>
      </w:r>
    </w:p>
    <w:p>
      <w:pPr>
        <w:spacing w:after="0" w:line="152"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 xml:space="preserve">Shure’s claim of infringement of U.S Patent No. 9,565,493 is stayed pending ClearOne’s appeal to the U.S. Court of Appeals for the Federal Circuit of the U.S. Patent and Trademark Office’s decision regarding the patentability of several amended claims of that patent in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 That appeal is fully briefed.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gridSpan w:val="11"/>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Promissory Note dated July 2, 2021 (filed as Exhibit 10.1 to the Company’s Current Report on Form 8-K as filed with the SEC on July 9,</w:t>
              </w:r>
            </w:hyperlink>
          </w:p>
        </w:tc>
      </w:tr>
      <w:tr>
        <w:trPr>
          <w:trHeight w:val="196"/>
        </w:trPr>
        <w:tc>
          <w:tcPr>
            <w:tcW w:w="1080" w:type="dxa"/>
            <w:vAlign w:val="bottom"/>
          </w:tcPr>
          <w:p>
            <w:pPr>
              <w:spacing w:after="0"/>
              <w:rPr>
                <w:sz w:val="17"/>
                <w:szCs w:val="17"/>
                <w:color w:val="auto"/>
              </w:rPr>
            </w:pPr>
          </w:p>
        </w:tc>
        <w:tc>
          <w:tcPr>
            <w:tcW w:w="9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2021 and incorporated herein by reference).</w:t>
              </w:r>
            </w:hyperlink>
          </w:p>
        </w:tc>
        <w:tc>
          <w:tcPr>
            <w:tcW w:w="26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120" w:type="dxa"/>
            <w:vAlign w:val="bottom"/>
            <w:tcBorders>
              <w:bottom w:val="single" w:sz="8" w:color="0000EE"/>
            </w:tcBorders>
            <w:gridSpan w:val="10"/>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Securities Purchase Agreement dated September 12, 2021 (filed as Exhibit 10.1 to the Company’s Current Report on Form 8-K as filed with</w:t>
              </w:r>
            </w:hyperlink>
          </w:p>
        </w:tc>
        <w:tc>
          <w:tcPr>
            <w:tcW w:w="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the SEC on September 13, 2021 and incorporated herein by reference).</w:t>
              </w:r>
            </w:hyperlink>
          </w:p>
        </w:tc>
        <w:tc>
          <w:tcPr>
            <w:tcW w:w="5040" w:type="dxa"/>
            <w:vAlign w:val="bottom"/>
            <w:gridSpan w:val="7"/>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100" w:type="dxa"/>
            <w:vAlign w:val="bottom"/>
            <w:tcBorders>
              <w:bottom w:val="single" w:sz="8" w:color="0000EE"/>
            </w:tcBorders>
            <w:gridSpan w:val="9"/>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Registration Rights Agreement dated September 12, 2021 (filed as Exhibit 10.2 to the Company’s Current Report on Form 8-K as filed with</w:t>
              </w:r>
            </w:hyperlink>
          </w:p>
        </w:tc>
        <w:tc>
          <w:tcPr>
            <w:tcW w:w="6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the SEC on September 13, 2021 and incorporated herein by reference).</w:t>
              </w:r>
            </w:hyperlink>
          </w:p>
        </w:tc>
        <w:tc>
          <w:tcPr>
            <w:tcW w:w="5040" w:type="dxa"/>
            <w:vAlign w:val="bottom"/>
            <w:gridSpan w:val="7"/>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11"/>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Amended and Restated Promissory Note dated September 11, 2021 (filed as Exhibit 10.3 to the Company’s Current Report on Form 8-K as</w:t>
              </w:r>
            </w:hyperlink>
          </w:p>
        </w:tc>
      </w:tr>
      <w:tr>
        <w:trPr>
          <w:trHeight w:val="196"/>
        </w:trPr>
        <w:tc>
          <w:tcPr>
            <w:tcW w:w="10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filed with the SEC on September 13, 2021 and incorporated herein by reference).</w:t>
              </w:r>
            </w:hyperlink>
          </w:p>
        </w:tc>
        <w:tc>
          <w:tcPr>
            <w:tcW w:w="418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496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29">
              <w:r>
                <w:rPr>
                  <w:rFonts w:ascii="Arial" w:cs="Arial" w:eastAsia="Arial" w:hAnsi="Arial"/>
                  <w:sz w:val="18"/>
                  <w:szCs w:val="18"/>
                  <w:color w:val="0000FF"/>
                  <w:w w:val="93"/>
                </w:rPr>
                <w:t>Section 302 Certification of Chief Executive Officer (filed herewith)</w:t>
              </w:r>
            </w:hyperlink>
          </w:p>
        </w:tc>
        <w:tc>
          <w:tcPr>
            <w:tcW w:w="20" w:type="dxa"/>
            <w:vAlign w:val="bottom"/>
            <w:tcBorders>
              <w:bottom w:val="single" w:sz="8" w:color="0000EE"/>
            </w:tcBorders>
          </w:tcPr>
          <w:p>
            <w:pPr>
              <w:spacing w:after="0"/>
              <w:rPr>
                <w:sz w:val="24"/>
                <w:szCs w:val="24"/>
                <w:color w:val="auto"/>
              </w:rPr>
            </w:pPr>
          </w:p>
        </w:tc>
        <w:tc>
          <w:tcPr>
            <w:tcW w:w="5180" w:type="dxa"/>
            <w:vAlign w:val="bottom"/>
            <w:gridSpan w:val="8"/>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16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Section 302 Certification of Principal Financial Officer (filed herewith)</w:t>
              </w:r>
            </w:hyperlink>
          </w:p>
        </w:tc>
        <w:tc>
          <w:tcPr>
            <w:tcW w:w="5000" w:type="dxa"/>
            <w:vAlign w:val="bottom"/>
            <w:gridSpan w:val="6"/>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496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Section 906 Certification of Chief Executive Officer (filed herewith)</w:t>
              </w:r>
            </w:hyperlink>
          </w:p>
        </w:tc>
        <w:tc>
          <w:tcPr>
            <w:tcW w:w="20" w:type="dxa"/>
            <w:vAlign w:val="bottom"/>
            <w:tcBorders>
              <w:bottom w:val="single" w:sz="8" w:color="0000EE"/>
            </w:tcBorders>
          </w:tcPr>
          <w:p>
            <w:pPr>
              <w:spacing w:after="0"/>
              <w:rPr>
                <w:sz w:val="24"/>
                <w:szCs w:val="24"/>
                <w:color w:val="auto"/>
              </w:rPr>
            </w:pPr>
          </w:p>
        </w:tc>
        <w:tc>
          <w:tcPr>
            <w:tcW w:w="5180" w:type="dxa"/>
            <w:vAlign w:val="bottom"/>
            <w:gridSpan w:val="8"/>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516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Section 906 Certification of Principal Financial Officer (filed herewith)</w:t>
              </w:r>
            </w:hyperlink>
          </w:p>
        </w:tc>
        <w:tc>
          <w:tcPr>
            <w:tcW w:w="5000" w:type="dxa"/>
            <w:vAlign w:val="bottom"/>
            <w:gridSpan w:val="6"/>
          </w:tcPr>
          <w:p>
            <w:pPr>
              <w:spacing w:after="0"/>
              <w:rPr>
                <w:sz w:val="24"/>
                <w:szCs w:val="24"/>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104.1</w:t>
            </w:r>
          </w:p>
        </w:tc>
        <w:tc>
          <w:tcPr>
            <w:tcW w:w="10160" w:type="dxa"/>
            <w:vAlign w:val="bottom"/>
            <w:gridSpan w:val="11"/>
          </w:tcPr>
          <w:p>
            <w:pPr>
              <w:spacing w:after="0"/>
              <w:rPr>
                <w:sz w:val="20"/>
                <w:szCs w:val="20"/>
                <w:color w:val="auto"/>
              </w:rPr>
            </w:pPr>
            <w:r>
              <w:rPr>
                <w:rFonts w:ascii="Arial" w:cs="Arial" w:eastAsia="Arial" w:hAnsi="Arial"/>
                <w:sz w:val="18"/>
                <w:szCs w:val="18"/>
                <w:color w:val="auto"/>
              </w:rPr>
              <w:t>The cover page of this Quarterly Report on Form 10-Q, formatted in Inline XBRL.</w:t>
            </w:r>
          </w:p>
        </w:tc>
      </w:tr>
      <w:tr>
        <w:trPr>
          <w:trHeight w:val="418"/>
        </w:trPr>
        <w:tc>
          <w:tcPr>
            <w:tcW w:w="1080" w:type="dxa"/>
            <w:vAlign w:val="bottom"/>
          </w:tcPr>
          <w:p>
            <w:pPr>
              <w:spacing w:after="0"/>
              <w:rPr>
                <w:sz w:val="24"/>
                <w:szCs w:val="24"/>
                <w:color w:val="auto"/>
              </w:rPr>
            </w:pPr>
          </w:p>
        </w:tc>
        <w:tc>
          <w:tcPr>
            <w:tcW w:w="4960" w:type="dxa"/>
            <w:vAlign w:val="bottom"/>
            <w:gridSpan w:val="2"/>
          </w:tcPr>
          <w:p>
            <w:pPr>
              <w:ind w:left="44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08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November 12, 2021</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November 12, 2021</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Arial" w:cs="Arial" w:eastAsia="Arial" w:hAnsi="Arial"/>
                <w:sz w:val="18"/>
                <w:szCs w:val="18"/>
                <w:color w:val="auto"/>
              </w:rPr>
              <w:t>28</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68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12, 2021</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12, 2021</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12, 2021</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12, 2021</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44" Type="http://schemas.openxmlformats.org/officeDocument/2006/relationships/hyperlink" Target="http://www.sec.gov/Archives/edgar/data/840715/000175392621000236/ex101_1.htm" TargetMode="External"/><Relationship Id="rId45" Type="http://schemas.openxmlformats.org/officeDocument/2006/relationships/hyperlink" Target="http://www.sec.gov/Archives/edgar/data/840715/000175392621000430/ex101_2.htm" TargetMode="External"/><Relationship Id="rId46" Type="http://schemas.openxmlformats.org/officeDocument/2006/relationships/hyperlink" Target="http://www.sec.gov/Archives/edgar/data/840715/000175392621000430/ex102_3.htm" TargetMode="External"/><Relationship Id="rId47" Type="http://schemas.openxmlformats.org/officeDocument/2006/relationships/hyperlink" Target="http://www.sec.gov/Archives/edgar/data/840715/000175392621000430/ex10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2021-11-12T18:56:09Z</dcterms:created>
  <dcterms:modified xsi:type="dcterms:W3CDTF">2021-11-12T18:56:09Z</dcterms:modified>
</cp:coreProperties>
</file>