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October 29, 2007</w:t>
      </w:r>
    </w:p>
    <w:p>
      <w:pPr>
        <w:spacing w:after="0" w:line="200" w:lineRule="exact"/>
        <w:rPr>
          <w:sz w:val="24"/>
          <w:szCs w:val="24"/>
          <w:color w:val="auto"/>
        </w:rPr>
      </w:pPr>
    </w:p>
    <w:p>
      <w:pPr>
        <w:spacing w:after="0" w:line="2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u w:val="single" w:color="auto"/>
          <w:color w:val="auto"/>
        </w:rPr>
        <w:t>ClearOne Communications,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Utah</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30" w:lineRule="exact"/>
        <w:rPr>
          <w:sz w:val="24"/>
          <w:szCs w:val="24"/>
          <w:color w:val="auto"/>
        </w:rPr>
      </w:pPr>
    </w:p>
    <w:tbl>
      <w:tblPr>
        <w:tblLayout w:type="fixed"/>
        <w:tblInd w:w="1160" w:type="dxa"/>
        <w:tblCellMar>
          <w:top w:w="0" w:type="dxa"/>
          <w:left w:w="0" w:type="dxa"/>
          <w:bottom w:w="0" w:type="dxa"/>
          <w:right w:w="0" w:type="dxa"/>
        </w:tblCellMar>
      </w:tblPr>
      <w:tr>
        <w:trPr>
          <w:trHeight w:val="245"/>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000-17219</w:t>
            </w:r>
          </w:p>
        </w:tc>
        <w:tc>
          <w:tcPr>
            <w:tcW w:w="512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87-0398877</w:t>
            </w:r>
          </w:p>
        </w:tc>
        <w:tc>
          <w:tcPr>
            <w:tcW w:w="0" w:type="dxa"/>
            <w:vAlign w:val="bottom"/>
          </w:tcPr>
          <w:p>
            <w:pPr>
              <w:spacing w:after="0"/>
              <w:rPr>
                <w:sz w:val="1"/>
                <w:szCs w:val="1"/>
                <w:color w:val="auto"/>
              </w:rPr>
            </w:pPr>
          </w:p>
        </w:tc>
      </w:tr>
      <w:tr>
        <w:trPr>
          <w:trHeight w:val="198"/>
        </w:trPr>
        <w:tc>
          <w:tcPr>
            <w:tcW w:w="40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140" w:type="dxa"/>
            <w:vAlign w:val="bottom"/>
          </w:tcPr>
          <w:p>
            <w:pPr>
              <w:spacing w:after="0"/>
              <w:rPr>
                <w:sz w:val="17"/>
                <w:szCs w:val="17"/>
                <w:color w:val="auto"/>
              </w:rPr>
            </w:pPr>
          </w:p>
        </w:tc>
        <w:tc>
          <w:tcPr>
            <w:tcW w:w="39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identification number)</w:t>
            </w:r>
          </w:p>
        </w:tc>
        <w:tc>
          <w:tcPr>
            <w:tcW w:w="0" w:type="dxa"/>
            <w:vAlign w:val="bottom"/>
          </w:tcPr>
          <w:p>
            <w:pPr>
              <w:spacing w:after="0"/>
              <w:rPr>
                <w:sz w:val="1"/>
                <w:szCs w:val="1"/>
                <w:color w:val="auto"/>
              </w:rPr>
            </w:pPr>
          </w:p>
        </w:tc>
      </w:tr>
      <w:tr>
        <w:trPr>
          <w:trHeight w:val="459"/>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5225 Wiley Post Way, Suite 500</w:t>
            </w:r>
          </w:p>
        </w:tc>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00" w:type="dxa"/>
            <w:vAlign w:val="bottom"/>
            <w:tcBorders>
              <w:bottom w:val="single" w:sz="8" w:color="auto"/>
            </w:tcBorders>
          </w:tcPr>
          <w:p>
            <w:pPr>
              <w:spacing w:after="0"/>
              <w:rPr>
                <w:sz w:val="2"/>
                <w:szCs w:val="2"/>
                <w:color w:val="auto"/>
              </w:rPr>
            </w:pPr>
          </w:p>
        </w:tc>
        <w:tc>
          <w:tcPr>
            <w:tcW w:w="5120" w:type="dxa"/>
            <w:vAlign w:val="bottom"/>
            <w:gridSpan w:val="2"/>
            <w:vMerge w:val="restart"/>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84116</w:t>
            </w:r>
          </w:p>
        </w:tc>
        <w:tc>
          <w:tcPr>
            <w:tcW w:w="0" w:type="dxa"/>
            <w:vAlign w:val="bottom"/>
          </w:tcPr>
          <w:p>
            <w:pPr>
              <w:spacing w:after="0"/>
              <w:rPr>
                <w:sz w:val="1"/>
                <w:szCs w:val="1"/>
                <w:color w:val="auto"/>
              </w:rPr>
            </w:pPr>
          </w:p>
        </w:tc>
      </w:tr>
      <w:tr>
        <w:trPr>
          <w:trHeight w:val="223"/>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Salt Lake City, Utah</w:t>
            </w:r>
          </w:p>
        </w:tc>
        <w:tc>
          <w:tcPr>
            <w:tcW w:w="5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4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(801) 975-7200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500" w:hanging="492"/>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0" w:lineRule="exact"/>
        <w:rPr>
          <w:rFonts w:ascii="Times New Roman" w:cs="Times New Roman" w:eastAsia="Times New Roman" w:hAnsi="Times New Roman"/>
          <w:sz w:val="22"/>
          <w:szCs w:val="22"/>
          <w:color w:val="auto"/>
        </w:rPr>
      </w:pPr>
    </w:p>
    <w:p>
      <w:pPr>
        <w:ind w:left="500" w:hanging="492"/>
        <w:spacing w:after="0" w:line="203"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9" w:lineRule="exact"/>
        <w:rPr>
          <w:rFonts w:ascii="Times New Roman" w:cs="Times New Roman" w:eastAsia="Times New Roman" w:hAnsi="Times New Roman"/>
          <w:sz w:val="22"/>
          <w:szCs w:val="22"/>
          <w:color w:val="auto"/>
        </w:rPr>
      </w:pPr>
    </w:p>
    <w:p>
      <w:pPr>
        <w:ind w:left="500" w:hanging="492"/>
        <w:spacing w:after="0" w:line="203"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 w:lineRule="exact"/>
        <w:rPr>
          <w:rFonts w:ascii="Times New Roman" w:cs="Times New Roman" w:eastAsia="Times New Roman" w:hAnsi="Times New Roman"/>
          <w:sz w:val="22"/>
          <w:szCs w:val="22"/>
          <w:color w:val="auto"/>
        </w:rPr>
      </w:pPr>
    </w:p>
    <w:p>
      <w:pPr>
        <w:ind w:left="500" w:hanging="492"/>
        <w:spacing w:after="0" w:line="203"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195580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00" w:right="35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October 29, 2007, ClearOne Communications, Inc. (the “Company”) issued a press release announcing its financial results for the quarter ended September 30, 2007. The full text of the Company’s press release is furnished herewith as Exhibit 99.1.</w:t>
      </w:r>
    </w:p>
    <w:p>
      <w:pPr>
        <w:spacing w:after="0" w:line="18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4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Exhibit No.</w:t>
            </w:r>
          </w:p>
        </w:tc>
        <w:tc>
          <w:tcPr>
            <w:tcW w:w="8220" w:type="dxa"/>
            <w:vAlign w:val="bottom"/>
            <w:tcBorders>
              <w:bottom w:val="single" w:sz="8" w:color="auto"/>
            </w:tcBorders>
          </w:tcPr>
          <w:p>
            <w:pPr>
              <w:ind w:left="3520"/>
              <w:spacing w:after="0"/>
              <w:rPr>
                <w:sz w:val="20"/>
                <w:szCs w:val="20"/>
                <w:color w:val="auto"/>
              </w:rPr>
            </w:pPr>
            <w:r>
              <w:rPr>
                <w:rFonts w:ascii="Times New Roman" w:cs="Times New Roman" w:eastAsia="Times New Roman" w:hAnsi="Times New Roman"/>
                <w:sz w:val="18"/>
                <w:szCs w:val="18"/>
                <w:color w:val="auto"/>
              </w:rPr>
              <w:t>Title of Document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r>
      <w:tr>
        <w:trPr>
          <w:trHeight w:val="176"/>
        </w:trPr>
        <w:tc>
          <w:tcPr>
            <w:tcW w:w="9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80" w:type="dxa"/>
            <w:vAlign w:val="bottom"/>
          </w:tcPr>
          <w:p>
            <w:pPr>
              <w:spacing w:after="0"/>
              <w:rPr>
                <w:sz w:val="15"/>
                <w:szCs w:val="15"/>
                <w:color w:val="auto"/>
              </w:rPr>
            </w:pPr>
          </w:p>
        </w:tc>
        <w:tc>
          <w:tcPr>
            <w:tcW w:w="822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Press Release dated October 29, 2007 captioned “ClearOne Reports Fiscal 2008 First Quarter Results.”</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This Filing</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90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CLEARONE COMMUNICATIONS, INC.</w:t>
            </w:r>
          </w:p>
        </w:tc>
      </w:tr>
      <w:tr>
        <w:trPr>
          <w:trHeight w:val="82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2007</w:t>
            </w:r>
          </w:p>
        </w:tc>
        <w:tc>
          <w:tcPr>
            <w:tcW w:w="790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By:/s/ Greg A. LeClaire</w:t>
            </w:r>
          </w:p>
        </w:tc>
      </w:tr>
      <w:tr>
        <w:trPr>
          <w:trHeight w:val="218"/>
        </w:trPr>
        <w:tc>
          <w:tcPr>
            <w:tcW w:w="3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Greg A. LeClaire</w:t>
            </w:r>
          </w:p>
        </w:tc>
        <w:tc>
          <w:tcPr>
            <w:tcW w:w="436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of Finance</w:t>
            </w:r>
          </w:p>
        </w:tc>
      </w:tr>
      <w:tr>
        <w:trPr>
          <w:trHeight w:val="794"/>
        </w:trPr>
        <w:tc>
          <w:tcPr>
            <w:tcW w:w="354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2" w:name="page3"/>
    <w:bookmarkEnd w:id="2"/>
    <w:p>
      <w:pPr>
        <w:ind w:left="103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99.1</w:t>
      </w:r>
    </w:p>
    <w:p>
      <w:pPr>
        <w:sectPr>
          <w:pgSz w:w="11900" w:h="16838" w:orient="portrait"/>
          <w:cols w:equalWidth="0" w:num="1">
            <w:col w:w="11420"/>
          </w:cols>
          <w:pgMar w:left="240" w:top="522" w:right="239" w:bottom="1440" w:gutter="0" w:footer="0" w:header="0"/>
        </w:sectPr>
      </w:pPr>
    </w:p>
    <w:p>
      <w:pPr>
        <w:spacing w:after="0" w:line="26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Contact: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Communications,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LeClaire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 975-7200</w:t>
      </w:r>
    </w:p>
    <w:p>
      <w:pPr>
        <w:spacing w:after="0" w:line="200" w:lineRule="exact"/>
        <w:rPr>
          <w:sz w:val="20"/>
          <w:szCs w:val="20"/>
          <w:color w:val="auto"/>
        </w:rPr>
      </w:pPr>
    </w:p>
    <w:p>
      <w:pPr>
        <w:sectPr>
          <w:pgSz w:w="11900" w:h="16838" w:orient="portrait"/>
          <w:cols w:equalWidth="0" w:num="2">
            <w:col w:w="8560" w:space="520"/>
            <w:col w:w="2340"/>
          </w:cols>
          <w:pgMar w:left="240" w:top="522" w:right="2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CLEARONE REPORTS FISCAL 2008 FIRST QUARTER RESULTS</w:t>
      </w:r>
    </w:p>
    <w:p>
      <w:pPr>
        <w:sectPr>
          <w:pgSz w:w="11900" w:h="16838" w:orient="portrait"/>
          <w:cols w:equalWidth="0" w:num="1">
            <w:col w:w="11420"/>
          </w:cols>
          <w:pgMar w:left="240" w:top="522" w:right="239" w:bottom="1440" w:gutter="0" w:footer="0" w:header="0"/>
          <w:type w:val="continuous"/>
        </w:sectPr>
      </w:pPr>
    </w:p>
    <w:p>
      <w:pPr>
        <w:spacing w:after="0" w:line="2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Salt Lake City, UT –October 29, 2007 – </w:t>
      </w:r>
      <w:r>
        <w:rPr>
          <w:rFonts w:ascii="Times New Roman" w:cs="Times New Roman" w:eastAsia="Times New Roman" w:hAnsi="Times New Roman"/>
          <w:sz w:val="18"/>
          <w:szCs w:val="18"/>
          <w:color w:val="auto"/>
        </w:rPr>
        <w:t>ClearOne Communications, Inc. (NASDAQ: CLRO) today reported financial results for the first quarter of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2008 ended September 30, 2007.</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 for the first three months of fiscal 2008 amounted to $9.4 million, the same as in the comparable prior year period. Gross profit was $5.1 million, or 54% of revenues, for both the fiscal 2008 and 2007 first quarters. Gross margin as a percentage of revenues in the fiscal 2008 first quarter decreased slightly compared with the two preceding quarters, due to an increase in the company’s reserve for inventory obsolescence required to account for slow-moving inventory and other manufacturing variances.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reported an operating loss for the fiscal 2008 first quarter of $1.1 million after estimating and establishing a $1.8 million accrual for a contingent liability. This compares to operating income of $289,000 in the fiscal 2007 first quarter. Net loss was $924,000, or $0.08 per share, compared to net income of $677,000, or $0.06 per diluted share, for the same period last year.</w:t>
      </w:r>
    </w:p>
    <w:p>
      <w:pPr>
        <w:spacing w:after="0" w:line="20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“Excluding the fiscal 2008 first quarter accrual for the contingent liability, the company would have reported an operating profit and improved bottom line performance compared with the prior year first quarter,” said Zee Hakimoglu, president, chief executive officer and chairman of ClearOne. “This is due, in part, to our continued focus on enhancing operating efficiencies and managing expenses.”</w:t>
      </w:r>
    </w:p>
    <w:p>
      <w:pPr>
        <w:spacing w:after="0" w:line="20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Statement of Financial Accounting Standards No. 5,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ClearOne accrued $1.8 million in its fiscal 2008 first quarter, representing the probable amount that as of the date of the financial statements could be reasonably estimated of its liability, through trial, associated with the advancement of funds related to indemnification agreements with two former officers. As disclosed in July 2007, ClearOne was informed that two of its former officers have been indicted by the United States Attorney’s Office for the District of Utah. The company has been advised that a trial date has been set for January 22, 2008. ClearOne is cooperating fully with the U.S. Attorney’s office in this matter and has been advised that it is neither a target nor a subject of the investigation or indictment.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At September 30, 2007, the company had cash, cash equivalents, and marketable securities of $23.6 million and no long-term debt.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1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http://www.b2i.us/irpass.asp?BzID=509&amp;to=ea&amp;s=0</w:t>
      </w: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4" w:name="page5"/>
    <w:bookmarkEnd w:id="4"/>
    <w:p>
      <w:pPr>
        <w:jc w:val="center"/>
        <w:ind w:left="3200"/>
        <w:spacing w:after="0" w:line="268" w:lineRule="auto"/>
        <w:rPr>
          <w:sz w:val="20"/>
          <w:szCs w:val="20"/>
          <w:color w:val="auto"/>
        </w:rPr>
      </w:pPr>
      <w:r>
        <w:rPr>
          <w:rFonts w:ascii="Times New Roman" w:cs="Times New Roman" w:eastAsia="Times New Roman" w:hAnsi="Times New Roman"/>
          <w:sz w:val="18"/>
          <w:szCs w:val="18"/>
          <w:b w:val="1"/>
          <w:bCs w:val="1"/>
          <w:color w:val="auto"/>
        </w:rPr>
        <w:t>CLEARONE COMMUNICATIONS, INC. AND SUBSIDIARIES CONSOLIDATED BALANCE SHEETS (in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$56 and $54,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Note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Income tax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18" w:lineRule="exact"/>
        <w:rPr>
          <w:sz w:val="20"/>
          <w:szCs w:val="20"/>
          <w:color w:val="auto"/>
        </w:rPr>
      </w:pPr>
    </w:p>
    <w:p>
      <w:pPr>
        <w:jc w:val="center"/>
        <w:ind w:right="618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Receiveable - long-term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20" w:type="dxa"/>
            <w:vAlign w:val="bottom"/>
          </w:tcPr>
          <w:p>
            <w:pPr>
              <w:spacing w:after="0"/>
              <w:rPr>
                <w:sz w:val="18"/>
                <w:szCs w:val="18"/>
                <w:color w:val="auto"/>
              </w:rPr>
            </w:pPr>
          </w:p>
        </w:tc>
        <w:tc>
          <w:tcPr>
            <w:tcW w:w="11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(audited)</w:t>
            </w:r>
          </w:p>
        </w:tc>
      </w:tr>
      <w:tr>
        <w:trPr>
          <w:trHeight w:val="216"/>
        </w:trPr>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18"/>
                <w:szCs w:val="18"/>
                <w:color w:val="auto"/>
              </w:rPr>
            </w:pPr>
          </w:p>
        </w:tc>
        <w:tc>
          <w:tcPr>
            <w:tcW w:w="11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2007</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2007</w:t>
            </w:r>
          </w:p>
        </w:tc>
      </w:tr>
      <w:tr>
        <w:trPr>
          <w:trHeight w:val="630"/>
        </w:trPr>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2,782</w:t>
            </w:r>
          </w:p>
        </w:tc>
      </w:tr>
      <w:tr>
        <w:trPr>
          <w:trHeight w:val="216"/>
        </w:trPr>
        <w:tc>
          <w:tcPr>
            <w:tcW w:w="2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21,102</w:t>
            </w:r>
          </w:p>
        </w:tc>
        <w:tc>
          <w:tcPr>
            <w:tcW w:w="3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19,871</w:t>
            </w:r>
          </w:p>
        </w:tc>
      </w:tr>
      <w:tr>
        <w:trPr>
          <w:trHeight w:val="216"/>
        </w:trPr>
        <w:tc>
          <w:tcPr>
            <w:tcW w:w="2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8,053</w:t>
            </w:r>
          </w:p>
        </w:tc>
        <w:tc>
          <w:tcPr>
            <w:tcW w:w="3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8,025</w:t>
            </w:r>
          </w:p>
        </w:tc>
      </w:tr>
      <w:tr>
        <w:trPr>
          <w:trHeight w:val="216"/>
        </w:trPr>
        <w:tc>
          <w:tcPr>
            <w:tcW w:w="2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2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7,490</w:t>
            </w:r>
          </w:p>
        </w:tc>
        <w:tc>
          <w:tcPr>
            <w:tcW w:w="3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7,263</w:t>
            </w:r>
          </w:p>
        </w:tc>
      </w:tr>
      <w:tr>
        <w:trPr>
          <w:trHeight w:val="216"/>
        </w:trPr>
        <w:tc>
          <w:tcPr>
            <w:tcW w:w="2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326</w:t>
            </w:r>
          </w:p>
        </w:tc>
        <w:tc>
          <w:tcPr>
            <w:tcW w:w="3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r>
      <w:tr>
        <w:trPr>
          <w:trHeight w:val="241"/>
        </w:trPr>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336</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213</w:t>
            </w:r>
          </w:p>
        </w:tc>
      </w:tr>
      <w:tr>
        <w:trPr>
          <w:trHeight w:val="234"/>
        </w:trPr>
        <w:tc>
          <w:tcPr>
            <w:tcW w:w="2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40,101</w:t>
            </w:r>
          </w:p>
        </w:tc>
        <w:tc>
          <w:tcPr>
            <w:tcW w:w="3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38,317</w:t>
            </w:r>
          </w:p>
        </w:tc>
      </w:tr>
      <w:tr>
        <w:trPr>
          <w:trHeight w:val="396"/>
        </w:trPr>
        <w:tc>
          <w:tcPr>
            <w:tcW w:w="20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2,619</w:t>
            </w:r>
          </w:p>
        </w:tc>
        <w:tc>
          <w:tcPr>
            <w:tcW w:w="32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2,694</w:t>
            </w:r>
          </w:p>
        </w:tc>
      </w:tr>
      <w:tr>
        <w:trPr>
          <w:trHeight w:val="216"/>
        </w:trPr>
        <w:tc>
          <w:tcPr>
            <w:tcW w:w="2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r>
      <w:tr>
        <w:trPr>
          <w:trHeight w:val="241"/>
        </w:trPr>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42,729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41,063</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40"/>
        </w:trPr>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1,745</w:t>
            </w:r>
          </w:p>
        </w:tc>
      </w:tr>
      <w:tr>
        <w:trPr>
          <w:trHeight w:val="216"/>
        </w:trPr>
        <w:tc>
          <w:tcPr>
            <w:tcW w:w="2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2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3,411</w:t>
            </w:r>
          </w:p>
        </w:tc>
        <w:tc>
          <w:tcPr>
            <w:tcW w:w="3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1,874</w:t>
            </w:r>
          </w:p>
        </w:tc>
      </w:tr>
      <w:tr>
        <w:trPr>
          <w:trHeight w:val="241"/>
        </w:trPr>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5,875</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4,872</w:t>
            </w:r>
          </w:p>
        </w:tc>
      </w:tr>
      <w:tr>
        <w:trPr>
          <w:trHeight w:val="234"/>
        </w:trPr>
        <w:tc>
          <w:tcPr>
            <w:tcW w:w="2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11,484</w:t>
            </w:r>
          </w:p>
        </w:tc>
        <w:tc>
          <w:tcPr>
            <w:tcW w:w="3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9,151</w:t>
            </w:r>
          </w:p>
        </w:tc>
      </w:tr>
      <w:tr>
        <w:trPr>
          <w:trHeight w:val="396"/>
        </w:trPr>
        <w:tc>
          <w:tcPr>
            <w:tcW w:w="20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816</w:t>
            </w:r>
          </w:p>
        </w:tc>
        <w:tc>
          <w:tcPr>
            <w:tcW w:w="32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2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2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958</w:t>
            </w:r>
          </w:p>
        </w:tc>
        <w:tc>
          <w:tcPr>
            <w:tcW w:w="3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619</w:t>
            </w:r>
          </w:p>
        </w:tc>
      </w:tr>
    </w:tbl>
    <w:p>
      <w:pPr>
        <w:spacing w:after="0" w:line="1" w:lineRule="exact"/>
        <w:rPr>
          <w:sz w:val="20"/>
          <w:szCs w:val="20"/>
          <w:color w:val="auto"/>
        </w:rPr>
      </w:pPr>
    </w:p>
    <w:p>
      <w:pPr>
        <w:sectPr>
          <w:pgSz w:w="11900" w:h="16838" w:orient="portrait"/>
          <w:cols w:equalWidth="0" w:num="2">
            <w:col w:w="8220" w:space="340"/>
            <w:col w:w="2860"/>
          </w:cols>
          <w:pgMar w:left="240" w:top="360" w:right="239" w:bottom="1440" w:gutter="0" w:footer="0" w:header="0"/>
        </w:sectPr>
      </w:pPr>
    </w:p>
    <w:tbl>
      <w:tblPr>
        <w:tblLayout w:type="fixed"/>
        <w:tblInd w:w="0" w:type="dxa"/>
        <w:tblCellMar>
          <w:top w:w="0" w:type="dxa"/>
          <w:left w:w="0" w:type="dxa"/>
          <w:bottom w:w="0" w:type="dxa"/>
          <w:right w:w="0" w:type="dxa"/>
        </w:tblCellMar>
      </w:tblPr>
      <w:tr>
        <w:trPr>
          <w:trHeight w:val="230"/>
        </w:trPr>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13,380</w:t>
            </w: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10,625</w:t>
            </w:r>
          </w:p>
        </w:tc>
      </w:tr>
      <w:tr>
        <w:trPr>
          <w:trHeight w:val="216"/>
        </w:trPr>
        <w:tc>
          <w:tcPr>
            <w:tcW w:w="8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3"/>
        </w:trPr>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29,349</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30,438</w:t>
            </w:r>
          </w:p>
        </w:tc>
      </w:tr>
      <w:tr>
        <w:trPr>
          <w:trHeight w:val="223"/>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42,729</w:t>
            </w:r>
          </w:p>
        </w:tc>
        <w:tc>
          <w:tcPr>
            <w:tcW w:w="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41,063</w:t>
            </w:r>
          </w:p>
        </w:tc>
      </w:tr>
      <w:tr>
        <w:trPr>
          <w:trHeight w:val="361"/>
        </w:trPr>
        <w:tc>
          <w:tcPr>
            <w:tcW w:w="85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CLEARONE COMMUNICATIONS,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8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2007</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9,442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4,299</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5,143</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Marketing and selling</w:t>
            </w:r>
          </w:p>
        </w:tc>
        <w:tc>
          <w:tcPr>
            <w:tcW w:w="3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1,601</w:t>
            </w:r>
          </w:p>
        </w:tc>
        <w:tc>
          <w:tcPr>
            <w:tcW w:w="22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1,756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2,895</w:t>
            </w:r>
          </w:p>
        </w:tc>
        <w:tc>
          <w:tcPr>
            <w:tcW w:w="22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6,252</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(1,109)</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(924)</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10,961,256</w:t>
            </w:r>
          </w:p>
        </w:tc>
        <w:tc>
          <w:tcPr>
            <w:tcW w:w="22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12,184,849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11,072,565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12,231,744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85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6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2019-12-13T18:13:02Z</dcterms:created>
  <dcterms:modified xsi:type="dcterms:W3CDTF">2019-12-13T18:13:02Z</dcterms:modified>
</cp:coreProperties>
</file>