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3880" w:right="3880" w:hanging="3872"/>
        <w:spacing w:after="0" w:line="643" w:lineRule="auto"/>
        <w:tabs>
          <w:tab w:leader="none" w:pos="628"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December 31, 2005</w:t>
      </w: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200" w:type="dxa"/>
            <w:vAlign w:val="bottom"/>
            <w:gridSpan w:val="7"/>
          </w:tcPr>
          <w:p>
            <w:pPr>
              <w:jc w:val="center"/>
              <w:ind w:right="940"/>
              <w:spacing w:after="0"/>
              <w:rPr>
                <w:sz w:val="20"/>
                <w:szCs w:val="20"/>
                <w:color w:val="auto"/>
              </w:rPr>
            </w:pPr>
            <w:r>
              <w:rPr>
                <w:rFonts w:ascii="Arial" w:cs="Arial" w:eastAsia="Arial" w:hAnsi="Arial"/>
                <w:sz w:val="18"/>
                <w:szCs w:val="18"/>
                <w:b w:val="1"/>
                <w:bCs w:val="1"/>
                <w:color w:val="auto"/>
                <w:w w:val="96"/>
              </w:rPr>
              <w:t>OR</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47"/>
        </w:trPr>
        <w:tc>
          <w:tcPr>
            <w:tcW w:w="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840" w:type="dxa"/>
            <w:vAlign w:val="bottom"/>
            <w:gridSpan w:val="8"/>
          </w:tcPr>
          <w:p>
            <w:pPr>
              <w:ind w:left="28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80"/>
        </w:trPr>
        <w:tc>
          <w:tcPr>
            <w:tcW w:w="440" w:type="dxa"/>
            <w:vAlign w:val="bottom"/>
          </w:tcPr>
          <w:p>
            <w:pPr>
              <w:spacing w:after="0"/>
              <w:rPr>
                <w:sz w:val="24"/>
                <w:szCs w:val="24"/>
                <w:color w:val="auto"/>
              </w:rPr>
            </w:pPr>
          </w:p>
        </w:tc>
        <w:tc>
          <w:tcPr>
            <w:tcW w:w="7840" w:type="dxa"/>
            <w:vAlign w:val="bottom"/>
            <w:gridSpan w:val="8"/>
          </w:tcPr>
          <w:p>
            <w:pPr>
              <w:jc w:val="center"/>
              <w:ind w:left="2630"/>
              <w:spacing w:after="0"/>
              <w:rPr>
                <w:sz w:val="20"/>
                <w:szCs w:val="20"/>
                <w:color w:val="auto"/>
              </w:rPr>
            </w:pPr>
            <w:r>
              <w:rPr>
                <w:rFonts w:ascii="Arial" w:cs="Arial" w:eastAsia="Arial" w:hAnsi="Arial"/>
                <w:sz w:val="18"/>
                <w:szCs w:val="18"/>
                <w:color w:val="auto"/>
                <w:w w:val="91"/>
              </w:rPr>
              <w:t>For the transition period from _______________ to _______________</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0" w:type="dxa"/>
            <w:vAlign w:val="bottom"/>
            <w:gridSpan w:val="7"/>
          </w:tcPr>
          <w:p>
            <w:pPr>
              <w:jc w:val="center"/>
              <w:ind w:right="94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000-17219</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CLEARONE COMMUNICATIONS, INC.</w:t>
            </w:r>
          </w:p>
        </w:tc>
        <w:tc>
          <w:tcPr>
            <w:tcW w:w="9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7840" w:type="dxa"/>
            <w:vAlign w:val="bottom"/>
            <w:gridSpan w:val="8"/>
          </w:tcPr>
          <w:p>
            <w:pPr>
              <w:jc w:val="center"/>
              <w:ind w:left="2630"/>
              <w:spacing w:after="0"/>
              <w:rPr>
                <w:sz w:val="20"/>
                <w:szCs w:val="20"/>
                <w:color w:val="auto"/>
              </w:rPr>
            </w:pPr>
            <w:r>
              <w:rPr>
                <w:rFonts w:ascii="Arial" w:cs="Arial" w:eastAsia="Arial" w:hAnsi="Arial"/>
                <w:sz w:val="18"/>
                <w:szCs w:val="18"/>
                <w:color w:val="auto"/>
                <w:w w:val="90"/>
              </w:rPr>
              <w:t>(Exact name of registrant as specified in its charter)</w:t>
            </w: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93"/>
        </w:trPr>
        <w:tc>
          <w:tcPr>
            <w:tcW w:w="440" w:type="dxa"/>
            <w:vAlign w:val="bottom"/>
          </w:tcPr>
          <w:p>
            <w:pPr>
              <w:spacing w:after="0"/>
              <w:rPr>
                <w:sz w:val="24"/>
                <w:szCs w:val="24"/>
                <w:color w:val="auto"/>
              </w:rPr>
            </w:pPr>
          </w:p>
        </w:tc>
        <w:tc>
          <w:tcPr>
            <w:tcW w:w="7840" w:type="dxa"/>
            <w:vAlign w:val="bottom"/>
            <w:gridSpan w:val="8"/>
          </w:tcPr>
          <w:p>
            <w:pPr>
              <w:jc w:val="center"/>
              <w:ind w:right="22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440" w:type="dxa"/>
            <w:vAlign w:val="bottom"/>
            <w:tcBorders>
              <w:top w:val="single" w:sz="8" w:color="auto"/>
            </w:tcBorders>
          </w:tcPr>
          <w:p>
            <w:pPr>
              <w:spacing w:after="0"/>
              <w:rPr>
                <w:sz w:val="17"/>
                <w:szCs w:val="17"/>
                <w:color w:val="auto"/>
              </w:rPr>
            </w:pPr>
          </w:p>
        </w:tc>
        <w:tc>
          <w:tcPr>
            <w:tcW w:w="6020" w:type="dxa"/>
            <w:vAlign w:val="bottom"/>
            <w:tcBorders>
              <w:top w:val="single" w:sz="8" w:color="auto"/>
            </w:tcBorders>
            <w:gridSpan w:val="3"/>
          </w:tcPr>
          <w:p>
            <w:pPr>
              <w:jc w:val="center"/>
              <w:ind w:right="440"/>
              <w:spacing w:after="0" w:line="201" w:lineRule="exact"/>
              <w:rPr>
                <w:sz w:val="20"/>
                <w:szCs w:val="20"/>
                <w:color w:val="auto"/>
              </w:rPr>
            </w:pPr>
            <w:r>
              <w:rPr>
                <w:rFonts w:ascii="Arial" w:cs="Arial" w:eastAsia="Arial" w:hAnsi="Arial"/>
                <w:sz w:val="18"/>
                <w:szCs w:val="18"/>
                <w:color w:val="auto"/>
                <w:w w:val="93"/>
              </w:rPr>
              <w:t>(State or other jurisdiction of</w:t>
            </w: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gridSpan w:val="2"/>
          </w:tcPr>
          <w:p>
            <w:pPr>
              <w:jc w:val="center"/>
              <w:ind w:right="12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0" w:type="dxa"/>
            <w:vAlign w:val="bottom"/>
          </w:tcPr>
          <w:p>
            <w:pPr>
              <w:spacing w:after="0"/>
              <w:rPr>
                <w:sz w:val="20"/>
                <w:szCs w:val="20"/>
                <w:color w:val="auto"/>
              </w:rPr>
            </w:pPr>
          </w:p>
        </w:tc>
        <w:tc>
          <w:tcPr>
            <w:tcW w:w="7840" w:type="dxa"/>
            <w:vAlign w:val="bottom"/>
            <w:gridSpan w:val="8"/>
          </w:tcPr>
          <w:p>
            <w:pPr>
              <w:jc w:val="center"/>
              <w:ind w:right="2260"/>
              <w:spacing w:after="0"/>
              <w:rPr>
                <w:sz w:val="20"/>
                <w:szCs w:val="20"/>
                <w:color w:val="auto"/>
              </w:rPr>
            </w:pPr>
            <w:r>
              <w:rPr>
                <w:rFonts w:ascii="Arial" w:cs="Arial" w:eastAsia="Arial" w:hAnsi="Arial"/>
                <w:sz w:val="18"/>
                <w:szCs w:val="18"/>
                <w:color w:val="auto"/>
                <w:w w:val="93"/>
              </w:rPr>
              <w:t>incorporation or organization)</w:t>
            </w:r>
          </w:p>
        </w:tc>
        <w:tc>
          <w:tcPr>
            <w:tcW w:w="3140" w:type="dxa"/>
            <w:vAlign w:val="bottom"/>
            <w:gridSpan w:val="2"/>
          </w:tcPr>
          <w:p>
            <w:pPr>
              <w:jc w:val="center"/>
              <w:ind w:right="1250"/>
              <w:spacing w:after="0"/>
              <w:rPr>
                <w:sz w:val="20"/>
                <w:szCs w:val="20"/>
                <w:color w:val="auto"/>
              </w:rPr>
            </w:pPr>
            <w:r>
              <w:rPr>
                <w:rFonts w:ascii="Arial" w:cs="Arial" w:eastAsia="Arial" w:hAnsi="Arial"/>
                <w:sz w:val="18"/>
                <w:szCs w:val="18"/>
                <w:color w:val="auto"/>
                <w:w w:val="92"/>
              </w:rPr>
              <w:t>identification number)</w:t>
            </w:r>
          </w:p>
        </w:tc>
      </w:tr>
      <w:tr>
        <w:trPr>
          <w:trHeight w:val="493"/>
        </w:trPr>
        <w:tc>
          <w:tcPr>
            <w:tcW w:w="440" w:type="dxa"/>
            <w:vAlign w:val="bottom"/>
          </w:tcPr>
          <w:p>
            <w:pPr>
              <w:spacing w:after="0"/>
              <w:rPr>
                <w:sz w:val="24"/>
                <w:szCs w:val="24"/>
                <w:color w:val="auto"/>
              </w:rPr>
            </w:pPr>
          </w:p>
        </w:tc>
        <w:tc>
          <w:tcPr>
            <w:tcW w:w="784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1"/>
              </w:rPr>
              <w:t>1825 Research Way, Salt Lake City, Utah</w:t>
            </w:r>
          </w:p>
        </w:tc>
        <w:tc>
          <w:tcPr>
            <w:tcW w:w="314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84119</w:t>
            </w:r>
          </w:p>
        </w:tc>
      </w:tr>
      <w:tr>
        <w:trPr>
          <w:trHeight w:val="230"/>
        </w:trPr>
        <w:tc>
          <w:tcPr>
            <w:tcW w:w="440" w:type="dxa"/>
            <w:vAlign w:val="bottom"/>
            <w:tcBorders>
              <w:top w:val="single" w:sz="8" w:color="auto"/>
            </w:tcBorders>
          </w:tcPr>
          <w:p>
            <w:pPr>
              <w:spacing w:after="0"/>
              <w:rPr>
                <w:sz w:val="20"/>
                <w:szCs w:val="20"/>
                <w:color w:val="auto"/>
              </w:rPr>
            </w:pPr>
          </w:p>
        </w:tc>
        <w:tc>
          <w:tcPr>
            <w:tcW w:w="7840" w:type="dxa"/>
            <w:vAlign w:val="bottom"/>
            <w:tcBorders>
              <w:top w:val="single" w:sz="8" w:color="auto"/>
            </w:tcBorders>
            <w:gridSpan w:val="8"/>
          </w:tcPr>
          <w:p>
            <w:pPr>
              <w:jc w:val="center"/>
              <w:ind w:right="44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58"/>
        </w:trPr>
        <w:tc>
          <w:tcPr>
            <w:tcW w:w="440" w:type="dxa"/>
            <w:vAlign w:val="bottom"/>
          </w:tcPr>
          <w:p>
            <w:pPr>
              <w:spacing w:after="0"/>
              <w:rPr>
                <w:sz w:val="24"/>
                <w:szCs w:val="24"/>
                <w:color w:val="auto"/>
              </w:rPr>
            </w:pPr>
          </w:p>
        </w:tc>
        <w:tc>
          <w:tcPr>
            <w:tcW w:w="7840" w:type="dxa"/>
            <w:vAlign w:val="bottom"/>
            <w:gridSpan w:val="8"/>
          </w:tcPr>
          <w:p>
            <w:pPr>
              <w:jc w:val="center"/>
              <w:ind w:left="26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(801) 975-7200</w:t>
            </w: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83" w:lineRule="exact"/>
        <w:rPr>
          <w:sz w:val="24"/>
          <w:szCs w:val="24"/>
          <w:color w:val="auto"/>
        </w:rPr>
      </w:pPr>
    </w:p>
    <w:p>
      <w:pPr>
        <w:jc w:val="both"/>
        <w:ind w:right="10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320"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4"/>
          <w:szCs w:val="24"/>
          <w:color w:val="auto"/>
        </w:rPr>
      </w:pPr>
    </w:p>
    <w:p>
      <w:pPr>
        <w:spacing w:after="0" w:line="207" w:lineRule="exact"/>
        <w:tabs>
          <w:tab w:leader="none" w:pos="7000" w:val="left"/>
          <w:tab w:leader="none" w:pos="806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CORPORATE REGISTRANTS</w:t>
      </w:r>
    </w:p>
    <w:p>
      <w:pPr>
        <w:spacing w:after="0" w:line="28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12,184,727 shares of the Company’s Common Stock, par value $0.001, outstanding on May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122"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DECEMBER 31, 2005</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Page Number</w:t>
            </w:r>
          </w:p>
        </w:tc>
      </w:tr>
      <w:tr>
        <w:trPr>
          <w:trHeight w:val="439"/>
        </w:trPr>
        <w:tc>
          <w:tcPr>
            <w:tcW w:w="9020" w:type="dxa"/>
            <w:vAlign w:val="bottom"/>
            <w:gridSpan w:val="20"/>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48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gridSpan w:val="12"/>
          </w:tcPr>
          <w:p>
            <w:pPr>
              <w:jc w:val="center"/>
              <w:ind w:right="2200"/>
              <w:spacing w:after="0"/>
              <w:rPr>
                <w:sz w:val="20"/>
                <w:szCs w:val="20"/>
                <w:color w:val="auto"/>
              </w:rPr>
            </w:pPr>
            <w:r>
              <w:rPr>
                <w:rFonts w:ascii="Arial" w:cs="Arial" w:eastAsia="Arial" w:hAnsi="Arial"/>
                <w:sz w:val="18"/>
                <w:szCs w:val="18"/>
                <w:color w:val="auto"/>
                <w:w w:val="98"/>
              </w:rPr>
              <w:t>PART I - FINANCIAL INFORMATION</w:t>
            </w:r>
          </w:p>
        </w:tc>
        <w:tc>
          <w:tcPr>
            <w:tcW w:w="1260" w:type="dxa"/>
            <w:vAlign w:val="bottom"/>
          </w:tcPr>
          <w:p>
            <w:pPr>
              <w:spacing w:after="0"/>
              <w:rPr>
                <w:sz w:val="24"/>
                <w:szCs w:val="24"/>
                <w:color w:val="auto"/>
              </w:rPr>
            </w:pPr>
          </w:p>
        </w:tc>
      </w:tr>
      <w:tr>
        <w:trPr>
          <w:trHeight w:val="48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1260" w:type="dxa"/>
            <w:vAlign w:val="bottom"/>
            <w:shd w:val="clear" w:color="auto" w:fill="CCEEFF"/>
          </w:tcPr>
          <w:p>
            <w:pPr>
              <w:spacing w:after="0"/>
              <w:rPr>
                <w:sz w:val="24"/>
                <w:szCs w:val="24"/>
                <w:color w:val="auto"/>
              </w:rPr>
            </w:pPr>
          </w:p>
        </w:tc>
      </w:tr>
      <w:tr>
        <w:trPr>
          <w:trHeight w:val="44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31, 2005 and June 30, 2005</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46"/>
        </w:trPr>
        <w:tc>
          <w:tcPr>
            <w:tcW w:w="7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74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 for the three months</w:t>
              </w:r>
            </w:hyperlink>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196"/>
        </w:trPr>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December 31, 2005 and 2004 and the six months ended December 31, 2005 and 2004</w:t>
              </w:r>
            </w:hyperlink>
          </w:p>
        </w:tc>
        <w:tc>
          <w:tcPr>
            <w:tcW w:w="12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Shareholders’ Equity for the six months ended December 31, 2005</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7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72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months ended December 31, 2005 and 2004</w:t>
              </w:r>
            </w:hyperlink>
          </w:p>
        </w:tc>
        <w:tc>
          <w:tcPr>
            <w:tcW w:w="180" w:type="dxa"/>
            <w:vAlign w:val="bottom"/>
            <w:tcBorders>
              <w:bottom w:val="single" w:sz="8" w:color="CCEEFF"/>
            </w:tcBorders>
            <w:gridSpan w:val="2"/>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446"/>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446"/>
        </w:trPr>
        <w:tc>
          <w:tcPr>
            <w:tcW w:w="1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1440" w:type="dxa"/>
            <w:vAlign w:val="bottom"/>
            <w:tcBorders>
              <w:top w:val="single" w:sz="8" w:color="CCEEFF"/>
            </w:tcBorders>
            <w:gridSpan w:val="5"/>
          </w:tcPr>
          <w:p>
            <w:pPr>
              <w:spacing w:after="0"/>
              <w:rPr>
                <w:sz w:val="24"/>
                <w:szCs w:val="24"/>
                <w:color w:val="auto"/>
              </w:rPr>
            </w:pPr>
          </w:p>
        </w:tc>
        <w:tc>
          <w:tcPr>
            <w:tcW w:w="12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40</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486"/>
        </w:trPr>
        <w:tc>
          <w:tcPr>
            <w:tcW w:w="7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300" w:type="dxa"/>
            <w:vAlign w:val="bottom"/>
            <w:tcBorders>
              <w:top w:val="single" w:sz="8" w:color="CCEEFF"/>
            </w:tcBorders>
            <w:gridSpan w:val="11"/>
          </w:tcPr>
          <w:p>
            <w:pPr>
              <w:jc w:val="center"/>
              <w:ind w:right="2460"/>
              <w:spacing w:after="0"/>
              <w:rPr>
                <w:sz w:val="20"/>
                <w:szCs w:val="20"/>
                <w:color w:val="auto"/>
              </w:rPr>
            </w:pPr>
            <w:r>
              <w:rPr>
                <w:rFonts w:ascii="Arial" w:cs="Arial" w:eastAsia="Arial" w:hAnsi="Arial"/>
                <w:sz w:val="18"/>
                <w:szCs w:val="18"/>
                <w:color w:val="auto"/>
                <w:w w:val="96"/>
              </w:rPr>
              <w:t>PART II - OTHER INFORMATION</w:t>
            </w:r>
          </w:p>
        </w:tc>
        <w:tc>
          <w:tcPr>
            <w:tcW w:w="1260" w:type="dxa"/>
            <w:vAlign w:val="bottom"/>
            <w:tcBorders>
              <w:top w:val="single" w:sz="8" w:color="CCEEFF"/>
            </w:tcBorders>
          </w:tcPr>
          <w:p>
            <w:pPr>
              <w:spacing w:after="0"/>
              <w:rPr>
                <w:sz w:val="24"/>
                <w:szCs w:val="24"/>
                <w:color w:val="auto"/>
              </w:rPr>
            </w:pPr>
          </w:p>
        </w:tc>
      </w:tr>
      <w:tr>
        <w:trPr>
          <w:trHeight w:val="466"/>
        </w:trPr>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6560" w:type="dxa"/>
            <w:vAlign w:val="bottom"/>
            <w:tcBorders>
              <w:bottom w:val="single" w:sz="8" w:color="CCEEFF"/>
            </w:tcBorders>
            <w:gridSpan w:val="14"/>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446"/>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90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Unregistered Sales of Equity Securities and Use of Proceeds</w:t>
              </w:r>
            </w:hyperlink>
          </w:p>
        </w:tc>
        <w:tc>
          <w:tcPr>
            <w:tcW w:w="3540" w:type="dxa"/>
            <w:vAlign w:val="bottom"/>
            <w:tcBorders>
              <w:bottom w:val="single" w:sz="8" w:color="CCEEFF"/>
            </w:tcBorders>
            <w:gridSpan w:val="7"/>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446"/>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9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Submission of Matters to a Vote of Security Holders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446"/>
        </w:trPr>
        <w:tc>
          <w:tcPr>
            <w:tcW w:w="1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5</w:t>
            </w:r>
          </w:p>
        </w:tc>
        <w:tc>
          <w:tcPr>
            <w:tcW w:w="3760" w:type="dxa"/>
            <w:vAlign w:val="bottom"/>
            <w:tcBorders>
              <w:top w:val="single" w:sz="8" w:color="0000EE"/>
            </w:tcBorders>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4140" w:type="dxa"/>
            <w:vAlign w:val="bottom"/>
            <w:tcBorders>
              <w:top w:val="single" w:sz="8" w:color="CCEEFF"/>
            </w:tcBorders>
            <w:gridSpan w:val="10"/>
          </w:tcPr>
          <w:p>
            <w:pPr>
              <w:spacing w:after="0"/>
              <w:rPr>
                <w:sz w:val="24"/>
                <w:szCs w:val="24"/>
                <w:color w:val="auto"/>
              </w:rPr>
            </w:pPr>
          </w:p>
        </w:tc>
        <w:tc>
          <w:tcPr>
            <w:tcW w:w="12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50</w:t>
            </w:r>
          </w:p>
        </w:tc>
      </w:tr>
      <w:tr>
        <w:trPr>
          <w:trHeight w:val="21"/>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66"/>
        </w:trPr>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6</w:t>
            </w:r>
          </w:p>
        </w:tc>
        <w:tc>
          <w:tcPr>
            <w:tcW w:w="7900" w:type="dxa"/>
            <w:vAlign w:val="bottom"/>
            <w:gridSpan w:val="18"/>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446"/>
        </w:trPr>
        <w:tc>
          <w:tcPr>
            <w:tcW w:w="1120" w:type="dxa"/>
            <w:vAlign w:val="bottom"/>
            <w:tcBorders>
              <w:top w:val="single" w:sz="8" w:color="CCEEFF"/>
            </w:tcBorders>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51</w:t>
            </w: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43" w:lineRule="exact"/>
        <w:rPr>
          <w:sz w:val="20"/>
          <w:szCs w:val="20"/>
          <w:color w:val="auto"/>
        </w:rPr>
      </w:pPr>
    </w:p>
    <w:p>
      <w:pPr>
        <w:jc w:val="center"/>
        <w:ind w:left="600" w:right="460"/>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Quarterly Report on Form 10-Q for the second quarter of the fiscal year ending June 30, 2006 is first being filed in June 2006. Shareholders and others are cautioned that the financial statements included in this report are over five months old and are not necessarily indicative of the operating results that may be expected for the fiscal year ending June 30, 2006. Shareholders and others should also be aware that the staff of the Salt Lake District Office of the Securities and Exchange Commission (“SEC”) intended to 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$49 and $46, 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34,879</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38,021</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8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12,184,727 and 11,264,233 shares issued and outstanding, respectively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w:t>
            </w:r>
          </w:p>
        </w:tc>
      </w:tr>
      <w:tr>
        <w:trPr>
          <w:trHeight w:val="264"/>
        </w:trPr>
        <w:tc>
          <w:tcPr>
            <w:tcW w:w="20" w:type="dxa"/>
            <w:vAlign w:val="bottom"/>
          </w:tcPr>
          <w:p>
            <w:pPr>
              <w:spacing w:after="0"/>
              <w:rPr>
                <w:sz w:val="22"/>
                <w:szCs w:val="22"/>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29,858</w:t>
            </w: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24,911</w:t>
            </w:r>
          </w:p>
        </w:tc>
        <w:tc>
          <w:tcPr>
            <w:tcW w:w="80" w:type="dxa"/>
            <w:vAlign w:val="bottom"/>
            <w:tcBorders>
              <w:top w:val="single" w:sz="8" w:color="CCEEFF"/>
            </w:tcBorders>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38,610</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Product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inventory write-offs</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ind w:left="300"/>
              <w:spacing w:after="0"/>
              <w:rPr>
                <w:sz w:val="20"/>
                <w:szCs w:val="20"/>
                <w:color w:val="auto"/>
              </w:rPr>
            </w:pPr>
            <w:r>
              <w:rPr>
                <w:rFonts w:ascii="Arial" w:cs="Arial" w:eastAsia="Arial" w:hAnsi="Arial"/>
                <w:sz w:val="18"/>
                <w:szCs w:val="18"/>
                <w:color w:val="auto"/>
              </w:rPr>
              <w:t>Total cost of goods sold</w:t>
            </w: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Marketing and selling</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(Loss) income from continuing operations before income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from income taxes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(Loss) income from continuing operations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Comprehensive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20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11"/>
          </w:tcPr>
          <w:p>
            <w:pPr>
              <w:ind w:left="252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364"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99695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COMPREHENSIVE INCOME (LOSS)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20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earnings (loss) per common share from continuing</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6"/>
              </w:rPr>
              <w:t>Diluted earnings (loss) per common share from continuing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5"/>
              </w:rPr>
              <w:t>Basic earnings (loss) per common share from discontinued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(loss) per common share from discontinued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11,147,755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11,734,485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11,091,994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12,195,466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12,353,176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12,230,035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12,364,778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76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8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Deferred</w:t>
            </w: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3"/>
              </w:rPr>
              <w:t>Shareholders'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Compensation</w:t>
            </w:r>
          </w:p>
        </w:tc>
        <w:tc>
          <w:tcPr>
            <w:tcW w:w="14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Deficit)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11,264,233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Shares related</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w w:val="94"/>
              </w:rPr>
              <w:t>shareholder settlement 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920,494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6"/>
              </w:rPr>
              <w:t>SFAS No. 123R compensation cost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Compensation expense resulting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from</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modification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Amortization of deferred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Balances at December 31, 2005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12,184,727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52,238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(22,392)</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Adjustments to reconcile income (loss) from continuing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assets and fixed assets write-offs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accounting adjustment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change in other assets/liabilities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(15,079)</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99695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22"/>
                <w:szCs w:val="22"/>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w:t>
            </w: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condensed consolidated financial statements, consisting of the condensed consolidated balance sheets as of December 31, 2005 and June 30, 2005, the condensed consolidated statements of operations and comprehensive income (loss) for the three months and six months ended December 31, 2005 and 2004, and the condensed consolidated statements of cash flows for the six months ended December 31, 2005 and 2004,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2005.</w:t>
      </w:r>
    </w:p>
    <w:p>
      <w:pPr>
        <w:spacing w:after="0" w:line="23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Policy Update</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condensed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evaluates, at each quarter-end, the inventory in the channel through information provided by certain of its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level of inventory in the channel will fluctuate up or down, each quarter, based upon these distributors’ individual operations. Accordingly, each quarter-end revenue deferral is calculated and recorded based upon the underlying, estimated channel inventory at quarter-end. The amounts of deferred cost of goods sold were included in consigned inventory. The following table details the amount of deferred revenue and cost of goods sold at each period end for the 18-month period ended December 31, 2005.</w:t>
      </w:r>
    </w:p>
    <w:p>
      <w:pPr>
        <w:spacing w:after="0" w:line="23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Cost of</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Deferred</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Goods</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Sold</w:t>
            </w:r>
          </w:p>
        </w:tc>
        <w:tc>
          <w:tcPr>
            <w:tcW w:w="14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Profit</w:t>
            </w:r>
          </w:p>
        </w:tc>
      </w:tr>
      <w:tr>
        <w:trPr>
          <w:trHeight w:val="237"/>
        </w:trPr>
        <w:tc>
          <w:tcPr>
            <w:tcW w:w="39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2,475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March 31,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3,135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2004</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3,697</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Prior to June 30, 2005 and as permitted under the original Statement of Financial Accounting Standards (“SFAS”) No. 123,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compensation cost of its stock options had been determined consistently with the original SFAS No. 123, the Company’s net income and earnings per common share and common share equivalent would have changed to the pro-forma amounts indicated below:</w:t>
      </w:r>
    </w:p>
    <w:p>
      <w:pPr>
        <w:sectPr>
          <w:pgSz w:w="11900" w:h="16838" w:orient="portrait"/>
          <w:cols w:equalWidth="0" w:num="1">
            <w:col w:w="11400"/>
          </w:cols>
          <w:pgMar w:left="240" w:top="391" w:right="259" w:bottom="1440" w:gutter="0" w:footer="0" w:header="0"/>
        </w:sectPr>
      </w:pPr>
    </w:p>
    <w:p>
      <w:pPr>
        <w:spacing w:after="0" w:line="220"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Three Months</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5715</wp:posOffset>
            </wp:positionV>
            <wp:extent cx="866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80"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17145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5715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 w:lineRule="exact"/>
        <w:rPr>
          <w:sz w:val="20"/>
          <w:szCs w:val="20"/>
          <w:color w:val="auto"/>
        </w:rPr>
      </w:pPr>
    </w:p>
    <w:p>
      <w:pPr>
        <w:jc w:val="center"/>
        <w:ind w:right="192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39370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1"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17145</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980" w:space="460"/>
            <w:col w:w="2960"/>
          </w:cols>
          <w:pgMar w:left="240" w:top="391" w:right="259" w:bottom="1440" w:gutter="0" w:footer="0" w:header="0"/>
          <w:type w:val="continuous"/>
        </w:sectPr>
      </w:pPr>
    </w:p>
    <w:tbl>
      <w:tblPr>
        <w:tblLayout w:type="fixed"/>
        <w:tblInd w:w="172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7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13,362</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Stock-based employee compensation expense included in</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reported net loss, net of income taxes</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Stock-based employee compensation expense determined</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2"/>
              </w:rPr>
              <w:t>under the fair-value method of all awards, net of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4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13,037</w:t>
            </w:r>
          </w:p>
        </w:tc>
      </w:tr>
      <w:tr>
        <w:trPr>
          <w:trHeight w:val="20"/>
        </w:trPr>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7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7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9 for information about the Company’s various share-based compensation plans, the impact of adoption of SFAS No. 123R, and the assumptions used to calculate the fair value of share-based compensation.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the Company’s fiscal 2006 financial statements. Management does not believe that the adoption of FSP 143-1 had a material effect on the Company’s business, results of operations, financial position, or liquidity.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beginning with the Company’s fiscal 2006 financial statements. There was not a significant impact on the Company’s business, results of operations, financial position, or liquidity from the adoption of this standard.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2004, the FASB issued Emerging Issues Task Force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that the adoption of this EITF, when the delay is suspended, will have a material impact on its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r>
      <w:tr>
        <w:trPr>
          <w:trHeight w:val="264"/>
        </w:trPr>
        <w:tc>
          <w:tcPr>
            <w:tcW w:w="4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64"/>
        </w:trPr>
        <w:tc>
          <w:tcPr>
            <w:tcW w:w="4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from continuing operations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Gain (loss) on disposal of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7"/>
        </w:trPr>
        <w:tc>
          <w:tcPr>
            <w:tcW w:w="46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13,362</w:t>
            </w:r>
          </w:p>
        </w:tc>
        <w:tc>
          <w:tcPr>
            <w:tcW w:w="12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11,147,755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11,734,485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11,091,994</w:t>
            </w:r>
          </w:p>
        </w:tc>
        <w:tc>
          <w:tcPr>
            <w:tcW w:w="120" w:type="dxa"/>
            <w:vAlign w:val="bottom"/>
          </w:tcPr>
          <w:p>
            <w:pPr>
              <w:spacing w:after="0"/>
              <w:rPr>
                <w:sz w:val="21"/>
                <w:szCs w:val="21"/>
                <w:color w:val="auto"/>
              </w:rPr>
            </w:pPr>
          </w:p>
        </w:tc>
      </w:tr>
      <w:tr>
        <w:trPr>
          <w:trHeight w:val="202"/>
        </w:trPr>
        <w:tc>
          <w:tcPr>
            <w:tcW w:w="4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common stock equivalents using treasury stock</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62"/>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method</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1,205,421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1,272,784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46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12,195,466</w:t>
            </w: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12,353,176</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12,230,035</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12,364,778</w:t>
            </w:r>
          </w:p>
        </w:tc>
        <w:tc>
          <w:tcPr>
            <w:tcW w:w="120" w:type="dxa"/>
            <w:vAlign w:val="bottom"/>
            <w:tcBorders>
              <w:top w:val="single" w:sz="8" w:color="CCEEFF"/>
            </w:tcBorders>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1"/>
                <w:szCs w:val="21"/>
                <w:color w:val="auto"/>
              </w:rPr>
            </w:pPr>
          </w:p>
        </w:tc>
      </w:tr>
      <w:tr>
        <w:trPr>
          <w:trHeight w:val="243"/>
        </w:trPr>
        <w:tc>
          <w:tcPr>
            <w:tcW w:w="46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43"/>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r>
      <w:tr>
        <w:trPr>
          <w:trHeight w:val="243"/>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Options that had an exercise price greater than the average market price of the common shares (“Out-of-the-Money Options”) during the respective period were not included in the computation of diluted earnings per share as the effect would be anti-dilutive. An average total of 1,455,830 and 1,486,097 Out-of-the-Money Options were not included during the three months ended December 31, 2005 and 2004, respectively. An average total of 1,497,497 and 1,608,642 Out-of-the-Money Options were not included during the six months ended December 31, 2005 and 2004, respectively. Warrants to purchase 150,000 shares of common stock were outstanding as of December 31, 2005 and 2004, but were not included in the computation of diluted earnings per share for the three month and six month periods ended December 31, 2005 and 2004,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8). The Company issued 228,000 shares in November 2004 and 920,494 shares in September 2005.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2005, the Company completed the sale of its conferencing services business component to Clarinet, Inc., an affiliate of American Teleconferencing Services, Ltd. doing business as Premiere Conferencing (“Premiere”) and the sale of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Additionally, during fiscal 2001, the Company sold certain assets to Burk Technology, Inc. (“Burk”) whose sales proceeds are included with discontinued operations. Summary operating results of the discontinued operations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c>
          <w:tcPr>
            <w:tcW w:w="80" w:type="dxa"/>
            <w:vAlign w:val="bottom"/>
          </w:tcPr>
          <w:p>
            <w:pPr>
              <w:spacing w:after="0"/>
              <w:rPr>
                <w:sz w:val="22"/>
                <w:szCs w:val="22"/>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42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gain on disposal of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tax provision</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income from discontinued operations, net of income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from discontinued operations,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net of income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in January 2006. Additionally, $1,365 of the proceeds was utilized to pay off equipment leases pertaining to assets being conveyed to Premiere. The Company realized a pre-tax gain on the sale of $17,369 during the six months ended December 31, 2004.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OM Video revenues, reported in discontinued operations, for the three months and six months ended December 31, 2004 were $1,477 and $2,356, respectively. OM Video pre-tax income, reported in discontinued operations, for the three months and six months ended December 31, 2004 was $95 and $54, respectively. OM Video pre-tax gain on disposal, reported in discontinued operations, for the three months and six months ended December 31, 2005 was $150 and $300,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2005, all payments required through such date had been received and $854 of the promissory 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w:t>
      </w:r>
    </w:p>
    <w:p>
      <w:pPr>
        <w:spacing w:after="0" w:line="2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 This gain was recognized beginning in fiscal 2001. The Company realized pre-tax gain on the disposal of discontinued operations of $1,346 during the six months ended December 31, 2005.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December 31, 2005, the Company recorded a benefit from income taxes from continuing operations of $109. This compares to a provision from income taxes of ($198) during the three months ended December 31, 2004. During the six months ended December 31, 2005, the Company recorded a benefit from income taxes from continuing operations of $287. This compares to a benefit from income taxes of $34 during the six months ended December 31, 2004. Taxes are based on the estimated annual effective tax rate.</w:t>
      </w:r>
    </w:p>
    <w:p>
      <w:pPr>
        <w:spacing w:after="0" w:line="2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requires that a valuation allowance be established when it is more likely than not that all or a portion of a deferred tax asset will not be realized. Valuation allowances were recorded in fiscal 2006 and fiscal 2005 due to the uncertainty of realization of the assets. As of December 31, 2005, the Company has recorded a valuation allowance against all of its net deferred tax assets. Based on the Company’s lack of cumulative profitability in recent years it is more likely than not that all of the net deferred tax assets will not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 as of December 31, 2005 and June 30,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7.</w:t>
            </w:r>
          </w:p>
        </w:tc>
        <w:tc>
          <w:tcPr>
            <w:tcW w:w="6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Accrued Liabilities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700" w:type="dxa"/>
            <w:vAlign w:val="bottom"/>
            <w:gridSpan w:val="3"/>
          </w:tcPr>
          <w:p>
            <w:pPr>
              <w:spacing w:after="0"/>
              <w:rPr>
                <w:sz w:val="20"/>
                <w:szCs w:val="20"/>
                <w:color w:val="auto"/>
              </w:rPr>
            </w:pPr>
            <w:r>
              <w:rPr>
                <w:rFonts w:ascii="Arial" w:cs="Arial" w:eastAsia="Arial" w:hAnsi="Arial"/>
                <w:sz w:val="18"/>
                <w:szCs w:val="18"/>
                <w:color w:val="auto"/>
                <w:w w:val="96"/>
              </w:rPr>
              <w:t>Accrued liabilities consist of the following as of December 31, 2005 and June 30, 2005: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20" w:type="dxa"/>
            <w:vAlign w:val="bottom"/>
            <w:gridSpan w:val="2"/>
          </w:tcPr>
          <w:p>
            <w:pPr>
              <w:ind w:left="21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action settlement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5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8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business, results of operations, financial position, or liquidity.</w:t>
      </w:r>
    </w:p>
    <w:p>
      <w:pPr>
        <w:spacing w:after="0" w:line="22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May 31, 2006 and after discussions with legal counsel, the Company does not believe any such other proceedings will have a material, adverse effect on its business, results of operations, financial position, or liquidity, except as described below.</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June 30, 2003, a consolidated complaint was filed against the Company, eight present or former officers and directors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the Company completed its obligations under the settlement agreement by issuing a total of 1,148,494 shares of the Company’s common stock to the plaintiff class, including 228,000 shares previously issued in November 2004 (fiscal 2005),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 The 920,494 shares that were issued on September 29, 2005 were also valued at $2.46 per share.</w:t>
      </w:r>
    </w:p>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 quarterly basis, the Company revalued the un-issued shares to the closing price of the stock on the later of the date the shares were mailed or the last day of the quarter. During the six months ended December 31, 2005 and 2004, the Company received a benefit of $1,205 and $1,754, respectively, related to the revaluation of the 1.2 million shares of the Company’s common stock that were issued in November 2004 and September 2005. During the three months ended December 31, 2004, the Company received a benefit of $734.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generally accepted accounting principles (“GAAP”) and to issue materially misstated financial statements and that Ernst</w:t>
      </w:r>
    </w:p>
    <w:p>
      <w:pPr>
        <w:spacing w:after="0" w:line="2" w:lineRule="exact"/>
        <w:rPr>
          <w:sz w:val="20"/>
          <w:szCs w:val="20"/>
          <w:color w:val="auto"/>
        </w:rPr>
      </w:pPr>
    </w:p>
    <w:p>
      <w:pPr>
        <w:ind w:right="240" w:firstLine="8"/>
        <w:spacing w:after="0" w:line="288" w:lineRule="auto"/>
        <w:tabs>
          <w:tab w:leader="none" w:pos="185"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an SEC complaint described in the Company’s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the Company’s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 in expenses. However, due to the Lumbermans Mutual cash proceeds discussed above and the appeal of the summary judgment discussed below, this potential liability has not been recorded in the balance sheet as of December 31,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Wells Submission. </w:t>
      </w:r>
      <w:r>
        <w:rPr>
          <w:rFonts w:ascii="Arial" w:cs="Arial" w:eastAsia="Arial" w:hAnsi="Arial"/>
          <w:sz w:val="18"/>
          <w:szCs w:val="18"/>
          <w:color w:val="auto"/>
        </w:rPr>
        <w:t>The Company had been advised by the staff of the Salt Lake District Office of the SEC that the staff intended to recommend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primarily consists of the following plans:</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1990 Incentive Plan (the “1990 Plan”) had shares of common stock available for issuance to employees and directors. Provisions of the 1990 Plan included the granting of stock options. Generally, stock options vested over a five-year period at 10 percent, 15 percent, 20 percent, 25 percent, and 30 percent per year. Certain other stock options vested in full after eight years. During the three months ended December 31, 2005, the 30,750 options outstanding under the 1990 Plan expired and were canceled. As of December 31, 2005, there were no options outstanding under the 1990 Plan and no additional options were available for grant under such plan.</w:t>
      </w:r>
    </w:p>
    <w:p>
      <w:pPr>
        <w:spacing w:after="0" w:line="24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also has a 1998 Stock Option Plan (the “1998 Plan”). Provisions of the 1998 Plan include the granting of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through June 2002, 1,248,250 options were granted that would cliff vest after 6.0 years; however, such vesting was accelerated for 300,494 of these options upon meeting certain earnings per share goals through the fiscal year ended June 30, 2005. As of December 31, 2005, 53,600 and 228,685 of these options that cliff vest after 9.8 and 6.0 years, respectively, remain outstanding.</w:t>
      </w:r>
    </w:p>
    <w:p>
      <w:pPr>
        <w:spacing w:after="0" w:line="2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All options have contractual lives of ten years. Under the 1998 Plan, 2,500,000 shares were authorized for grant. The 1998 Plan expires June 10, 2008, or when all the shares available under the plan have been issued if this occurs earlier. As of December 31, 2005, there were 1,389,692 options outstanding under the 1998 Plan and 808,184 options available for grant in the future.</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Employee Stock Purchase Plan: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w:t>
      </w:r>
    </w:p>
    <w:p>
      <w:pPr>
        <w:spacing w:after="0" w:line="242"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condensed consolidated financial statements for the three months and six months ended December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share-based payments granted under SFAS No. 123R and the original SFAS No. 123. The Company uses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w:t>
      </w: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three months and six months ended December 31, 2005 and 2004, the Company used the following assumptions: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120" w:type="dxa"/>
            <w:vAlign w:val="bottom"/>
            <w:gridSpan w:val="3"/>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100" w:type="dxa"/>
            <w:vAlign w:val="bottom"/>
            <w:gridSpan w:val="4"/>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600" w:type="dxa"/>
            <w:vAlign w:val="bottom"/>
          </w:tcPr>
          <w:p>
            <w:pPr>
              <w:spacing w:after="0"/>
              <w:rPr>
                <w:sz w:val="16"/>
                <w:szCs w:val="16"/>
                <w:color w:val="auto"/>
              </w:rPr>
            </w:pPr>
          </w:p>
        </w:tc>
        <w:tc>
          <w:tcPr>
            <w:tcW w:w="9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8"/>
              </w:rPr>
              <w:t>December</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8"/>
              </w:rPr>
              <w:t>December</w:t>
            </w:r>
          </w:p>
        </w:tc>
        <w:tc>
          <w:tcPr>
            <w:tcW w:w="160" w:type="dxa"/>
            <w:vAlign w:val="bottom"/>
          </w:tcPr>
          <w:p>
            <w:pPr>
              <w:spacing w:after="0"/>
              <w:rPr>
                <w:sz w:val="16"/>
                <w:szCs w:val="16"/>
                <w:color w:val="auto"/>
              </w:rPr>
            </w:pPr>
          </w:p>
        </w:tc>
        <w:tc>
          <w:tcPr>
            <w:tcW w:w="94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w w:val="96"/>
              </w:rPr>
              <w:t>December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w w:val="96"/>
              </w:rPr>
              <w:t>December</w:t>
            </w:r>
          </w:p>
        </w:tc>
        <w:tc>
          <w:tcPr>
            <w:tcW w:w="6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0"/>
                <w:szCs w:val="20"/>
                <w:color w:val="auto"/>
              </w:rPr>
            </w:pPr>
          </w:p>
        </w:tc>
      </w:tr>
      <w:tr>
        <w:trPr>
          <w:trHeight w:val="264"/>
        </w:trPr>
        <w:tc>
          <w:tcPr>
            <w:tcW w:w="3600" w:type="dxa"/>
            <w:vAlign w:val="bottom"/>
          </w:tcPr>
          <w:p>
            <w:pPr>
              <w:spacing w:after="0"/>
              <w:rPr>
                <w:sz w:val="22"/>
                <w:szCs w:val="22"/>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1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36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3.8%</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4.4%</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4.1%</w:t>
            </w:r>
          </w:p>
        </w:tc>
        <w:tc>
          <w:tcPr>
            <w:tcW w:w="60" w:type="dxa"/>
            <w:vAlign w:val="bottom"/>
            <w:shd w:val="clear" w:color="auto" w:fill="CCEEFF"/>
          </w:tcPr>
          <w:p>
            <w:pPr>
              <w:spacing w:after="0"/>
              <w:rPr>
                <w:sz w:val="23"/>
                <w:szCs w:val="23"/>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980" w:type="dxa"/>
            <w:vAlign w:val="bottom"/>
          </w:tcPr>
          <w:p>
            <w:pPr>
              <w:ind w:left="220"/>
              <w:spacing w:after="0"/>
              <w:rPr>
                <w:sz w:val="20"/>
                <w:szCs w:val="20"/>
                <w:color w:val="auto"/>
              </w:rPr>
            </w:pPr>
            <w:r>
              <w:rPr>
                <w:rFonts w:ascii="Arial" w:cs="Arial" w:eastAsia="Arial" w:hAnsi="Arial"/>
                <w:sz w:val="18"/>
                <w:szCs w:val="18"/>
                <w:color w:val="auto"/>
                <w:w w:val="99"/>
              </w:rPr>
              <w:t>5.9 years</w:t>
            </w:r>
          </w:p>
        </w:tc>
        <w:tc>
          <w:tcPr>
            <w:tcW w:w="160" w:type="dxa"/>
            <w:vAlign w:val="bottom"/>
          </w:tcPr>
          <w:p>
            <w:pPr>
              <w:spacing w:after="0"/>
              <w:rPr>
                <w:sz w:val="21"/>
                <w:szCs w:val="21"/>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5.8 years</w:t>
            </w:r>
          </w:p>
        </w:tc>
        <w:tc>
          <w:tcPr>
            <w:tcW w:w="160" w:type="dxa"/>
            <w:vAlign w:val="bottom"/>
          </w:tcPr>
          <w:p>
            <w:pPr>
              <w:spacing w:after="0"/>
              <w:rPr>
                <w:sz w:val="21"/>
                <w:szCs w:val="21"/>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w w:val="99"/>
              </w:rPr>
              <w:t>5.9 years</w:t>
            </w:r>
          </w:p>
        </w:tc>
        <w:tc>
          <w:tcPr>
            <w:tcW w:w="16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5.8 years</w:t>
            </w: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87.3%</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92.1%</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87.5%</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92.6%</w:t>
            </w:r>
          </w:p>
        </w:tc>
        <w:tc>
          <w:tcPr>
            <w:tcW w:w="60" w:type="dxa"/>
            <w:vAlign w:val="bottom"/>
            <w:shd w:val="clear" w:color="auto" w:fill="CCEEFF"/>
          </w:tcPr>
          <w:p>
            <w:pPr>
              <w:spacing w:after="0"/>
              <w:rPr>
                <w:sz w:val="23"/>
                <w:szCs w:val="23"/>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1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0.0%</w:t>
            </w:r>
          </w:p>
        </w:tc>
        <w:tc>
          <w:tcPr>
            <w:tcW w:w="60" w:type="dxa"/>
            <w:vAlign w:val="bottom"/>
          </w:tcPr>
          <w:p>
            <w:pPr>
              <w:spacing w:after="0"/>
              <w:rPr>
                <w:sz w:val="23"/>
                <w:szCs w:val="23"/>
                <w:color w:val="auto"/>
              </w:rPr>
            </w:pPr>
          </w:p>
        </w:tc>
      </w:tr>
      <w:tr>
        <w:trPr>
          <w:trHeight w:val="27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forfeiture rate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0.0%</w:t>
            </w:r>
          </w:p>
        </w:tc>
        <w:tc>
          <w:tcPr>
            <w:tcW w:w="11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10.0%</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0.0%</w:t>
            </w:r>
          </w:p>
        </w:tc>
        <w:tc>
          <w:tcPr>
            <w:tcW w:w="60" w:type="dxa"/>
            <w:vAlign w:val="bottom"/>
            <w:shd w:val="clear" w:color="auto" w:fill="CCEEFF"/>
          </w:tcPr>
          <w:p>
            <w:pPr>
              <w:spacing w:after="0"/>
              <w:rPr>
                <w:sz w:val="23"/>
                <w:szCs w:val="23"/>
                <w:color w:val="auto"/>
              </w:rPr>
            </w:pPr>
          </w:p>
        </w:tc>
      </w:tr>
    </w:tbl>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forfeiture rate for options that will cliff vest after 9.8 or 6.0 years to be 38.0 percent and the forfeiture rate for options that vest on 3 or 4-year vesting schedules to be 10.0 percent.</w:t>
      </w:r>
    </w:p>
    <w:p>
      <w:pPr>
        <w:spacing w:after="0" w:line="2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three months ended December 31, 2005, the adoption of SFAS No. 123R resulted in incremental, pre-tax, stock-based compensation cost of $272. For the three months ended December 31, 2005, the Company expensed $12 in cost of goods sold, $26 in marketing and selling, $190 in general and administrative, and $44 in research and development expense related to the transition to SFAS No. 123R. The stock-based compensation cost associated with adoption of SFAS No. 123R reduced net operating income for the three months ended December 31, 2005 by $272, decreased net income by $29, and reduced basic and diluted earnings per share by $0.00 per share. The total income tax provision related to share-based compensation for the three months ended December 31, 2005 was ($243) and was shown as a cash flow from operating activities in our cash flow statement.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0"/>
                <w:szCs w:val="20"/>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5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8"/>
                <w:szCs w:val="18"/>
                <w:b w:val="1"/>
                <w:bCs w:val="1"/>
                <w:color w:val="auto"/>
              </w:rPr>
              <w:t>2005</w:t>
            </w:r>
          </w:p>
        </w:tc>
        <w:tc>
          <w:tcPr>
            <w:tcW w:w="10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8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SFAS</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Compensation</w:t>
            </w: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 Reported</w:t>
            </w:r>
          </w:p>
        </w:tc>
        <w:tc>
          <w:tcPr>
            <w:tcW w:w="20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5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six months ended December 31, 2005, the adoption of SFAS No. 123R resulted in incremental, pre-tax, stock-based compensation cost of $614. For the six months ended December 31, 2005, the Company expensed $24 in cost of goods sold, $50 in marketing and selling, $419 in general and administrative, and $87 in research and development expense, and $34 in other income (expense) related to the transition to SFAS No. 123R. The stock-based compensation cost associated with adoption of SFAS No. 123R reduced net operating income for the six months ended December 31, 2005 by $614, decreased net income by $441, and reduced basic and diluted earnings per share by $0.04 per share. The total income tax provision related to share-based compensation for the six months ended December 31, 2005 was ($173) and was shown as a cash flow from operating activities in our cash flow statement.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jc w:val="center"/>
        <w:ind w:right="-2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20"/>
                <w:szCs w:val="20"/>
                <w:color w:val="auto"/>
              </w:rPr>
            </w:pPr>
          </w:p>
        </w:tc>
      </w:tr>
      <w:tr>
        <w:trPr>
          <w:trHeight w:val="264"/>
        </w:trPr>
        <w:tc>
          <w:tcPr>
            <w:tcW w:w="5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w:t>
            </w:r>
          </w:p>
        </w:tc>
      </w:tr>
      <w:tr>
        <w:trPr>
          <w:trHeight w:val="264"/>
        </w:trPr>
        <w:tc>
          <w:tcPr>
            <w:tcW w:w="5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3"/>
          </w:tcPr>
          <w:p>
            <w:pPr>
              <w:jc w:val="right"/>
              <w:ind w:right="22"/>
              <w:spacing w:after="0"/>
              <w:rPr>
                <w:sz w:val="20"/>
                <w:szCs w:val="20"/>
                <w:color w:val="auto"/>
              </w:rPr>
            </w:pPr>
            <w:r>
              <w:rPr>
                <w:rFonts w:ascii="Arial" w:cs="Arial" w:eastAsia="Arial" w:hAnsi="Arial"/>
                <w:sz w:val="18"/>
                <w:szCs w:val="18"/>
                <w:b w:val="1"/>
                <w:bCs w:val="1"/>
                <w:color w:val="auto"/>
              </w:rPr>
              <w:t>2005</w:t>
            </w:r>
          </w:p>
        </w:tc>
        <w:tc>
          <w:tcPr>
            <w:tcW w:w="10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8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SFAS</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Compensation</w:t>
            </w: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 Reported</w:t>
            </w:r>
          </w:p>
        </w:tc>
        <w:tc>
          <w:tcPr>
            <w:tcW w:w="200" w:type="dxa"/>
            <w:vAlign w:val="bottom"/>
          </w:tcPr>
          <w:p>
            <w:pPr>
              <w:spacing w:after="0"/>
              <w:rPr>
                <w:sz w:val="23"/>
                <w:szCs w:val="2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5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3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60" w:type="dxa"/>
            <w:vAlign w:val="bottom"/>
            <w:tcBorders>
              <w:top w:val="single" w:sz="8" w:color="CCEEFF"/>
            </w:tcBorders>
          </w:tcPr>
          <w:p>
            <w:pPr>
              <w:spacing w:after="0"/>
              <w:rPr>
                <w:sz w:val="20"/>
                <w:szCs w:val="20"/>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60" w:type="dxa"/>
            <w:vAlign w:val="bottom"/>
            <w:tcBorders>
              <w:top w:val="single" w:sz="8" w:color="CCEEFF"/>
            </w:tcBorders>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2,068</w:t>
            </w:r>
          </w:p>
        </w:tc>
        <w:tc>
          <w:tcPr>
            <w:tcW w:w="16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2005, the total compensation cost related to unvested stock options not yet recognized was $1,418, which is expected to be recognized over the next 7.0 years on a straight-line basis.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the stock options granted during the three months ended December 31, 2005 and 2004 was $1.61 and $3.26.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the stock options granted during the six months ended December 31, 2005 and 2004 was $1.86 and $4.03.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six months ended December 31, 2005:</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2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b w:val="1"/>
                <w:bCs w:val="1"/>
                <w:color w:val="auto"/>
              </w:rPr>
              <w:t>Stock Options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3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Term (years)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June 30, 2005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1,493,112</w:t>
            </w:r>
          </w:p>
        </w:tc>
        <w:tc>
          <w:tcPr>
            <w:tcW w:w="1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Expired and canceled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(96,170)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1,389,692</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years</w:t>
            </w:r>
          </w:p>
        </w:tc>
        <w:tc>
          <w:tcPr>
            <w:tcW w:w="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Exercisable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 years</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5"/>
            <w:vMerge w:val="restart"/>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5"/>
            <w:vMerge w:val="continue"/>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2"/>
          </w:tcPr>
          <w:p>
            <w:pPr>
              <w:ind w:left="1420"/>
              <w:spacing w:after="0"/>
              <w:rPr>
                <w:sz w:val="20"/>
                <w:szCs w:val="20"/>
                <w:color w:val="auto"/>
              </w:rPr>
            </w:pPr>
            <w:r>
              <w:rPr>
                <w:rFonts w:ascii="Arial" w:cs="Arial" w:eastAsia="Arial" w:hAnsi="Arial"/>
                <w:sz w:val="18"/>
                <w:szCs w:val="18"/>
                <w:b w:val="1"/>
                <w:bCs w:val="1"/>
                <w:color w:val="auto"/>
                <w:w w:val="94"/>
              </w:rPr>
              <w:t>Non-vested Shares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30, 2005</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802,400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4.73</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1.86</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(142,704)</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3.45</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Expired and canceled</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5.10</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Forfeited prior to vesting</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(96,170)</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5.87</w:t>
            </w: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2005</w:t>
            </w:r>
          </w:p>
        </w:tc>
        <w:tc>
          <w:tcPr>
            <w:tcW w:w="1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556,276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4.72</w:t>
            </w: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Due to the Company’s failure to remain current in its filing of periodic reports with the SEC, employees, executive officers, and directors are currently not allowed to exercise options under the 1998 Plan. Since December 2003, individual grants that had been affected by this situation were modified to extend the exercise period of the option through the date the Company becomes current in its filings with the SEC and options again become exercisable. Since July 1, 2005, modifications of stock option grants include the extension of the post-service exercise period of vested options held by persons who have ceased to remain employed by the Company. Compensation cost is recognized immediately for options that are fully vested on the date of modification. In the three months ended December 31, 2005, the Company expensed $1 in compensation cost associated with these modifications. In the six months ended December 31, 2005, the Company expensed $15 in compensation cost associated with these modifications. These costs are included in the $272 and $614 of SFAS No. 123R compensation expense disclosed above for the three month and six month periods ended December 31, 2005,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2006 and fiscal 2005, all revenue and income (loss) from continuing operations was included in the product segment. Additionally, the United States was the only country to contribute more than 10 percent of total revenues in each fiscal year. The Company’s revenues are substantially denominated in U.S. dollars and are summarized geographically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December</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w:t>
            </w:r>
          </w:p>
        </w:tc>
        <w:tc>
          <w:tcPr>
            <w:tcW w:w="60" w:type="dxa"/>
            <w:vAlign w:val="bottom"/>
          </w:tcPr>
          <w:p>
            <w:pPr>
              <w:spacing w:after="0"/>
              <w:rPr>
                <w:sz w:val="16"/>
                <w:szCs w:val="16"/>
                <w:color w:val="auto"/>
              </w:rPr>
            </w:pPr>
          </w:p>
        </w:tc>
      </w:tr>
      <w:tr>
        <w:trPr>
          <w:trHeight w:val="234"/>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0"/>
                <w:szCs w:val="20"/>
                <w:color w:val="auto"/>
              </w:rPr>
            </w:pPr>
          </w:p>
        </w:tc>
      </w:tr>
      <w:tr>
        <w:trPr>
          <w:trHeight w:val="264"/>
        </w:trPr>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60" w:type="dxa"/>
            <w:vAlign w:val="bottom"/>
            <w:shd w:val="clear" w:color="auto" w:fill="CCEEFF"/>
          </w:tcPr>
          <w:p>
            <w:pPr>
              <w:spacing w:after="0"/>
              <w:rPr>
                <w:sz w:val="21"/>
                <w:szCs w:val="2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All other countries</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60" w:type="dxa"/>
            <w:vAlign w:val="bottom"/>
          </w:tcPr>
          <w:p>
            <w:pPr>
              <w:spacing w:after="0"/>
              <w:rPr>
                <w:sz w:val="23"/>
                <w:szCs w:val="23"/>
                <w:color w:val="auto"/>
              </w:rPr>
            </w:pPr>
          </w:p>
        </w:tc>
      </w:tr>
      <w:tr>
        <w:trPr>
          <w:trHeight w:val="27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were disclosed separately in the consolidated statements of operations. The impairment charge consisted of an immediate impairment of certain property and equipment of $180 that had value to the Company while it manufactured product but that was not purchased by Third Party Manufacturer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Company’s restructuring charge liabilities during the six months ended December 31, 2005:</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Facilities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37"/>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43"/>
        </w:trPr>
        <w:tc>
          <w:tcPr>
            <w:tcW w:w="4380" w:type="dxa"/>
            <w:vAlign w:val="bottom"/>
          </w:tcPr>
          <w:p>
            <w:pPr>
              <w:ind w:left="320"/>
              <w:spacing w:after="0"/>
              <w:rPr>
                <w:sz w:val="20"/>
                <w:szCs w:val="20"/>
                <w:color w:val="auto"/>
              </w:rPr>
            </w:pPr>
            <w:r>
              <w:rPr>
                <w:rFonts w:ascii="Arial" w:cs="Arial" w:eastAsia="Arial" w:hAnsi="Arial"/>
                <w:sz w:val="18"/>
                <w:szCs w:val="18"/>
                <w:color w:val="auto"/>
              </w:rPr>
              <w:t>Utilized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140" w:type="dxa"/>
            <w:vAlign w:val="bottom"/>
            <w:gridSpan w:val="2"/>
          </w:tcPr>
          <w:p>
            <w:pPr>
              <w:jc w:val="center"/>
              <w:ind w:left="570"/>
              <w:spacing w:after="0"/>
              <w:rPr>
                <w:sz w:val="20"/>
                <w:szCs w:val="20"/>
                <w:color w:val="auto"/>
              </w:rPr>
            </w:pPr>
            <w:r>
              <w:rPr>
                <w:rFonts w:ascii="Arial" w:cs="Arial" w:eastAsia="Arial" w:hAnsi="Arial"/>
                <w:sz w:val="18"/>
                <w:szCs w:val="18"/>
                <w:color w:val="auto"/>
                <w:w w:val="87"/>
              </w:rPr>
              <w:t>(59)</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75"/>
        </w:trPr>
        <w:tc>
          <w:tcPr>
            <w:tcW w:w="4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Sublease payments received</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2005</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center"/>
              <w:ind w:left="710"/>
              <w:spacing w:after="0"/>
              <w:rPr>
                <w:sz w:val="20"/>
                <w:szCs w:val="20"/>
                <w:color w:val="auto"/>
              </w:rPr>
            </w:pPr>
            <w:r>
              <w:rPr>
                <w:rFonts w:ascii="Arial" w:cs="Arial" w:eastAsia="Arial" w:hAnsi="Arial"/>
                <w:sz w:val="18"/>
                <w:szCs w:val="18"/>
                <w:color w:val="auto"/>
                <w:w w:val="89"/>
              </w:rPr>
              <w:t>36</w:t>
            </w: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August 1, 2005, the Company entered into a Manufacturing Agreement with TPM pursuant to which the Company agreed to outsource its Salt Lake City manufacturing operations. The parties also entered into a one-year sublease for approximately 12,000 square feet of manufacturing space located in the Company's headquarters in Salt Lake City, Utah. TPM paid $11 per month under the sublease through May 31, 2006 when the sublease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3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Sale of OM Video. </w:t>
      </w:r>
      <w:r>
        <w:rPr>
          <w:rFonts w:ascii="Arial" w:cs="Arial" w:eastAsia="Arial" w:hAnsi="Arial"/>
          <w:sz w:val="18"/>
          <w:szCs w:val="18"/>
          <w:color w:val="auto"/>
        </w:rPr>
        <w:t>As of December 31, 2005, all payments due under the note receivable through such date had been received and $854 of the promissory</w:t>
      </w:r>
      <w:r>
        <w:rPr>
          <w:rFonts w:ascii="Arial" w:cs="Arial" w:eastAsia="Arial" w:hAnsi="Arial"/>
          <w:sz w:val="18"/>
          <w:szCs w:val="18"/>
          <w:i w:val="1"/>
          <w:iCs w:val="1"/>
          <w:color w:val="auto"/>
        </w:rPr>
        <w:t xml:space="preserve"> </w:t>
      </w:r>
      <w:r>
        <w:rPr>
          <w:rFonts w:ascii="Arial" w:cs="Arial" w:eastAsia="Arial" w:hAnsi="Arial"/>
          <w:sz w:val="18"/>
          <w:szCs w:val="18"/>
          <w:color w:val="auto"/>
        </w:rPr>
        <w:t>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Sale of Conferencing Services. </w:t>
      </w:r>
      <w:r>
        <w:rPr>
          <w:rFonts w:ascii="Arial" w:cs="Arial" w:eastAsia="Arial" w:hAnsi="Arial"/>
          <w:sz w:val="17"/>
          <w:szCs w:val="17"/>
          <w:color w:val="auto"/>
        </w:rPr>
        <w:t>In January 2006, the Company received the $1,000 in the Indemnity Escrow account from Premiere. (see Note 4.)</w:t>
      </w:r>
    </w:p>
    <w:p>
      <w:pPr>
        <w:spacing w:after="0" w:line="29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Settlement Agreement and Release</w:t>
      </w:r>
      <w:r>
        <w:rPr>
          <w:rFonts w:ascii="Arial" w:cs="Arial" w:eastAsia="Arial" w:hAnsi="Arial"/>
          <w:sz w:val="16"/>
          <w:szCs w:val="16"/>
          <w:color w:val="auto"/>
        </w:rPr>
        <w:t>. The Company entered into a settlement agreement and release with its former Vice-President - Human Resources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$93.3 and her surrender and delivery to the Company of 145,000 stock options (86,853 of which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2005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of goods sold could differ from actual amounts, we believe that our calculations are indicative of actual levels of inventory in the distribution channel. As of December 31, 2004, the Company deferred $3.9 million in revenue and $1.6 million in cost of goods sold related to products sold where return rights had not lapsed. As of December 31, 2005, the Company deferred $4.9 million in revenue and $2.2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18-month period ended December 31, 2005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tbl>
      <w:tblPr>
        <w:tblLayout w:type="fixed"/>
        <w:tblInd w:w="23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Cost of</w:t>
            </w: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Deferred</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Goods</w:t>
            </w:r>
          </w:p>
        </w:tc>
        <w:tc>
          <w:tcPr>
            <w:tcW w:w="14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Sold</w:t>
            </w:r>
          </w:p>
        </w:tc>
        <w:tc>
          <w:tcPr>
            <w:tcW w:w="14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Profit</w:t>
            </w:r>
          </w:p>
        </w:tc>
      </w:tr>
      <w:tr>
        <w:trPr>
          <w:trHeight w:val="237"/>
        </w:trPr>
        <w:tc>
          <w:tcPr>
            <w:tcW w:w="39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2,475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March 31, 2005</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3,135</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September 30, 2004</w:t>
            </w:r>
          </w:p>
        </w:tc>
        <w:tc>
          <w:tcPr>
            <w:tcW w:w="1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5,617</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3,697</w:t>
            </w: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2004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3,726</w:t>
            </w:r>
          </w:p>
        </w:tc>
      </w:tr>
    </w:tbl>
    <w:p>
      <w:pPr>
        <w:spacing w:after="0" w:line="25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our second and fourth quarters. Our camera product line revenue is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and six months ended December 31, 2005 and 2004</w:t>
      </w:r>
    </w:p>
    <w:p>
      <w:pPr>
        <w:spacing w:after="0" w:line="28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(in thousands) for the three months and six months ended December 31, 2005 and 2004, together with the percentage of total revenue which each such item represents: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Six Months Ended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23"/>
                <w:szCs w:val="23"/>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100.0%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8,692</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15,439</w:t>
            </w:r>
          </w:p>
        </w:tc>
        <w:tc>
          <w:tcPr>
            <w:tcW w:w="8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100.0%</w:t>
            </w:r>
          </w:p>
        </w:tc>
        <w:tc>
          <w:tcPr>
            <w:tcW w:w="140" w:type="dxa"/>
            <w:vAlign w:val="bottom"/>
            <w:shd w:val="clear" w:color="auto" w:fill="CCEEFF"/>
          </w:tcPr>
          <w:p>
            <w:pPr>
              <w:spacing w:after="0"/>
              <w:rPr>
                <w:sz w:val="23"/>
                <w:szCs w:val="23"/>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3"/>
                <w:szCs w:val="23"/>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0"/>
              </w:rPr>
              <w:t>51.1%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3"/>
                <w:szCs w:val="23"/>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45.4%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9,588</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49.9%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7,745</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50.2%</w:t>
            </w:r>
          </w:p>
        </w:tc>
        <w:tc>
          <w:tcPr>
            <w:tcW w:w="140" w:type="dxa"/>
            <w:vAlign w:val="bottom"/>
          </w:tcPr>
          <w:p>
            <w:pPr>
              <w:spacing w:after="0"/>
              <w:rPr>
                <w:sz w:val="23"/>
                <w:szCs w:val="23"/>
                <w:color w:val="auto"/>
              </w:rPr>
            </w:pPr>
          </w:p>
        </w:tc>
      </w:tr>
      <w:tr>
        <w:trPr>
          <w:trHeight w:val="20"/>
        </w:trPr>
        <w:tc>
          <w:tcPr>
            <w:tcW w:w="3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48.9%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54.6%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9,614</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50.1%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7,694</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49.8%</w:t>
            </w:r>
          </w:p>
        </w:tc>
        <w:tc>
          <w:tcPr>
            <w:tcW w:w="14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37"/>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26.9%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18.9%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28.7%</w:t>
            </w:r>
          </w:p>
        </w:tc>
        <w:tc>
          <w:tcPr>
            <w:tcW w:w="14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3"/>
                <w:szCs w:val="23"/>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0"/>
              </w:rPr>
              <w:t>15.1%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16.0%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3,228</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16.8%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2,823</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18.3%</w:t>
            </w:r>
          </w:p>
        </w:tc>
        <w:tc>
          <w:tcPr>
            <w:tcW w:w="1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-6.3%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(1,754)</w:t>
            </w:r>
          </w:p>
        </w:tc>
        <w:tc>
          <w:tcPr>
            <w:tcW w:w="8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-11.4%</w:t>
            </w:r>
          </w:p>
        </w:tc>
        <w:tc>
          <w:tcPr>
            <w:tcW w:w="14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3"/>
                <w:szCs w:val="23"/>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0"/>
              </w:rPr>
              <w:t>18.4%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3"/>
                <w:szCs w:val="23"/>
                <w:color w:val="auto"/>
              </w:rPr>
            </w:pP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93"/>
              </w:rPr>
              <w:t>14.7%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3,577</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18.6%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2,387</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15.5%</w:t>
            </w:r>
          </w:p>
        </w:tc>
        <w:tc>
          <w:tcPr>
            <w:tcW w:w="140" w:type="dxa"/>
            <w:vAlign w:val="bottom"/>
          </w:tcPr>
          <w:p>
            <w:pPr>
              <w:spacing w:after="0"/>
              <w:rPr>
                <w:sz w:val="23"/>
                <w:szCs w:val="23"/>
                <w:color w:val="auto"/>
              </w:rPr>
            </w:pPr>
          </w:p>
        </w:tc>
      </w:tr>
      <w:tr>
        <w:trPr>
          <w:trHeight w:val="20"/>
        </w:trPr>
        <w:tc>
          <w:tcPr>
            <w:tcW w:w="3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52.1%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49.2%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48.0%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7,883</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51.1%</w:t>
            </w:r>
          </w:p>
        </w:tc>
        <w:tc>
          <w:tcPr>
            <w:tcW w:w="14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820" w:type="dxa"/>
            <w:vAlign w:val="bottom"/>
          </w:tcPr>
          <w:p>
            <w:pPr>
              <w:jc w:val="center"/>
              <w:ind w:left="50"/>
              <w:spacing w:after="0"/>
              <w:rPr>
                <w:sz w:val="20"/>
                <w:szCs w:val="20"/>
                <w:color w:val="auto"/>
              </w:rPr>
            </w:pPr>
            <w:r>
              <w:rPr>
                <w:rFonts w:ascii="Arial" w:cs="Arial" w:eastAsia="Arial" w:hAnsi="Arial"/>
                <w:sz w:val="18"/>
                <w:szCs w:val="18"/>
                <w:color w:val="auto"/>
                <w:w w:val="93"/>
              </w:rPr>
              <w:t>-3.2%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93"/>
              </w:rPr>
              <w:t>-1.2%</w:t>
            </w:r>
          </w:p>
        </w:tc>
        <w:tc>
          <w:tcPr>
            <w:tcW w:w="14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1.9%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0.6%</w:t>
            </w:r>
          </w:p>
        </w:tc>
        <w:tc>
          <w:tcPr>
            <w:tcW w:w="140" w:type="dxa"/>
            <w:vAlign w:val="bottom"/>
            <w:shd w:val="clear" w:color="auto" w:fill="CCEEFF"/>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3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6"/>
              </w:rPr>
              <w:t>Income (loss) from continuing operations before</w:t>
            </w: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820" w:type="dxa"/>
            <w:vAlign w:val="bottom"/>
          </w:tcPr>
          <w:p>
            <w:pPr>
              <w:jc w:val="center"/>
              <w:ind w:left="50"/>
              <w:spacing w:after="0"/>
              <w:rPr>
                <w:sz w:val="20"/>
                <w:szCs w:val="20"/>
                <w:color w:val="auto"/>
              </w:rPr>
            </w:pPr>
            <w:r>
              <w:rPr>
                <w:rFonts w:ascii="Arial" w:cs="Arial" w:eastAsia="Arial" w:hAnsi="Arial"/>
                <w:sz w:val="18"/>
                <w:szCs w:val="18"/>
                <w:color w:val="auto"/>
                <w:w w:val="93"/>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749</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3.9%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93"/>
              </w:rPr>
              <w:t>-0.6%</w:t>
            </w:r>
          </w:p>
        </w:tc>
        <w:tc>
          <w:tcPr>
            <w:tcW w:w="1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from income taxes</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1.5%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0.2%</w:t>
            </w:r>
          </w:p>
        </w:tc>
        <w:tc>
          <w:tcPr>
            <w:tcW w:w="14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20" w:type="dxa"/>
            <w:vAlign w:val="bottom"/>
          </w:tcPr>
          <w:p>
            <w:pPr>
              <w:jc w:val="center"/>
              <w:ind w:left="50"/>
              <w:spacing w:after="0"/>
              <w:rPr>
                <w:sz w:val="20"/>
                <w:szCs w:val="20"/>
                <w:color w:val="auto"/>
              </w:rPr>
            </w:pPr>
            <w:r>
              <w:rPr>
                <w:rFonts w:ascii="Arial" w:cs="Arial" w:eastAsia="Arial" w:hAnsi="Arial"/>
                <w:sz w:val="18"/>
                <w:szCs w:val="18"/>
                <w:color w:val="auto"/>
                <w:w w:val="93"/>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1,036</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5.4%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40" w:type="dxa"/>
            <w:vAlign w:val="bottom"/>
          </w:tcPr>
          <w:p>
            <w:pPr>
              <w:jc w:val="center"/>
              <w:ind w:left="70"/>
              <w:spacing w:after="0"/>
              <w:rPr>
                <w:sz w:val="20"/>
                <w:szCs w:val="20"/>
                <w:color w:val="auto"/>
              </w:rPr>
            </w:pPr>
            <w:r>
              <w:rPr>
                <w:rFonts w:ascii="Arial" w:cs="Arial" w:eastAsia="Arial" w:hAnsi="Arial"/>
                <w:sz w:val="18"/>
                <w:szCs w:val="18"/>
                <w:color w:val="auto"/>
                <w:w w:val="93"/>
              </w:rPr>
              <w:t>-0.4%</w:t>
            </w:r>
          </w:p>
        </w:tc>
        <w:tc>
          <w:tcPr>
            <w:tcW w:w="14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discontinued operations, net of tax</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5.4%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13,419</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86.9%</w:t>
            </w:r>
          </w:p>
        </w:tc>
        <w:tc>
          <w:tcPr>
            <w:tcW w:w="14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37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92"/>
              </w:rPr>
              <w:t>0.8%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800" w:type="dxa"/>
            <w:vAlign w:val="bottom"/>
          </w:tcPr>
          <w:p>
            <w:pPr>
              <w:jc w:val="center"/>
              <w:ind w:left="30"/>
              <w:spacing w:after="0"/>
              <w:rPr>
                <w:sz w:val="20"/>
                <w:szCs w:val="20"/>
                <w:color w:val="auto"/>
              </w:rPr>
            </w:pPr>
            <w:r>
              <w:rPr>
                <w:rFonts w:ascii="Arial" w:cs="Arial" w:eastAsia="Arial" w:hAnsi="Arial"/>
                <w:sz w:val="18"/>
                <w:szCs w:val="18"/>
                <w:color w:val="auto"/>
                <w:w w:val="87"/>
              </w:rPr>
              <w:t>4.7%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2,068</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10.8%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13,362</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86.5%</w:t>
            </w:r>
          </w:p>
        </w:tc>
        <w:tc>
          <w:tcPr>
            <w:tcW w:w="1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revenue increased 11.3 percent from the three months ended December 31, 2004 to the three months ended December 31, 2005 and 24.4 percent from the six months ended December 31, 2004 to the six months ended December 31, 2005. During the six months ended December 31, 2005 and 2004, we introduced several new products in our products segment, including expansion of our MAX® tabletop audio conferencing products; our RAV™ audio conferencing systems; and our conferencing peripherals, including the AccuMic® product line. For the three months and six months ended December 31, 2005 our settlement in shareholders’ class action expense decreased $734 and $549, respectively, over the same periods in fiscal 2005 due to a quarterly mark-to-market adjustment of the liability associated with our December 2003 settlement agreement, while research and development expense for the three months and six months ended December 31, 2005 increased primarily due to salaries and benefit-related costs, including compensation cost related to SFAS No. 123R, over the same periods in fiscal 2005. Our marketing and selling costs also decreased during the three and six months ended December 31, 2005 over the same periods in fiscal 2005 primarily due to the cost savings associated with the closing of our Germany sales office. Our income (loss) from continuing operations before income taxes increased approximately $653,000 for the three months and $840,000 for the six months ended December 31, 2005 over the same periods in fiscal 2005.</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is a discussion of our results of operations for our three and six months ended December 31, 2005 and 2004. All items are discussed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Three Months Ended December 31, 2005 (“Second Quarter of Fiscal 2006”)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Compared to Three Months Ended December 31, 2004 (“Second Quarter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revenues were $9.7 million for the three months ended December 31, 2005 compared to revenues of $8.7 million for the three months ended December 31, 2004. Total revenues increased $983,000, or 11.3 percent, in the three months ended December 31, 2005 compared to the three months ended December</w:t>
      </w:r>
    </w:p>
    <w:p>
      <w:pPr>
        <w:ind w:right="260"/>
        <w:spacing w:after="0" w:line="255" w:lineRule="auto"/>
        <w:rPr>
          <w:sz w:val="20"/>
          <w:szCs w:val="20"/>
          <w:color w:val="auto"/>
        </w:rPr>
      </w:pPr>
      <w:r>
        <w:rPr>
          <w:rFonts w:ascii="Arial" w:cs="Arial" w:eastAsia="Arial" w:hAnsi="Arial"/>
          <w:sz w:val="18"/>
          <w:szCs w:val="18"/>
          <w:color w:val="auto"/>
        </w:rPr>
        <w:t>31, 2004. The increase in revenue was mostly due to continued growth in professional audio conferencing products sales of approximately $550,000 and premium and tabletop conferencing products sales of approximately $850,000, partially offset by reduced camera product sales of approximately $175,000 and decreased sales in other product lines of approximately $200,000.</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three months ended December 31, 2005 and 2004, the net change in deferred revenue based on the net movement of inventory in the channel was a net (deferral) recognition of ($88,000) and $1.8 million in revenue, respectively.</w:t>
      </w:r>
    </w:p>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three months ended December 31, 2005 and 2004.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 Ended December 31,</w:t>
            </w:r>
          </w:p>
        </w:tc>
      </w:tr>
      <w:tr>
        <w:trPr>
          <w:trHeight w:val="234"/>
        </w:trPr>
        <w:tc>
          <w:tcPr>
            <w:tcW w:w="3360" w:type="dxa"/>
            <w:vAlign w:val="bottom"/>
          </w:tcPr>
          <w:p>
            <w:pPr>
              <w:spacing w:after="0"/>
              <w:rPr>
                <w:sz w:val="20"/>
                <w:szCs w:val="20"/>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(by individual unit)</w:t>
            </w:r>
          </w:p>
        </w:tc>
      </w:tr>
      <w:tr>
        <w:trPr>
          <w:trHeight w:val="223"/>
        </w:trPr>
        <w:tc>
          <w:tcPr>
            <w:tcW w:w="336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3,610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2,599</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Premium and tabletop conferencing</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5,193</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2,352</w:t>
            </w:r>
          </w:p>
        </w:tc>
      </w:tr>
    </w:tbl>
    <w:p>
      <w:pPr>
        <w:spacing w:after="0" w:line="2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revenues from sales outside of the United States accounted for 24.4 percent of total revenue for the three months ended December 31, 2005 and 27.5 percent of total revenue for the three months ended December 31, 2004.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8"/>
          </w:tcPr>
          <w:p>
            <w:pPr>
              <w:jc w:val="center"/>
              <w:ind w:right="170"/>
              <w:spacing w:after="0"/>
              <w:rPr>
                <w:sz w:val="20"/>
                <w:szCs w:val="20"/>
                <w:color w:val="auto"/>
              </w:rPr>
            </w:pPr>
            <w:r>
              <w:rPr>
                <w:rFonts w:ascii="Arial" w:cs="Arial" w:eastAsia="Arial" w:hAnsi="Arial"/>
                <w:sz w:val="18"/>
                <w:szCs w:val="18"/>
                <w:b w:val="1"/>
                <w:bCs w:val="1"/>
                <w:color w:val="auto"/>
                <w:w w:val="90"/>
              </w:rPr>
              <w:t>Three Months Ended December 31,</w:t>
            </w:r>
          </w:p>
        </w:tc>
        <w:tc>
          <w:tcPr>
            <w:tcW w:w="2280" w:type="dxa"/>
            <w:vAlign w:val="bottom"/>
          </w:tcPr>
          <w:p>
            <w:pPr>
              <w:spacing w:after="0"/>
              <w:rPr>
                <w:sz w:val="20"/>
                <w:szCs w:val="20"/>
                <w:color w:val="auto"/>
              </w:rPr>
            </w:pPr>
          </w:p>
        </w:tc>
      </w:tr>
      <w:tr>
        <w:trPr>
          <w:trHeight w:val="270"/>
        </w:trPr>
        <w:tc>
          <w:tcPr>
            <w:tcW w:w="23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7"/>
              </w:rPr>
              <w:t>(in thousands)</w:t>
            </w:r>
          </w:p>
        </w:tc>
        <w:tc>
          <w:tcPr>
            <w:tcW w:w="880" w:type="dxa"/>
            <w:vAlign w:val="bottom"/>
            <w:tcBorders>
              <w:bottom w:val="single" w:sz="8" w:color="auto"/>
            </w:tcBorders>
          </w:tcPr>
          <w:p>
            <w:pPr>
              <w:spacing w:after="0"/>
              <w:rPr>
                <w:sz w:val="23"/>
                <w:szCs w:val="23"/>
                <w:color w:val="auto"/>
              </w:rPr>
            </w:pPr>
          </w:p>
        </w:tc>
        <w:tc>
          <w:tcPr>
            <w:tcW w:w="2280" w:type="dxa"/>
            <w:vAlign w:val="bottom"/>
          </w:tcPr>
          <w:p>
            <w:pPr>
              <w:spacing w:after="0"/>
              <w:rPr>
                <w:sz w:val="23"/>
                <w:szCs w:val="23"/>
                <w:color w:val="auto"/>
              </w:rPr>
            </w:pPr>
          </w:p>
        </w:tc>
      </w:tr>
      <w:tr>
        <w:trPr>
          <w:trHeight w:val="264"/>
        </w:trPr>
        <w:tc>
          <w:tcPr>
            <w:tcW w:w="23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2004</w:t>
            </w:r>
          </w:p>
        </w:tc>
        <w:tc>
          <w:tcPr>
            <w:tcW w:w="2280" w:type="dxa"/>
            <w:vAlign w:val="bottom"/>
          </w:tcPr>
          <w:p>
            <w:pPr>
              <w:spacing w:after="0"/>
              <w:rPr>
                <w:sz w:val="22"/>
                <w:szCs w:val="22"/>
                <w:color w:val="auto"/>
              </w:rPr>
            </w:pPr>
          </w:p>
        </w:tc>
      </w:tr>
      <w:tr>
        <w:trPr>
          <w:trHeight w:val="191"/>
        </w:trPr>
        <w:tc>
          <w:tcPr>
            <w:tcW w:w="2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2280" w:type="dxa"/>
            <w:vAlign w:val="bottom"/>
          </w:tcPr>
          <w:p>
            <w:pPr>
              <w:spacing w:after="0"/>
              <w:rPr>
                <w:sz w:val="16"/>
                <w:szCs w:val="16"/>
                <w:color w:val="auto"/>
              </w:rPr>
            </w:pPr>
          </w:p>
        </w:tc>
      </w:tr>
      <w:tr>
        <w:trPr>
          <w:trHeight w:val="234"/>
        </w:trPr>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2280" w:type="dxa"/>
            <w:vAlign w:val="bottom"/>
          </w:tcPr>
          <w:p>
            <w:pPr>
              <w:spacing w:after="0"/>
              <w:rPr>
                <w:sz w:val="20"/>
                <w:szCs w:val="20"/>
                <w:color w:val="auto"/>
              </w:rPr>
            </w:pPr>
          </w:p>
        </w:tc>
      </w:tr>
      <w:tr>
        <w:trPr>
          <w:trHeight w:val="237"/>
        </w:trPr>
        <w:tc>
          <w:tcPr>
            <w:tcW w:w="5240" w:type="dxa"/>
            <w:vAlign w:val="bottom"/>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10"/>
        </w:trPr>
        <w:tc>
          <w:tcPr>
            <w:tcW w:w="2300" w:type="dxa"/>
            <w:vAlign w:val="bottom"/>
          </w:tcPr>
          <w:p>
            <w:pPr>
              <w:spacing w:after="0"/>
              <w:rPr>
                <w:sz w:val="24"/>
                <w:szCs w:val="2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4,943</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3,948</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45.4%</w:t>
            </w:r>
          </w:p>
        </w:tc>
        <w:tc>
          <w:tcPr>
            <w:tcW w:w="2280" w:type="dxa"/>
            <w:vAlign w:val="bottom"/>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2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80" w:type="dxa"/>
            <w:vAlign w:val="bottom"/>
          </w:tcPr>
          <w:p>
            <w:pPr>
              <w:spacing w:after="0"/>
              <w:rPr>
                <w:sz w:val="19"/>
                <w:szCs w:val="19"/>
                <w:color w:val="auto"/>
              </w:rPr>
            </w:pPr>
          </w:p>
        </w:tc>
      </w:tr>
      <w:tr>
        <w:trPr>
          <w:trHeight w:val="310"/>
        </w:trPr>
        <w:tc>
          <w:tcPr>
            <w:tcW w:w="2300" w:type="dxa"/>
            <w:vAlign w:val="bottom"/>
          </w:tcPr>
          <w:p>
            <w:pPr>
              <w:spacing w:after="0"/>
              <w:rPr>
                <w:sz w:val="24"/>
                <w:szCs w:val="2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4,732</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4,744</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54.6%</w:t>
            </w:r>
          </w:p>
        </w:tc>
        <w:tc>
          <w:tcPr>
            <w:tcW w:w="2280" w:type="dxa"/>
            <w:vAlign w:val="bottom"/>
          </w:tcPr>
          <w:p>
            <w:pPr>
              <w:spacing w:after="0"/>
              <w:rPr>
                <w:sz w:val="24"/>
                <w:szCs w:val="24"/>
                <w:color w:val="auto"/>
              </w:rPr>
            </w:pPr>
          </w:p>
        </w:tc>
      </w:tr>
      <w:tr>
        <w:trPr>
          <w:trHeight w:val="927"/>
        </w:trPr>
        <w:tc>
          <w:tcPr>
            <w:tcW w:w="2300" w:type="dxa"/>
            <w:vAlign w:val="bottom"/>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color w:val="auto"/>
              </w:rPr>
              <w:t>30</w:t>
            </w:r>
          </w:p>
        </w:tc>
        <w:tc>
          <w:tcPr>
            <w:tcW w:w="14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03"/>
        </w:trPr>
        <w:tc>
          <w:tcPr>
            <w:tcW w:w="230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COGS increased by $995,000, or 25.2 percent, to $4.9 million for the three months ended December 31, 2005 compared with $3.9 million for the three months ended December 31, 2004. The increase in COGS from the three months ended December 31, 2004 to the three months ended December 31, 2005 was primarily attributable to $983,000 or 11.3 percent increase in total revenue partially offset by an incremental deferral of $137,000 less during the three months ended December 31, 2005 versus the three months ended December 31, 2004 in the deferred COGS where return rights had not lapsed. We also had a $47,000 decrease in our write off of product inventory.</w:t>
      </w:r>
    </w:p>
    <w:p>
      <w:pPr>
        <w:spacing w:after="0" w:line="2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COGS for the three months ended December 31, 2005 and 2004, include $174,000 and $311,000 in net decreases related to the deferral of product revenue from the respective deferral at September 30, 2005 and 2004 because return rights had not lapsed.</w:t>
      </w:r>
    </w:p>
    <w:p>
      <w:pPr>
        <w:spacing w:after="0" w:line="2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gross profit from continuing operations was $4.7 million, or 48.9 percent of revenue, for the three months ended December 31, 2005 compared to $4.7 million, or 54.6 percent of revenue, for the three months ended December 31, 2004. The decrease in gross profit is mostly due to the change in deferred gross profit from a net increase in gross profit of $1.4 million during the three months ended December 31, 2004 to a net reduction in gross profit of ($262,000) during the three months ended December 31, 2005 and the increase in revenue mix from sales of premium and tabletop conferencing products which have a lower gross profit margin than our professional conferencing products. The change in gross profit was also negatively impacted by reduced prices on certain end-of-life products. During the past six quarters, the gross profit percentage has ranged from a high of 55.6 percent in the three months ended June 30, 2005 to a low of 43.7 percent for the three months ended September 30, 2004. We believe quarterly fluctuations will continue to occur based upon actual product mix. We anticipate that the decline in gross profit percentage from the fourth quarter of fiscal 2005 level will continue in our near-term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operating expenses were $5.0 million for the three months ended December 31, 2005, an increase of $768,000, or 18.0 percent, from $4.3 million for the three months ended December 31, 2004. The increase in operating expenses from the levels for the three months ended December 31, 2004 to the levels for the three months ended December 31, 2005 is primarily related to the elimination of benefit related to the settlement in the shareholders’ class action, increased research and product development expenses, and the introduction of compensation cost related the SFAS No. 123R, partially offset by decreased spending in marketing and selling. The following is a more detailed discussion of expenses related to marketing and selling, general and administrative, settlement in shareholders’ class action, and research and product development.</w:t>
      </w:r>
    </w:p>
    <w:p>
      <w:pPr>
        <w:spacing w:after="0" w:line="22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Total marketing and selling expenses decreased $531,000, or 22.7 percent, to $1.8 million for the three months ended December 31, 2005 compared with the three months ended December 31, 2004 expenses of $2.3 million. As a percentage of revenues, marketing and selling expenses were 18.7 percent for the three months ended December 31, 2005 and 26.9 percent for the three months ended December 31, 2004. The decrease in marketing and selling expenses from the three months ended December 31, 2004 to the three months ended December 31, 2005 was primarily attributable to a decrease in employee related expenses of $48,000, a decrease in our international sales offices of $436,000, and a decrease of approximately $73,000 of other marketing and selling expenses that were partially offset by the addition of SFAS No. 123R compensation cost of $26,000.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1" w:name="page32"/>
    <w:bookmarkEnd w:id="31"/>
    <w:p>
      <w:pPr>
        <w:ind w:right="60"/>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increased $69,000, or 5.0 percent, to $1.5 million for the three months ended December 31, 2005 compared with the three months ended December 31, 2004 expenses of $1.4 million. As a percentage of revenues, G&amp;A expenses were 15.1 percent for the three months ended December 31, 2005 and 16.0 percent for the three months ended December 31, 2004. A summary of our general and administrative expenses are as follows:</w:t>
      </w:r>
    </w:p>
    <w:p>
      <w:pPr>
        <w:spacing w:after="0" w:line="208"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December 31,</w:t>
      </w:r>
    </w:p>
    <w:p>
      <w:pPr>
        <w:spacing w:after="0" w:line="45"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12350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7"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w:t>
            </w: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OM Video G&amp;A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(SEC investigation and subsequent litigation)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23"/>
                <w:szCs w:val="23"/>
                <w:color w:val="auto"/>
              </w:rPr>
            </w:pP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attribute the decrease in G&amp;A as a percentage of revenues to 15.1 percent for the three months ended December 31, 2005 from 16.0 percent for the three months ended December 31, 2004 mostly due to the 11.3 percent increase in revenue. The increase in actual expenses is mainly due to the addition of SFAS No. 123R compensation cost of $190,000 and an increase in professional fees, including accounting and audit fees, of $102,000 partially offset by a $185,000 decrease in SEC investigation and subsequent litigation related fees and a $38,000 decrease in other G&amp;A expense.</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We attribute the decrease in benefit for 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as a percentage of revenue to 0.0 percent for the three months ended December 31, 2005 from (8.4) percent for the three months ended December 31, 2004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reflects the current liability amount associated with the 1.2 million shares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2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$496,000, or 38.7 percent, to $1.8 million for the three months ended December 31, 2005 compared with the three months ended December 31, 2004 expenses of $1.3 million. As a percentage of revenues, research and product development expenses were 18.4 percent for the three months ended December 31, 2005 and 14.7 percent for the three months ended December 31, 2004. The increase in product development expenses from the three months ended December 31, 2004 to the three months ended December 31, 2005 was due to ongoing research and product development efforts and the addition of SFAS No. 123R compensation cost of $44,000.</w:t>
      </w:r>
    </w:p>
    <w:p>
      <w:pPr>
        <w:spacing w:after="0" w:line="2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For the three months ended December 31, 2005, our operating loss increased $780,000, or 167.0 percent, to ($313,000) on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$9.7 million, from an operating income of $467,000 on revenue of $8.7 million for the three months ended December 31, 2004. As discussed above, the most significant factors affecting this increase in operating loss were an increase in research and product development expenses of $496,000 and an increase in general and administrative expenses of $69,000 partially offset by a decrease in settlement in shareholders’ class action benefit of $734,000 and a decrease in marketing and selling expenses of $531,000.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ind w:right="2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$191,000 for the three months ended December 31, 2005, an increase of $127,000, or 198.4 percent, from income of $64,000 for the three months ended December 31, 2004. The increase in other income for the three months ended December 31, 2005 over the same period in fiscal 2004 was primarily due to an increase in interest income associated with our marketable securities and a decrease in interest expense related to our Oracle system-related note payable.</w:t>
      </w:r>
    </w:p>
    <w:p>
      <w:pPr>
        <w:spacing w:after="0" w:line="23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Income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(Loss) from continuing operations increased $653,000, or 123.0 percent to ($122,000)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 months ended December 31, 2005 compared with the three months ended December 31, 2004 income from continuing operations of $531,000. As a percentage of revenues, income (loss) from continuing operations was (1.3) percent for the three months ended December 31, 2005 and 6.1 percent for the three months ended December 31, 2004. We attribute the change in income to the results of operations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(provision) from income taxes</w:t>
      </w:r>
      <w:r>
        <w:rPr>
          <w:rFonts w:ascii="Arial" w:cs="Arial" w:eastAsia="Arial" w:hAnsi="Arial"/>
          <w:sz w:val="17"/>
          <w:szCs w:val="17"/>
          <w:color w:val="auto"/>
        </w:rPr>
        <w:t>. Benefit (provision) from income taxes from continuing operations was $109,000 for the three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and ($198,000) for the three months ended December 31, 2004. The change from a provision during the three months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2004 to a benefit during the three months ended December 31, 2005 is mostly due to the increase in loss from continuing operations before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discussed above. Given the Company’s history of consecutive years of losses from continuing operations, we followed the guidance of SFAS No. 109,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recorded a valuation allowance against certain deferred tax assets where it is not considered more likely than not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will be realized. As of December 31, 2005, we have fully reserved against our net deferred tax assets.</w:t>
      </w:r>
    </w:p>
    <w:p>
      <w:pPr>
        <w:spacing w:after="0" w:line="26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payments on our note receivable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our Canadian audiovisual integration services business which was sold on March 4, 2005 and the loss from discontinued operations related to our Canadian audiovisual integration services. The income from discontinued operations was $94,000 for the three months ended December 31, 2005, an increase of $21,000 or 28.8 percent, from $73,000 for the three months ended December 31, 2004.</w:t>
      </w:r>
    </w:p>
    <w:p>
      <w:pPr>
        <w:spacing w:after="0" w:line="22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received payments on our OM Video note receivable, net of tax, of $94,000 for the three months ended December 31, 2005 while OM Video services income, net of tax, was $73,000 for the three months ended December 31, 2004. OM Video audiovisual integration services business revenue was $1.5 million for the three months ended December 31, 2004.</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December 31, 2005 (“First and Second Quarters of Fiscal 2006”)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Six Months Ended December 31, 2004 (“First and Second Quarters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revenues were $19.2 million for the six months ended December 31, 2005 compared to revenues of $15.4 million for the six months ended December 31, 2004. Total revenues increased $3.8 million, or 24.4 percent, in the six months ended December 31, 2005 compared to the six months ended December 31,</w:t>
      </w:r>
    </w:p>
    <w:p>
      <w:pPr>
        <w:spacing w:after="0" w:line="290" w:lineRule="auto"/>
        <w:rPr>
          <w:sz w:val="20"/>
          <w:szCs w:val="20"/>
          <w:color w:val="auto"/>
        </w:rPr>
      </w:pPr>
      <w:r>
        <w:rPr>
          <w:rFonts w:ascii="Arial" w:cs="Arial" w:eastAsia="Arial" w:hAnsi="Arial"/>
          <w:sz w:val="17"/>
          <w:szCs w:val="17"/>
          <w:color w:val="auto"/>
        </w:rPr>
        <w:t>2004. The increase in revenue was due to continued growth in professional audio conferencing products sales of approximately $1.8 million and premium and tabletop conferencing products sales of approximately $1.9 million, and increased sales in other product lines of approximately $100,000.</w:t>
      </w:r>
    </w:p>
    <w:p>
      <w:pPr>
        <w:spacing w:after="0" w:line="2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six months ended December 31, 2005 and 2004, the net change in deferred revenue based on the net movement of inventory in the channel was a net recognition of $119,000 and $2.2 million in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3" w:name="page34"/>
    <w:bookmarkEnd w:id="33"/>
    <w:p>
      <w:pPr>
        <w:ind w:right="14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six months ended December 31, 2005 and 2004.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 December 31,</w:t>
            </w:r>
          </w:p>
        </w:tc>
      </w:tr>
      <w:tr>
        <w:trPr>
          <w:trHeight w:val="234"/>
        </w:trPr>
        <w:tc>
          <w:tcPr>
            <w:tcW w:w="3360" w:type="dxa"/>
            <w:vAlign w:val="bottom"/>
          </w:tcPr>
          <w:p>
            <w:pPr>
              <w:spacing w:after="0"/>
              <w:rPr>
                <w:sz w:val="20"/>
                <w:szCs w:val="20"/>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(by individual unit)</w:t>
            </w:r>
          </w:p>
        </w:tc>
      </w:tr>
      <w:tr>
        <w:trPr>
          <w:trHeight w:val="223"/>
        </w:trPr>
        <w:tc>
          <w:tcPr>
            <w:tcW w:w="336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6,726</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4,836</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Premium and tabletop conferencing</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10,584</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3,945</w:t>
            </w:r>
          </w:p>
        </w:tc>
      </w:tr>
    </w:tbl>
    <w:p>
      <w:pPr>
        <w:spacing w:after="0" w:line="2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revenues from sales outside of the United States accounted for 23.7 percent of total revenue for the six months ended December 31, 2005 and 27.2 percent of total revenue for the six months ended December 31, 2004.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8"/>
          </w:tcPr>
          <w:p>
            <w:pPr>
              <w:jc w:val="center"/>
              <w:ind w:right="250"/>
              <w:spacing w:after="0"/>
              <w:rPr>
                <w:sz w:val="20"/>
                <w:szCs w:val="20"/>
                <w:color w:val="auto"/>
              </w:rPr>
            </w:pPr>
            <w:r>
              <w:rPr>
                <w:rFonts w:ascii="Arial" w:cs="Arial" w:eastAsia="Arial" w:hAnsi="Arial"/>
                <w:sz w:val="18"/>
                <w:szCs w:val="18"/>
                <w:b w:val="1"/>
                <w:bCs w:val="1"/>
                <w:color w:val="auto"/>
                <w:w w:val="90"/>
              </w:rPr>
              <w:t>Six Months Ended December 31,</w:t>
            </w:r>
          </w:p>
        </w:tc>
      </w:tr>
      <w:tr>
        <w:trPr>
          <w:trHeight w:val="270"/>
        </w:trPr>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7"/>
              </w:rPr>
              <w:t>(in thousands)</w:t>
            </w:r>
          </w:p>
        </w:tc>
        <w:tc>
          <w:tcPr>
            <w:tcW w:w="880" w:type="dxa"/>
            <w:vAlign w:val="bottom"/>
            <w:tcBorders>
              <w:bottom w:val="single" w:sz="8" w:color="auto"/>
            </w:tcBorders>
          </w:tcPr>
          <w:p>
            <w:pPr>
              <w:spacing w:after="0"/>
              <w:rPr>
                <w:sz w:val="23"/>
                <w:szCs w:val="23"/>
                <w:color w:val="auto"/>
              </w:rPr>
            </w:pPr>
          </w:p>
        </w:tc>
      </w:tr>
      <w:tr>
        <w:trPr>
          <w:trHeight w:val="264"/>
        </w:trPr>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2004</w:t>
            </w:r>
          </w:p>
        </w:tc>
      </w:tr>
      <w:tr>
        <w:trPr>
          <w:trHeight w:val="191"/>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r>
      <w:tr>
        <w:trPr>
          <w:trHeight w:val="237"/>
        </w:trPr>
        <w:tc>
          <w:tcPr>
            <w:tcW w:w="29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9,588</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7,745</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50.2%</w:t>
            </w:r>
          </w:p>
        </w:tc>
      </w:tr>
      <w:tr>
        <w:trPr>
          <w:trHeight w:val="224"/>
        </w:trPr>
        <w:tc>
          <w:tcPr>
            <w:tcW w:w="2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9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9,614</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7,694</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49.8%</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COGS increased by approximately $1.8 million, or 23.8 percent, to $9.6 million for the six months ended December 31, 2005 compared with $7.7 million for the six months ended December 31, 2004. The increase in COGS from the six months ended December 31, 2004 to the six months ended December 31, 2005 was primarily attributable to $3.8 million or 24.4 percent increase in total revenue partially offset by an incremental deferral of $674,000 less during the six months ended December 31, 2005 versus the six months ended December 31, 2004 in the deferred COGS where return rights had not lapsed. We also had a $328,000 decrease in our write off of product inventory.</w:t>
      </w:r>
    </w:p>
    <w:p>
      <w:pPr>
        <w:spacing w:after="0" w:line="2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COGS for the six months ended December 31, 2005 and 2004, include $98,000 and $772,000 in net decreases related to the deferral of product revenue from the respective deferral at June 30, 2005 and 2004 because return rights had not lapsed.</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gross profit from continuing operations was $9.6 million, or 50.1 percent of revenue, for the six months ended December 31, 2005 compared to $7.7 million, or 49.8 percent of revenue, for the six months ended December 31, 2004. The increase in gross profit is mostly due to the increase in revenue from sales of professional conferencing products and premium and tabletop conferencing products. The change in gross profit was negatively impacted by a $1.4 million change in the deferred gross profit between the six months ended December 31, 2005 and the six months ended December 31, 2004, the changes in product mix, and reduced prices on certain end-of-life products. During the past six quarters, the gross profit percentage has ranged from a high of 55.6 percent in the three months ended June 30, 2005 to a low of 43.7 percent for the three months ended September 30, 2004. We believe quarterly fluctuations will continue to occur based upon actual product mix. We anticipate that the decline in gross profit percentage from the fourth quarter of fiscal 2005 level will continue in our near-term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operating expenses were $9.2 million for the six months ended December 31, 2005, an increase of $1.3 million, or 17.0 percent, from $7.9 million for the six months ended December 31, 2004. The increase in operating expenses from the levels for the six months ended December 31, 2004 to the levels for the six months ended December 31, 2005 is primarily related to increased research and product development expenses, the introduction of compensation cost related the SFAS No. 123R, and the reduced benefit related to the settlement in the shareholders’ class action, partially offset by decreased spending in marketing and selling. The following is a more detailed discussion of expenses related to marketing and selling, general and administrative, settlement in shareholders’ class action, and research and product development.</w:t>
      </w:r>
    </w:p>
    <w:p>
      <w:pPr>
        <w:spacing w:after="0" w:line="22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Total marketing and selling expenses decreased $805,000, or 18.2 percent, to $3.6 million for the six months ended December 31, 2005 compared with the six months ended December 31, 2004 expenses of $4.4 million. As a percentage of revenues, marketing and selling expenses were 18.9 percent for the six months ended December 31, 2005 and 28.7 percent for the six months ended December 31, 2004. The decrease in marketing and selling expenses from the six months ended December 31, 2004 to the six months ended December 31, 2005 was primarily attributable to a decrease in employee related expenses of $171,000, a decrease in our international sales offices of $545,000, and a decrease of approximately $139,000 of other marketing and selling expenses that were partially offset by the addition of SFAS No. 123R compensation cost of $50,000.</w:t>
      </w:r>
    </w:p>
    <w:p>
      <w:pPr>
        <w:spacing w:after="0" w:line="22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increased $405,000, or 14.3 percent, to $3.2 million for the six months ended December 31, 2005 compared with the six months ended December 31, 2004 expenses of $2.8 million. As a percentage of revenues, G&amp;A expenses were 16.8 percent for the six months ended December 31, 2005 and 18.3 percent for the six months ended December 31, 2004. A summary of our general and administrative expenses are as follows:</w:t>
      </w:r>
    </w:p>
    <w:p>
      <w:pPr>
        <w:spacing w:after="0" w:line="208"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December 31,</w:t>
      </w:r>
    </w:p>
    <w:p>
      <w:pPr>
        <w:spacing w:after="0" w:line="45"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17145</wp:posOffset>
            </wp:positionV>
            <wp:extent cx="1235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57"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OM Video G&amp;A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(SEC investigation and subsequent litigation)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r>
      <w:tr>
        <w:trPr>
          <w:trHeight w:val="24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60" w:type="dxa"/>
            <w:vAlign w:val="bottom"/>
          </w:tcPr>
          <w:p>
            <w:pPr>
              <w:spacing w:after="0"/>
              <w:rPr>
                <w:sz w:val="23"/>
                <w:szCs w:val="23"/>
                <w:color w:val="auto"/>
              </w:rPr>
            </w:pPr>
          </w:p>
        </w:tc>
      </w:tr>
      <w:tr>
        <w:trPr>
          <w:trHeight w:val="277"/>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G&amp;A from continuing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attribute the decrease in G&amp;A as a percentage of revenues to 16.8 percent for the six months ended December 31, 2005 from 18.3 percent for the six months ended December 31, 2004 mostly due to the 24.4 percent increase in revenue. The increase in actual expenses is mainly due to the addition of SFAS No. 123R compensation cost of $419,000 and an increase in professional fees, including accounting and audit fees, of $262,000 partially offset by a $54,000 decrease in SEC investigation and subsequent litigation related fees and a $222,000 decrease in other G&amp;A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b w:val="1"/>
          <w:bCs w:val="1"/>
          <w:u w:val="single" w:color="auto"/>
          <w:color w:val="auto"/>
        </w:rPr>
        <w:t>Settlement in shareholders’ class action expense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We attribute the decrease in benefit for settlement in shareholders’ class action expense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of revenue to (6.3) percent for the six months ended December 31, 2005 from (11.4) percent for the six months ended December 31, 2004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reflects the current liability amount associated with the 1.2 million shares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4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$1.2 million, or 49.9 percent, to $3.6 million for the six months ended December 31, 2005 compared with the six months ended December 31, 2004 expenses of $2.4 million. As a percentage of revenues, research and product development expenses were 18.6 percent for the six months ended December 31, 2005 and 15.5 percent for the six months ended December 31, 2004. The increase in product development expenses from the six months ended December 31, 2004 to the six months ended December 31, 2005 was due to ongoing research and product development efforts and the addition of SFAS No. 123R compensation cost of $87,000.</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For the six months ended December 31, 2005, our operating income increased $581,000, or 307.4 percent, to $392,000 on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of $19.2 million, from an operating loss of ($189,000) on revenue of $15.4 million for the six months ended December 31, 2004. As discussed above, the factors affecting this increase in operating income were an increase in gross margin profit of $1.9 million and a decrease in marketing and selling expenses of $805,000, partially offset by an increase in research and product development expenses of $1.2 million, a decrease in settlement in shareholders’ class action benefit of $549,000, and an increase in general and administrative expenses of $405,000.</w:t>
      </w:r>
    </w:p>
    <w:p>
      <w:pPr>
        <w:spacing w:after="0" w:line="22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$357,000 for the six months ended December 31, 2005, an increase of $259,000, or 264.3 percent, from income of $98,000 for the six months ended December 31, 2004. The increase in other income for the six months ended December 31, 2005 over the same period in fiscal 2004 was primarily due to an increase in interest income associated with our marketable securities and a decrease in interest expense related to our Oracle system-related note payable.</w:t>
      </w:r>
    </w:p>
    <w:p>
      <w:pPr>
        <w:spacing w:after="0" w:line="238"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Income (loss) from continuing operations before income taxes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from continuing operations increased $840,000, or 923.1 percent to $749,000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six months ended December 31, 2005 compared with the six months ended December 31, 2004 (loss) from continuing operations of ($91,000). As a percentage of revenues, income (loss) from continuing operations was 3.9 percent for the six months ended December 31, 2005 and (0.6) percent for the six months ended December 31, 2004. We attribute the change in income to the results of operations described above.</w:t>
      </w:r>
    </w:p>
    <w:p>
      <w:pPr>
        <w:spacing w:after="0" w:line="21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Benefit from income taxes</w:t>
      </w:r>
      <w:r>
        <w:rPr>
          <w:rFonts w:ascii="Arial" w:cs="Arial" w:eastAsia="Arial" w:hAnsi="Arial"/>
          <w:sz w:val="17"/>
          <w:szCs w:val="17"/>
          <w:color w:val="auto"/>
        </w:rPr>
        <w:t>. Benefit from income taxes from continuing operations was $287,000 for the six months ended December 31, 2005 and $34,000</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six months ended December 31, 2004. The increase in the benefit is mostly due to the income from discontinued operations during the six months ended December 31, 2005 being partially offset by and our ability to decrease a portion of the valuation allowance against deferred tax assets. Given the Company’s history of consecutive years of losses from continuing operations, we followed the guidance of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recorded a valuation allowance against certain deferred tax assets where it is not considered more likely than not that the deferred tax assets will be realized. As of December 31, 2005, we have fully reserved against our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the gain on the sale of our conferencing</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business, payments on our note receivable related to the sale of our Canadian audiovisual integration services business which was sold on March 4, 2005, loss from discontinued operations related to our Canadian audiovisual integration services, and the final payment received on our note receivable related to the sale to Burk. The income from discontinued operations was $1.0 million for the six months ended December 31, 2005, a decrease of $12.4 million or 92.3 percent, from $13.4 million for the six months ended December 31, 2004.</w:t>
      </w:r>
    </w:p>
    <w:p>
      <w:pPr>
        <w:spacing w:after="0" w:line="2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 2004, we sold our conferencing services business component to Premiere. Consideration for the sale consisted of $21.3 million in cash. Of the purchase price, $300,000 was placed into a working capital escrow account and an additional $1.0 million was placed into an 18-month Indemnity Escrow account. The Company received the $300,000 working capital escrow funds approximately 90 days after the execution date of the contract. The Company received the $1.0 million in the Indemnity Escrow account in January 2006. Additionally, $1.4 million of the proceeds was utilized to pay off equipment leases pertaining to assets being conveyed to Premiere. The Company realized a gain, net of tax, on the sale of $13.4 million during the fiscal year ended June 30, 2005.</w:t>
      </w:r>
    </w:p>
    <w:p>
      <w:pPr>
        <w:spacing w:after="0" w:line="2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received payments on our OM Video note receivable, net of tax, of $188,000 for the six months ended December 31, 2005 while OM Video services income, net of tax, was $41,000 for the six months ended December 31, 2004. OM Video audiovisual integration services business revenue was $2.4 million for the six months ended December 31, 2004.</w:t>
      </w:r>
    </w:p>
    <w:p>
      <w:pPr>
        <w:spacing w:after="0" w:line="23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$844,000 for the six months ended December 31,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MANUFACTURING AGREEMENT</w:t>
      </w:r>
    </w:p>
    <w:p>
      <w:pPr>
        <w:spacing w:after="0" w:line="2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1, 2005, we entered into a Manufacturing Agreement with a third-party manufacturer (“TPM”), pursuant to which we agreed to outsource our Salt Lake City manufacturing operations. The parties also entered into a one-year sublease for approximately 12,000 square feet of manufacturing space located in our headquarters in Salt Lake City, Utah. TPM paid $11,000 per month under the sublease through May 31, 2006, when the sublease was terminated. Costs associated with outsourcing our manufacturing totaled approximately $290,000 including severance payments, facilities we no longer use, and impairment of property and equipment that will be disposed of. We recorded the change related to these costs in the fiscal 2005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Sale of OM Video. </w:t>
      </w:r>
      <w:r>
        <w:rPr>
          <w:rFonts w:ascii="Arial" w:cs="Arial" w:eastAsia="Arial" w:hAnsi="Arial"/>
          <w:sz w:val="18"/>
          <w:szCs w:val="18"/>
          <w:color w:val="auto"/>
        </w:rPr>
        <w:t>As of December 31, 2005, all payments due under the note receivable through such date had been received and $854,000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 remained outstanding; however, OM Purchaser has failed to make any subsequent, required payments under the note receivable and is in default thereunder. We are currently considering our collection options.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Conferencing Services. </w:t>
      </w:r>
      <w:r>
        <w:rPr>
          <w:rFonts w:ascii="Arial" w:cs="Arial" w:eastAsia="Arial" w:hAnsi="Arial"/>
          <w:sz w:val="18"/>
          <w:szCs w:val="18"/>
          <w:color w:val="auto"/>
        </w:rPr>
        <w:t>In January 2006, we received the $1.0 million in the Indemnity Escrow account from Premiere.</w:t>
      </w:r>
    </w:p>
    <w:p>
      <w:pPr>
        <w:spacing w:after="0" w:line="279"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Settlement Agreement and Release. </w:t>
      </w:r>
      <w:r>
        <w:rPr>
          <w:rFonts w:ascii="Arial" w:cs="Arial" w:eastAsia="Arial" w:hAnsi="Arial"/>
          <w:sz w:val="17"/>
          <w:szCs w:val="17"/>
          <w:color w:val="auto"/>
        </w:rPr>
        <w:t>We entered into a settlement agreement and release with our former Vice-President - Human Resources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cessation of her employment, which generally provided for her resignation from her position and employment, the payment of severance, and a general release of claims against us by her. On February 20, 2006, an agreement was entered into which generally provided for a severance payment of $93,300 and her surrender and delivery to the Company of 145,000 stock options (86,853 of which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2005, our cash and cash equivalents were approximately $2.5 million and our marketable securities were approximately $17.0 million, which represented an overall increase of $1.8 million in our balances from June 30, 2005 which were cash and cash equivalents of approximately $1.9 million and our marketable securities of approximately $15.8 million.</w:t>
      </w:r>
    </w:p>
    <w:p>
      <w:pPr>
        <w:spacing w:after="0" w:line="2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cash flows provided by operating activities were $863,000 for the six months ended December 31, 2005, a decrease of $1.1 million, from the net cash flows provided by operating activities of $1.9 million for the six months ended December 31, 2004. The year-over-year decrease was attributable to an increase of $1.2 million in cash used in changes in working capital, a decrease of $538,000 in cash provided by non-cash expenses, and a $421,000 decrease in cash provided by discontinued operations, partially offset by an increase in income from continuing operations of $1.1 million.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flows (used in) investing activities were ($246,000) for the six months ended December 31, 2005, a decrease of $450,000, from the net cash flows used in investing activities of ($696,000) for the six months ended December 31, 2004. The change was primarily attributable to a decrease in the net (purchase) of marketable securities of approximately $13.1 million, a decrease in the purchase of property and equipment of $701,000, and an increase in the proceeds from the sale of property and equipment of $49,000, partially offset by a decrease in net cash provided by discontinued operations of $13.4 million. On August 22, 2005 we entered into a Mutual Release and Waiver with Burk pursuant to which Burk paid us $1.3 million, pre-tax, in full satisfaction of the promissory note, which is included in net cash provided by discontinued investing activities.</w:t>
      </w:r>
    </w:p>
    <w:p>
      <w:pPr>
        <w:spacing w:after="0" w:line="2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did not have any net cash flows used in financing activities for the six months ended December 31, 2005, a decrease of $940,000, from the net cash flows used in financing activities of $940,000 for the six months ended December 31, 2004. This decrease was attributable to a $940,000 decrease in cash used in payments on note payable and capital lease obligations.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operating leases at December 31, 2005 are summarized below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390"/>
              <w:spacing w:after="0"/>
              <w:rPr>
                <w:sz w:val="20"/>
                <w:szCs w:val="20"/>
                <w:color w:val="auto"/>
              </w:rPr>
            </w:pPr>
            <w:r>
              <w:rPr>
                <w:rFonts w:ascii="Arial" w:cs="Arial" w:eastAsia="Arial" w:hAnsi="Arial"/>
                <w:sz w:val="18"/>
                <w:szCs w:val="18"/>
                <w:color w:val="auto"/>
              </w:rPr>
              <w:t>Payments Due by Period</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0"/>
              </w:rPr>
              <w:t>Remainder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5"/>
              </w:rPr>
              <w:t>of Fiscal</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Fiscal 2007</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Fiscal 2009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2006</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and 2008</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and 2010</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Thereafter</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Contractual Cash Obligations</w:t>
            </w:r>
          </w:p>
        </w:tc>
        <w:tc>
          <w:tcPr>
            <w:tcW w:w="8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9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2005, we had open purchase orders related to our contract manufacturers and other contractual obligations of approximately $4.4 million primarily related to inventory purchases.</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$1.5 million, with the fiscal 2006 exposure being approximately $800,000 and the fiscal 2007 and 2008 exposure being approximately $700,000. We also have certain commitments with our outsourced manufacturers for raw material inventory that is used in production on an on-going basis. Our exposure associated with this inventory is approximately $1.3 million.</w:t>
      </w:r>
    </w:p>
    <w:p>
      <w:pPr>
        <w:spacing w:after="0" w:line="24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2005, all payments due under the note receivable from the sale of OM Video through such date had been received and $854,000 of the promissory note remained outstanding; however, OM Purchaser has failed to make any subsequent, required payments under the note receivable and is in default thereunder. We are currently considering our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January 2006, we received the $1.0 million in the Indemnity Escrow account from Premiere.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8" w:name="page39"/>
    <w:bookmarkEnd w:id="38"/>
    <w:p>
      <w:pPr>
        <w:jc w:val="both"/>
        <w:ind w:right="60"/>
        <w:spacing w:after="0" w:line="259" w:lineRule="auto"/>
        <w:rPr>
          <w:sz w:val="20"/>
          <w:szCs w:val="20"/>
          <w:color w:val="auto"/>
        </w:rPr>
      </w:pPr>
      <w:r>
        <w:rPr>
          <w:rFonts w:ascii="Arial" w:cs="Arial" w:eastAsia="Arial" w:hAnsi="Arial"/>
          <w:sz w:val="18"/>
          <w:szCs w:val="18"/>
          <w:color w:val="auto"/>
        </w:rPr>
        <w:t>As of December 31, 2005, we had a net income tax receivable of $3.6 million. The receivable was generated from net operating loss carrybacks related to tax returns for the fiscal years ended June 30, 2004 and 2003, of $3.1 million and $359,000, respectively, and an overpayment of income taxes of approximately $500,000 for the fiscal year ended June 30, 2005. Additionally, we recorded in continuing and discontinued operations a combined tax provision of $327,000 during the six months ended December 31, 2005.</w:t>
      </w: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Beginning in January 2003 and continuing through the date of this report, we have incurred significant costs with respect to the defense and settlement of legal proceedings and the audits of our consolidated financial statements. The restatement of fiscal 2002 and fiscal 2001 consolidated financial statements and the fiscal 2004 and fiscal 2003 audits were significantly more time consuming and expensive than originally anticipated. The extended time commitment required to complete the restatement of financial information continues to be costly and to divert our resources, as well as to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May 2006 and we have incurred audit and tax fees in the amount of approximately $3.6 million from January 2004 through May 2006. We expect that in fiscal 2007 these costs will be substantially less.</w:t>
      </w:r>
    </w:p>
    <w:p>
      <w:pPr>
        <w:spacing w:after="0" w:line="2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the Tabletop Controller for XAP Platform, as well as the Chat 50.</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exercised our five-year renewal option on our existing Company headquarters. We have entered into a letter of intent on a new corporate headquarters facility that we believe will better meet our current and future requirements. The proposed lease term is seven years, with a five-year exit clause, and a minimum of 33,000 square feet. The lease is anticipated to commence on November 1, 2006.</w:t>
      </w:r>
    </w:p>
    <w:p>
      <w:pPr>
        <w:spacing w:after="0" w:line="235"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2005, the FASB issued a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our fiscal 2006 financial statements. We do not believe that the adoption of FSP 143-1 had a material effect on our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for our fiscal 2006 financial statements. There was not a significant impact on our business, results of operations, financial position, or liquidity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that the adoption of SFAS No. 154 will have a material effect on our business, results of operations, financial position, or liquidity.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that the adoption of this EITF, when the delay is suspended, will have a material impact on our business, results of operations, financial position, or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2005.</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December 31, 2005. Based upon this evaluation and as a result of the material weakness discussed below, our management, including the Chief Executive Officer and the Interim Chief Financial Officer, has concluded that our disclosure controls and procedures were not effective as of December 31, 2005. Management nevertheless has concluded that the condensed consolidated financial statements included in this Form 10-Q present fairly, in all material respects, our results of operations and financial position for the periods presented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0" w:name="page41"/>
    <w:bookmarkEnd w:id="40"/>
    <w:p>
      <w:pPr>
        <w:ind w:right="180"/>
        <w:spacing w:after="0" w:line="286" w:lineRule="auto"/>
        <w:rPr>
          <w:sz w:val="20"/>
          <w:szCs w:val="20"/>
          <w:color w:val="auto"/>
        </w:rPr>
      </w:pPr>
      <w:r>
        <w:rPr>
          <w:rFonts w:ascii="Arial" w:cs="Arial" w:eastAsia="Arial" w:hAnsi="Arial"/>
          <w:sz w:val="17"/>
          <w:szCs w:val="17"/>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December 31, 2005, we identified the following material weakness in our internal controls:</w:t>
      </w:r>
    </w:p>
    <w:p>
      <w:pPr>
        <w:spacing w:after="0" w:line="220" w:lineRule="exact"/>
        <w:rPr>
          <w:sz w:val="20"/>
          <w:szCs w:val="20"/>
          <w:color w:val="auto"/>
        </w:rPr>
      </w:pPr>
    </w:p>
    <w:p>
      <w:pPr>
        <w:jc w:val="both"/>
        <w:ind w:left="660" w:hanging="139"/>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Ineffective financial statement close process</w:t>
      </w:r>
      <w:r>
        <w:rPr>
          <w:rFonts w:ascii="Arial" w:cs="Arial" w:eastAsia="Arial" w:hAnsi="Arial"/>
          <w:sz w:val="16"/>
          <w:szCs w:val="16"/>
          <w:color w:val="auto"/>
        </w:rPr>
        <w:t>. We have a material weakness in the timeliness and adequacy of the monthly close process to effect a</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accurate financial statement close with the necessary level of review and supervision. Accounting personnel have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w:t>
      </w:r>
    </w:p>
    <w:p>
      <w:pPr>
        <w:spacing w:after="0" w:line="20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changes to any reported financial results that have been released by us in this or any other filings as a result of the above-described material weakness; however, the following actions have been commenced since June 30, 2005 in response to the inadequacies noted above:</w:t>
      </w:r>
    </w:p>
    <w:p>
      <w:pPr>
        <w:spacing w:after="0" w:line="201" w:lineRule="exact"/>
        <w:rPr>
          <w:sz w:val="20"/>
          <w:szCs w:val="20"/>
          <w:color w:val="auto"/>
        </w:rPr>
      </w:pPr>
    </w:p>
    <w:p>
      <w:pPr>
        <w:ind w:left="820" w:right="20" w:hanging="136"/>
        <w:spacing w:after="0" w:line="274"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ind w:left="820" w:hanging="136"/>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 Company’s accounting records and to enhance the level of review and supervision.</w:t>
      </w:r>
    </w:p>
    <w:p>
      <w:pPr>
        <w:ind w:left="820" w:hanging="136"/>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of additional accounting personnel with experience in accounting matters and financial reporting.</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26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committed considerable resources to date to the reviews and remedies described above, although certain of such items are on-going as of this filing date, and it will take time to realize all of the benefits. Additional efforts will be required to remediate the material weakness in our controls. We believe that the steps taken to date, along with certain other remediation plans we are currently undertaking, including those described above, will address the material weakness that affects our internal controls over financial reporting for the fiscal year ending June 30, 2006. We will continue our on-going evaluation and expect to improve our internal controls as necessary to assure their effectiveness.</w:t>
      </w:r>
    </w:p>
    <w:p>
      <w:pPr>
        <w:spacing w:after="0" w:line="2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Other than as described above, since the evaluation date, there has been no change in our internal controls over financial reporting (as defined in Rules 13a-15 and 15d-15 under the Exchange Act)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arise in the normal course of business. Such matters are subject to many uncertainties and outcomes that are not predictable. However, based on the information available to us as of May 31, 2006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 million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we completed our obligations under the settlement agreement by issuing a total of 1,148,494 shares of our common stock to the plaintiff class, including 228,000 shares previously issued in November 2004 (fiscal 2005),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 The 920,494 shares that were issued on September 29, 2005 were also valued at $2.46 per share.</w:t>
      </w:r>
    </w:p>
    <w:p>
      <w:pPr>
        <w:spacing w:after="0" w:line="22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 quarterly basis, we revalued the un-issued shares to the closing price of the stock on the later of the date the shares were mailed or the last day of the quarter. During the six months ended December 31, 2005 and 2004, we received a benefit of $1.2 million and $1.8 million, respectively, related to the revaluation of the 1.2 million shares of the Company’s common stock that were issued in November 2004 and September 2005. During the three months ended December 31, 2004, the Company received a benefit of $734,000.</w:t>
      </w:r>
    </w:p>
    <w:p>
      <w:pPr>
        <w:spacing w:after="0" w:line="24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 Shareholder Derivative Actions</w:t>
      </w:r>
      <w:r>
        <w:rPr>
          <w:rFonts w:ascii="Arial" w:cs="Arial" w:eastAsia="Arial" w:hAnsi="Arial"/>
          <w:sz w:val="17"/>
          <w:szCs w:val="17"/>
          <w:color w:val="auto"/>
        </w:rPr>
        <w:t>. Between March and August 2003, four shareholder derivative actions were filed by certain shareholders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ClearOne,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an SEC complaint described in our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the Company’s directors and officers liability insurance policies, $3.0 million of which was provided by National Union and $2.0 million of which was provided by Lumbermens Mutual, based on alleged misstatements in the Company’s insurance applications. In February 2005, we entered into a confidential settlement agreement with Lumbermens Mutual pursuant to which ClearOne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we will ultimately receive, we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expenses. However, due to the Lumbermans Mutual cash proceeds discussed above and the appeal of the summary judgment discussed below, this potential liability has not been recorded in the balance sheet as of December 31,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we are paying all litigation expenses except litigation expenses which are solely related to Mr. Bagley’s claims in the litigation.</w:t>
      </w:r>
    </w:p>
    <w:p>
      <w:pPr>
        <w:spacing w:after="0" w:line="200" w:lineRule="exact"/>
        <w:rPr>
          <w:sz w:val="20"/>
          <w:szCs w:val="20"/>
          <w:color w:val="auto"/>
        </w:rPr>
      </w:pPr>
    </w:p>
    <w:p>
      <w:pPr>
        <w:spacing w:after="0" w:line="2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Wells Submission. </w:t>
      </w:r>
      <w:r>
        <w:rPr>
          <w:rFonts w:ascii="Arial" w:cs="Arial" w:eastAsia="Arial" w:hAnsi="Arial"/>
          <w:sz w:val="16"/>
          <w:szCs w:val="16"/>
          <w:color w:val="auto"/>
        </w:rPr>
        <w:t>We have been advised by the staff of the Salt Lake District Office of the SEC that the staff intended to recommend to the Commission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proceedings be instituted to revoke the registration of the Company’s common stock based on the Company’s failure to timely file annual and quarterly reports with the Commission. We provided the staff with a so-called “Wells Submission” setting forth its position with respect to the staff’s intended recommendation. To date, the Commission has not instituted an administrative proceeding against us; however, there can be no assurance that the Commission will not institute an administrative proceeding in the future or that we would prevail if an administrative proceeding were instituted.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December 31, 2005 unaudited condensed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2005,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gross profit.</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Orders from our distributors and other distribution participants are based on demand from end-users. Prospective end-user demand is seasonal 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4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4" w:name="page45"/>
    <w:bookmarkEnd w:id="44"/>
    <w:p>
      <w:pPr>
        <w:ind w:right="80"/>
        <w:spacing w:after="0" w:line="272" w:lineRule="auto"/>
        <w:rPr>
          <w:sz w:val="20"/>
          <w:szCs w:val="20"/>
          <w:color w:val="auto"/>
        </w:rPr>
      </w:pPr>
      <w:r>
        <w:rPr>
          <w:rFonts w:ascii="Arial" w:cs="Arial" w:eastAsia="Arial" w:hAnsi="Arial"/>
          <w:sz w:val="17"/>
          <w:szCs w:val="17"/>
          <w:color w:val="auto"/>
        </w:rPr>
        <w:t>To date, certain of our products have not been re-designed and are therefore not-compliant with these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3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6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Once new products reach the market, they may have defects, which could adversely affect market acceptance of these products and our reputation. If we are not able to manage and minimize such potential difficulties, our business and results of operations could be negatively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sale of our camera business.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2006, we entered into a letter of intent with a potential purchaser of our document and educational camera manufacturing and sales business. We are currently in the due diligence phase and there is no guarantee that an actual sale will be completed. We are actively managing our customer relationships and our camera inventory to meet the needs of our camera customers. If our estimates of future sales and required inventory are not accurate and we experience an unforeseen drop in sales or excess inventory, our revenues and gross profit may be adversely affected. If the proposed sales occurs, future revenues will be negatively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gross profit.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5" w:name="page46"/>
    <w:bookmarkEnd w:id="45"/>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gross profit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and if this manufacturer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 Currently, we have no second source of manufacturing for substantially all of our products.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agreement with an international manufacturer for the manufacture of other product lines. We use an offshore facility. Should there be any disruption in services due to natural disaster, economic or political difficulties,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International sales represent a significant portion of our total product sales. For example, international sales represented 24.4 percent of our total product sales for the three months ended December 31, 2005 and 27.5 percent for the three months ended December 31, 2004. International sales represented 23.7 percent of our total product sales for the six months ended December 31, 2005 and 27.2 percent for the six months ended December 31, 2004.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43"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disruption in services due to natural disaster, economic or political difficulties, quarantines, or other restrictions associated with infectious diseases.</w:t>
      </w: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sales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have protected us against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7" w:name="page48"/>
    <w:bookmarkEnd w:id="47"/>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payment obligations. Future losses could be significant and, if incurred, could harm our business and have a material adverse effect on our results of operations or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who joined the Company in August 2005, was named our Interim Chief Financial Officer. In February 2006, we eliminated the position of Vice-President of Human Resources.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and delays in new product introductions.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Although we have committed considerable resources to date to the reviews and remedies over our disclosure and financial reporting internal controls, it will take time and additional expenditures to completely remediate any material weakness in our internal controls. We are always at risk that any future failure of our own internal controls or the internal control at any of our outsourced manufacturers or service providers could result in additional reported material weaknesses. Recent changes to our management team increases the risk of a process breakdown and possible internal control deficiencies as we have many employees performing tasks they have not performed in the past, which could result in errors or lost knowledge. Any future failures of our internal controls could have a material impact on our market capitalization, results of operations, or financial position, or have other adverse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18.6 percent of the Company and may exert significant influence over us.</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18.6 percent of our common stock (including options that are currently exercisable or exercisable within 60 days of May 31, 2006). With this significant holding in the aggregate, the officers and directors, acting together, could exert a significant degree of influence over us and may be able to delay or prevent a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29, 2005, we completed our obligations under the settlement agreement in the class action lawsuit by issuing a total of 1,148,494 shares of our common stock to the plaintiff class, including 228,000 shares previously issued in November 2004, and paying an aggregate of $127,000 in cash in lieu of shares to those members of the class who would otherwise have been entitled to receive an odd-lot number of shares or who resided in states in which there was no exemption available for the issuance of shares. The shares were issued in reliance on the exemption from the registration requirements of the Securities Act provided by Section 3(a)(10) thereof.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Exhibit</w:t>
            </w:r>
          </w:p>
        </w:tc>
        <w:tc>
          <w:tcPr>
            <w:tcW w:w="920" w:type="dxa"/>
            <w:vAlign w:val="bottom"/>
          </w:tcPr>
          <w:p>
            <w:pPr>
              <w:ind w:left="100"/>
              <w:spacing w:after="0"/>
              <w:rPr>
                <w:sz w:val="20"/>
                <w:szCs w:val="20"/>
                <w:color w:val="auto"/>
              </w:rPr>
            </w:pPr>
            <w:r>
              <w:rPr>
                <w:rFonts w:ascii="Arial" w:cs="Arial" w:eastAsia="Arial" w:hAnsi="Arial"/>
                <w:sz w:val="18"/>
                <w:szCs w:val="18"/>
                <w:color w:val="auto"/>
              </w:rPr>
              <w:t>SEC Ref.</w:t>
            </w:r>
          </w:p>
        </w:tc>
        <w:tc>
          <w:tcPr>
            <w:tcW w:w="10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2"/>
              </w:rPr>
              <w:t>No.</w:t>
            </w: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102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Title of Document</w:t>
            </w:r>
          </w:p>
        </w:tc>
        <w:tc>
          <w:tcPr>
            <w:tcW w:w="2380" w:type="dxa"/>
            <w:vAlign w:val="bottom"/>
            <w:tcBorders>
              <w:bottom w:val="single" w:sz="8" w:color="auto"/>
            </w:tcBorders>
          </w:tcPr>
          <w:p>
            <w:pPr>
              <w:jc w:val="center"/>
              <w:ind w:right="178"/>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700" w:type="dxa"/>
            <w:vAlign w:val="bottom"/>
            <w:gridSpan w:val="2"/>
            <w:shd w:val="clear" w:color="auto" w:fill="CCEEFF"/>
          </w:tcPr>
          <w:p>
            <w:pPr>
              <w:jc w:val="center"/>
              <w:ind w:left="290"/>
              <w:spacing w:after="0" w:line="196" w:lineRule="exact"/>
              <w:rPr>
                <w:sz w:val="20"/>
                <w:szCs w:val="20"/>
                <w:color w:val="auto"/>
              </w:rPr>
            </w:pPr>
            <w:r>
              <w:rPr>
                <w:rFonts w:ascii="Arial" w:cs="Arial" w:eastAsia="Arial" w:hAnsi="Arial"/>
                <w:sz w:val="18"/>
                <w:szCs w:val="18"/>
                <w:color w:val="auto"/>
                <w:w w:val="91"/>
              </w:rPr>
              <w:t>10.8</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10</w:t>
            </w:r>
          </w:p>
        </w:tc>
        <w:tc>
          <w:tcPr>
            <w:tcW w:w="628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Asset Purchase Agreement among Clarinet, Inc., American Teleconferencing</w:t>
            </w:r>
          </w:p>
        </w:tc>
        <w:tc>
          <w:tcPr>
            <w:tcW w:w="2380" w:type="dxa"/>
            <w:vAlign w:val="bottom"/>
            <w:shd w:val="clear" w:color="auto" w:fill="CCEEFF"/>
          </w:tcPr>
          <w:p>
            <w:pPr>
              <w:jc w:val="center"/>
              <w:ind w:right="178"/>
              <w:spacing w:after="0" w:line="197" w:lineRule="exact"/>
              <w:rPr>
                <w:sz w:val="20"/>
                <w:szCs w:val="20"/>
                <w:color w:val="auto"/>
              </w:rPr>
            </w:pPr>
            <w:r>
              <w:rPr>
                <w:rFonts w:ascii="Arial" w:cs="Arial" w:eastAsia="Arial" w:hAnsi="Arial"/>
                <w:sz w:val="14"/>
                <w:szCs w:val="14"/>
                <w:color w:val="auto"/>
              </w:rPr>
              <w:t>Incorp. by reference</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 Ltd. doing business as Premiere Conferencing, and ClearOne</w:t>
            </w: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Communications, Inc., dated July 1, 2004</w:t>
            </w: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70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1"/>
              </w:rPr>
              <w:t>10.9</w:t>
            </w:r>
          </w:p>
        </w:tc>
        <w:tc>
          <w:tcPr>
            <w:tcW w:w="560" w:type="dxa"/>
            <w:vAlign w:val="bottom"/>
          </w:tcPr>
          <w:p>
            <w:pPr>
              <w:spacing w:after="0"/>
              <w:rPr>
                <w:sz w:val="17"/>
                <w:szCs w:val="17"/>
                <w:color w:val="auto"/>
              </w:rPr>
            </w:pPr>
          </w:p>
        </w:tc>
        <w:tc>
          <w:tcPr>
            <w:tcW w:w="920" w:type="dxa"/>
            <w:vAlign w:val="bottom"/>
          </w:tcPr>
          <w:p>
            <w:pPr>
              <w:ind w:left="360"/>
              <w:spacing w:after="0" w:line="202" w:lineRule="exact"/>
              <w:rPr>
                <w:sz w:val="20"/>
                <w:szCs w:val="20"/>
                <w:color w:val="auto"/>
              </w:rPr>
            </w:pPr>
            <w:r>
              <w:rPr>
                <w:rFonts w:ascii="Arial" w:cs="Arial" w:eastAsia="Arial" w:hAnsi="Arial"/>
                <w:sz w:val="18"/>
                <w:szCs w:val="18"/>
                <w:color w:val="auto"/>
              </w:rPr>
              <w:t>10</w:t>
            </w:r>
          </w:p>
        </w:tc>
        <w:tc>
          <w:tcPr>
            <w:tcW w:w="62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5"/>
              </w:rPr>
              <w:t>Stock Purchase Agreement dated March 4, 2005 between 6351352 Canada Inc.</w:t>
            </w:r>
          </w:p>
        </w:tc>
        <w:tc>
          <w:tcPr>
            <w:tcW w:w="2380" w:type="dxa"/>
            <w:vAlign w:val="bottom"/>
          </w:tcPr>
          <w:p>
            <w:pPr>
              <w:jc w:val="center"/>
              <w:ind w:right="178"/>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and Gentner Ventures, Inc., a wholly owned subsidiary of ClearOne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Communications, Inc.</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60" w:type="dxa"/>
            <w:vAlign w:val="bottom"/>
            <w:gridSpan w:val="3"/>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w w:val="88"/>
              </w:rPr>
              <w:t>10.10</w:t>
            </w:r>
          </w:p>
        </w:tc>
        <w:tc>
          <w:tcPr>
            <w:tcW w:w="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10</w:t>
            </w:r>
          </w:p>
        </w:tc>
        <w:tc>
          <w:tcPr>
            <w:tcW w:w="62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Settlement Agreement and Release between ClearOne Communications, Inc. and</w:t>
            </w:r>
          </w:p>
        </w:tc>
        <w:tc>
          <w:tcPr>
            <w:tcW w:w="2380" w:type="dxa"/>
            <w:vAlign w:val="bottom"/>
            <w:shd w:val="clear" w:color="auto" w:fill="CCEEFF"/>
          </w:tcPr>
          <w:p>
            <w:pPr>
              <w:jc w:val="center"/>
              <w:ind w:right="178"/>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DeLonie Call dated February 20, 2006*</w:t>
            </w: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6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88"/>
              </w:rPr>
              <w:t>10.18</w:t>
            </w:r>
          </w:p>
        </w:tc>
        <w:tc>
          <w:tcPr>
            <w:tcW w:w="920" w:type="dxa"/>
            <w:vAlign w:val="bottom"/>
          </w:tcPr>
          <w:p>
            <w:pPr>
              <w:ind w:left="360"/>
              <w:spacing w:after="0" w:line="202" w:lineRule="exact"/>
              <w:rPr>
                <w:sz w:val="20"/>
                <w:szCs w:val="20"/>
                <w:color w:val="auto"/>
              </w:rPr>
            </w:pPr>
            <w:r>
              <w:rPr>
                <w:rFonts w:ascii="Arial" w:cs="Arial" w:eastAsia="Arial" w:hAnsi="Arial"/>
                <w:sz w:val="18"/>
                <w:szCs w:val="18"/>
                <w:color w:val="auto"/>
              </w:rPr>
              <w:t>10</w:t>
            </w:r>
          </w:p>
        </w:tc>
        <w:tc>
          <w:tcPr>
            <w:tcW w:w="628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6"/>
              </w:rPr>
              <w:t>Mutual Release and Waiver between ClearOne Communications, Inc. and Burk</w:t>
            </w:r>
          </w:p>
        </w:tc>
        <w:tc>
          <w:tcPr>
            <w:tcW w:w="2380" w:type="dxa"/>
            <w:vAlign w:val="bottom"/>
          </w:tcPr>
          <w:p>
            <w:pPr>
              <w:jc w:val="center"/>
              <w:ind w:right="178"/>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80" w:type="dxa"/>
            <w:vAlign w:val="bottom"/>
            <w:gridSpan w:val="2"/>
          </w:tcPr>
          <w:p>
            <w:pPr>
              <w:ind w:left="140"/>
              <w:spacing w:after="0"/>
              <w:rPr>
                <w:sz w:val="20"/>
                <w:szCs w:val="20"/>
                <w:color w:val="auto"/>
              </w:rPr>
            </w:pPr>
            <w:r>
              <w:rPr>
                <w:rFonts w:ascii="Arial" w:cs="Arial" w:eastAsia="Arial" w:hAnsi="Arial"/>
                <w:sz w:val="18"/>
                <w:szCs w:val="18"/>
                <w:color w:val="auto"/>
              </w:rPr>
              <w:t>Technology, Inc. dated August 22, 2005</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31</w:t>
            </w: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Section 302</w:t>
            </w:r>
          </w:p>
        </w:tc>
        <w:tc>
          <w:tcPr>
            <w:tcW w:w="5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Executive Officer</w:t>
            </w:r>
          </w:p>
        </w:tc>
        <w:tc>
          <w:tcPr>
            <w:tcW w:w="2380" w:type="dxa"/>
            <w:vAlign w:val="bottom"/>
            <w:tcBorders>
              <w:bottom w:val="single" w:sz="8" w:color="CCEEFF"/>
            </w:tcBorders>
            <w:shd w:val="clear" w:color="auto" w:fill="CCEEFF"/>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700" w:type="dxa"/>
            <w:vAlign w:val="bottom"/>
            <w:gridSpan w:val="2"/>
          </w:tcPr>
          <w:p>
            <w:pPr>
              <w:jc w:val="center"/>
              <w:ind w:left="29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560" w:type="dxa"/>
            <w:vAlign w:val="bottom"/>
          </w:tcPr>
          <w:p>
            <w:pPr>
              <w:spacing w:after="0"/>
              <w:rPr>
                <w:sz w:val="15"/>
                <w:szCs w:val="15"/>
                <w:color w:val="auto"/>
              </w:rPr>
            </w:pPr>
          </w:p>
        </w:tc>
        <w:tc>
          <w:tcPr>
            <w:tcW w:w="920" w:type="dxa"/>
            <w:vAlign w:val="bottom"/>
          </w:tcPr>
          <w:p>
            <w:pPr>
              <w:ind w:left="360"/>
              <w:spacing w:after="0" w:line="176" w:lineRule="exact"/>
              <w:rPr>
                <w:sz w:val="20"/>
                <w:szCs w:val="20"/>
                <w:color w:val="auto"/>
              </w:rPr>
            </w:pPr>
            <w:r>
              <w:rPr>
                <w:rFonts w:ascii="Arial" w:cs="Arial" w:eastAsia="Arial" w:hAnsi="Arial"/>
                <w:sz w:val="18"/>
                <w:szCs w:val="18"/>
                <w:color w:val="auto"/>
              </w:rPr>
              <w:t>31</w:t>
            </w:r>
          </w:p>
        </w:tc>
        <w:tc>
          <w:tcPr>
            <w:tcW w:w="1020" w:type="dxa"/>
            <w:vAlign w:val="bottom"/>
          </w:tcPr>
          <w:p>
            <w:pPr>
              <w:ind w:left="140"/>
              <w:spacing w:after="0" w:line="176" w:lineRule="exact"/>
              <w:rPr>
                <w:sz w:val="20"/>
                <w:szCs w:val="20"/>
                <w:color w:val="auto"/>
              </w:rPr>
            </w:pPr>
            <w:r>
              <w:rPr>
                <w:rFonts w:ascii="Arial" w:cs="Arial" w:eastAsia="Arial" w:hAnsi="Arial"/>
                <w:sz w:val="18"/>
                <w:szCs w:val="18"/>
                <w:color w:val="auto"/>
                <w:w w:val="90"/>
              </w:rPr>
              <w:t>Section 302</w:t>
            </w:r>
          </w:p>
        </w:tc>
        <w:tc>
          <w:tcPr>
            <w:tcW w:w="5260" w:type="dxa"/>
            <w:vAlign w:val="bottom"/>
          </w:tcPr>
          <w:p>
            <w:pPr>
              <w:ind w:left="20"/>
              <w:spacing w:after="0" w:line="176" w:lineRule="exact"/>
              <w:rPr>
                <w:sz w:val="20"/>
                <w:szCs w:val="20"/>
                <w:color w:val="auto"/>
              </w:rPr>
            </w:pPr>
            <w:r>
              <w:rPr>
                <w:rFonts w:ascii="Arial" w:cs="Arial" w:eastAsia="Arial" w:hAnsi="Arial"/>
                <w:sz w:val="18"/>
                <w:szCs w:val="18"/>
                <w:color w:val="auto"/>
              </w:rPr>
              <w:t>Certification of Interim Chief Financial Officer</w:t>
            </w:r>
          </w:p>
        </w:tc>
        <w:tc>
          <w:tcPr>
            <w:tcW w:w="2380" w:type="dxa"/>
            <w:vAlign w:val="bottom"/>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continue"/>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32</w:t>
            </w:r>
          </w:p>
        </w:tc>
        <w:tc>
          <w:tcPr>
            <w:tcW w:w="10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Section 906</w:t>
            </w:r>
          </w:p>
        </w:tc>
        <w:tc>
          <w:tcPr>
            <w:tcW w:w="5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Executive Officer</w:t>
            </w:r>
          </w:p>
        </w:tc>
        <w:tc>
          <w:tcPr>
            <w:tcW w:w="2380" w:type="dxa"/>
            <w:vAlign w:val="bottom"/>
            <w:tcBorders>
              <w:bottom w:val="single" w:sz="8" w:color="CCEEFF"/>
            </w:tcBorders>
            <w:shd w:val="clear" w:color="auto" w:fill="CCEEFF"/>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0000EE"/>
            </w:tcBorders>
          </w:tcPr>
          <w:p>
            <w:pPr>
              <w:jc w:val="center"/>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560" w:type="dxa"/>
            <w:vAlign w:val="bottom"/>
          </w:tcPr>
          <w:p>
            <w:pPr>
              <w:spacing w:after="0"/>
              <w:rPr>
                <w:sz w:val="15"/>
                <w:szCs w:val="15"/>
                <w:color w:val="auto"/>
              </w:rPr>
            </w:pPr>
          </w:p>
        </w:tc>
        <w:tc>
          <w:tcPr>
            <w:tcW w:w="920" w:type="dxa"/>
            <w:vAlign w:val="bottom"/>
          </w:tcPr>
          <w:p>
            <w:pPr>
              <w:ind w:left="360"/>
              <w:spacing w:after="0" w:line="176" w:lineRule="exact"/>
              <w:rPr>
                <w:sz w:val="20"/>
                <w:szCs w:val="20"/>
                <w:color w:val="auto"/>
              </w:rPr>
            </w:pPr>
            <w:r>
              <w:rPr>
                <w:rFonts w:ascii="Arial" w:cs="Arial" w:eastAsia="Arial" w:hAnsi="Arial"/>
                <w:sz w:val="18"/>
                <w:szCs w:val="18"/>
                <w:color w:val="auto"/>
              </w:rPr>
              <w:t>32</w:t>
            </w:r>
          </w:p>
        </w:tc>
        <w:tc>
          <w:tcPr>
            <w:tcW w:w="1020" w:type="dxa"/>
            <w:vAlign w:val="bottom"/>
          </w:tcPr>
          <w:p>
            <w:pPr>
              <w:ind w:left="140"/>
              <w:spacing w:after="0" w:line="176" w:lineRule="exact"/>
              <w:rPr>
                <w:sz w:val="20"/>
                <w:szCs w:val="20"/>
                <w:color w:val="auto"/>
              </w:rPr>
            </w:pPr>
            <w:r>
              <w:rPr>
                <w:rFonts w:ascii="Arial" w:cs="Arial" w:eastAsia="Arial" w:hAnsi="Arial"/>
                <w:sz w:val="18"/>
                <w:szCs w:val="18"/>
                <w:color w:val="auto"/>
                <w:w w:val="90"/>
              </w:rPr>
              <w:t>Section 906</w:t>
            </w:r>
          </w:p>
        </w:tc>
        <w:tc>
          <w:tcPr>
            <w:tcW w:w="5260" w:type="dxa"/>
            <w:vAlign w:val="bottom"/>
          </w:tcPr>
          <w:p>
            <w:pPr>
              <w:ind w:left="20"/>
              <w:spacing w:after="0" w:line="176" w:lineRule="exact"/>
              <w:rPr>
                <w:sz w:val="20"/>
                <w:szCs w:val="20"/>
                <w:color w:val="auto"/>
              </w:rPr>
            </w:pPr>
            <w:r>
              <w:rPr>
                <w:rFonts w:ascii="Arial" w:cs="Arial" w:eastAsia="Arial" w:hAnsi="Arial"/>
                <w:sz w:val="18"/>
                <w:szCs w:val="18"/>
                <w:color w:val="auto"/>
              </w:rPr>
              <w:t>Certification of Interim Chief Financial Officer</w:t>
            </w:r>
          </w:p>
        </w:tc>
        <w:tc>
          <w:tcPr>
            <w:tcW w:w="2380" w:type="dxa"/>
            <w:vAlign w:val="bottom"/>
          </w:tcPr>
          <w:p>
            <w:pPr>
              <w:jc w:val="center"/>
              <w:ind w:right="178"/>
              <w:spacing w:after="0" w:line="176" w:lineRule="exact"/>
              <w:rPr>
                <w:sz w:val="20"/>
                <w:szCs w:val="20"/>
                <w:color w:val="auto"/>
              </w:rPr>
            </w:pPr>
            <w:r>
              <w:rPr>
                <w:rFonts w:ascii="Arial" w:cs="Arial" w:eastAsia="Arial" w:hAnsi="Arial"/>
                <w:sz w:val="18"/>
                <w:szCs w:val="18"/>
                <w:color w:val="auto"/>
                <w:w w:val="99"/>
              </w:rPr>
              <w:t>This filing</w:t>
            </w:r>
          </w:p>
        </w:tc>
        <w:tc>
          <w:tcPr>
            <w:tcW w:w="0" w:type="dxa"/>
            <w:vAlign w:val="bottom"/>
          </w:tcPr>
          <w:p>
            <w:pPr>
              <w:spacing w:after="0"/>
              <w:rPr>
                <w:sz w:val="1"/>
                <w:szCs w:val="1"/>
                <w:color w:val="auto"/>
              </w:rPr>
            </w:pPr>
          </w:p>
        </w:tc>
      </w:tr>
      <w:tr>
        <w:trPr>
          <w:trHeight w:val="237"/>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______________</w:t>
            </w: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63" w:lineRule="exact"/>
        <w:rPr>
          <w:sz w:val="20"/>
          <w:szCs w:val="20"/>
          <w:color w:val="auto"/>
        </w:rPr>
      </w:pPr>
    </w:p>
    <w:p>
      <w:pPr>
        <w:ind w:left="660" w:right="5120" w:hanging="652"/>
        <w:spacing w:after="0" w:line="200" w:lineRule="auto"/>
        <w:tabs>
          <w:tab w:leader="none" w:pos="627"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spacing w:after="0" w:line="26" w:lineRule="exact"/>
        <w:rPr>
          <w:sz w:val="20"/>
          <w:szCs w:val="20"/>
          <w:color w:val="auto"/>
        </w:rPr>
      </w:pPr>
    </w:p>
    <w:p>
      <w:pPr>
        <w:ind w:left="660" w:right="5120" w:hanging="652"/>
        <w:spacing w:after="0" w:line="200" w:lineRule="auto"/>
        <w:tabs>
          <w:tab w:leader="none" w:pos="627"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spacing w:after="0" w:line="26" w:lineRule="exact"/>
        <w:rPr>
          <w:sz w:val="20"/>
          <w:szCs w:val="20"/>
          <w:color w:val="auto"/>
        </w:rPr>
      </w:pPr>
    </w:p>
    <w:p>
      <w:pPr>
        <w:ind w:left="660" w:right="5120" w:hanging="652"/>
        <w:spacing w:after="0" w:line="200" w:lineRule="auto"/>
        <w:tabs>
          <w:tab w:leader="none" w:pos="627"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2005.</w:t>
      </w:r>
    </w:p>
    <w:p>
      <w:pPr>
        <w:ind w:left="620" w:hanging="612"/>
        <w:spacing w:after="0" w:line="184" w:lineRule="auto"/>
        <w:tabs>
          <w:tab w:leader="none" w:pos="62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Incorporated by reference to the Registrant’s Current Report on Form 8-K filed July 1, 2004.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364" w:right="5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June 13,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972"/>
        </w:trPr>
        <w:tc>
          <w:tcPr>
            <w:tcW w:w="2780" w:type="dxa"/>
            <w:vAlign w:val="bottom"/>
          </w:tcPr>
          <w:p>
            <w:pPr>
              <w:spacing w:after="0"/>
              <w:rPr>
                <w:sz w:val="20"/>
                <w:szCs w:val="20"/>
                <w:color w:val="auto"/>
              </w:rPr>
            </w:pPr>
            <w:r>
              <w:rPr>
                <w:rFonts w:ascii="Arial" w:cs="Arial" w:eastAsia="Arial" w:hAnsi="Arial"/>
                <w:sz w:val="18"/>
                <w:szCs w:val="18"/>
                <w:color w:val="auto"/>
              </w:rPr>
              <w:t>June 13,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83"/>
        </w:trPr>
        <w:tc>
          <w:tcPr>
            <w:tcW w:w="2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420"/>
          </w:cols>
          <w:pgMar w:left="240" w:top="36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13,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13,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bl>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Zeynep Hakimoglu, certify, pursuant to 18 U.S.C. Section 1350, as adopted pursuant to Section 906 of the Sarbanes-Oxley Act of 2002, that the Quarterly Report of ClearOne Communications, Inc. on Form 10-Q for the three months ended December 31, 2005,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13,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Quarterly Report of ClearOne Communications, Inc. on Form 10-Q for the three months ended December 31, 2005,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13,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amp;"/>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4"/>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2019-12-11T22:01:16Z</dcterms:created>
  <dcterms:modified xsi:type="dcterms:W3CDTF">2019-12-11T22:01:16Z</dcterms:modified>
</cp:coreProperties>
</file>