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 (Amendment No. )</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 Check the appropriate box:</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4" w:lineRule="exact"/>
        <w:rPr>
          <w:sz w:val="24"/>
          <w:szCs w:val="24"/>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toss.240.14a-11(c) orss.240.14a-12</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540" w:right="1779" w:hanging="532"/>
        <w:spacing w:after="0" w:line="237"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0" w:gutter="0" w:footer="0" w:header="0"/>
        </w:sectPr>
      </w:pPr>
    </w:p>
    <w:bookmarkStart w:id="1" w:name="page2"/>
    <w:bookmarkEnd w:id="1"/>
    <w:p>
      <w:pPr>
        <w:ind w:left="525" w:hanging="525"/>
        <w:spacing w:after="0"/>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9684"/>
          </w:cols>
          <w:pgMar w:left="775"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NOTICE OF ANNUAL MEETING OF SHAREHOLDERS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October 9,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Shareholders of Gentner Communications Corporation (the "Company"), a Utah Corporation, will be held on November 16, 2000, at 3:15 P.M. MST, at the Company's corporate offices located at 1825 Research Way, Salt Lake City, Utah 84119 for the following purposes:</w:t>
      </w:r>
    </w:p>
    <w:p>
      <w:pPr>
        <w:spacing w:after="0" w:line="203" w:lineRule="exact"/>
        <w:rPr>
          <w:sz w:val="20"/>
          <w:szCs w:val="20"/>
          <w:color w:val="auto"/>
        </w:rPr>
      </w:pP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five members of the Company's Board of Directors;</w:t>
      </w:r>
    </w:p>
    <w:p>
      <w:pPr>
        <w:spacing w:after="0" w:line="206" w:lineRule="exact"/>
        <w:rPr>
          <w:rFonts w:ascii="Courier New" w:cs="Courier New" w:eastAsia="Courier New" w:hAnsi="Courier New"/>
          <w:sz w:val="18"/>
          <w:szCs w:val="18"/>
          <w:color w:val="auto"/>
        </w:rPr>
      </w:pPr>
    </w:p>
    <w:p>
      <w:pPr>
        <w:ind w:left="1280" w:right="1779" w:hanging="429"/>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the Company's independent auditors; and</w:t>
      </w:r>
    </w:p>
    <w:p>
      <w:pPr>
        <w:spacing w:after="0" w:line="208" w:lineRule="exact"/>
        <w:rPr>
          <w:rFonts w:ascii="Courier New" w:cs="Courier New" w:eastAsia="Courier New" w:hAnsi="Courier New"/>
          <w:sz w:val="18"/>
          <w:szCs w:val="18"/>
          <w:color w:val="auto"/>
        </w:rPr>
      </w:pPr>
    </w:p>
    <w:p>
      <w:pPr>
        <w:ind w:left="1280" w:right="1779" w:hanging="429"/>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Only the shareholders of record at the close of business on September 29, 2000 are entitled to notice of and to vote at the meeting and any adjournment thereof.</w:t>
      </w:r>
    </w:p>
    <w:p>
      <w:pPr>
        <w:spacing w:after="0" w:line="20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Frances M. Flood, President and</w:t>
      </w:r>
    </w:p>
    <w:p>
      <w:pPr>
        <w:ind w:left="422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PROXY STATEMENT FOR ANNUAL MEETING OF SHAREHOLDERS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Board of Directors of Gentner Communications Corporation (the "Company") for use at the Company's Annual Meeting of Shareholders ("Annual Meeting") to be held November 16, 2000 at 3:15 P.M. MST, or at any postponement or adjournment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212"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These proxy solicitation materials were first mailed on or about October 9, 2000 to all shareholders entitled to vote at the Annual Meeting.</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Shares Outstanding</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Shareholders of record at the close of business on September 29, 2000 (the "Record Date") are entitled to notice of, and to vote at, the Annual Meeting. On the Record Date, 8,560,896 shares of Common Stock were issued and outstanding. Each shareholder will be entitled to one vote for each share of Common Stock held on the record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By completing and returning the accompanying proxy, the shareholder authorizes Frances M. Flood and Susie S. Strohm,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7" w:lineRule="exact"/>
        <w:rPr>
          <w:sz w:val="20"/>
          <w:szCs w:val="20"/>
          <w:color w:val="auto"/>
        </w:rPr>
      </w:pPr>
    </w:p>
    <w:p>
      <w:pPr>
        <w:jc w:val="both"/>
        <w:ind w:right="1779" w:firstLine="843"/>
        <w:spacing w:after="0" w:line="275"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Susie S. Strohm, Secretary of the Company, a written notice of revocation, a duly executed proxy bearing a later date or by attending the Annual Meeting and voting in person.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jc w:val="both"/>
        <w:ind w:right="1779" w:firstLine="843"/>
        <w:spacing w:after="0" w:line="272" w:lineRule="auto"/>
        <w:rPr>
          <w:sz w:val="20"/>
          <w:szCs w:val="20"/>
          <w:color w:val="auto"/>
        </w:rPr>
      </w:pPr>
      <w:r>
        <w:rPr>
          <w:rFonts w:ascii="Courier New" w:cs="Courier New" w:eastAsia="Courier New" w:hAnsi="Courier New"/>
          <w:sz w:val="16"/>
          <w:szCs w:val="16"/>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Deadline for Receipt of Shareholder Proposals</w:t>
      </w:r>
    </w:p>
    <w:p>
      <w:pPr>
        <w:spacing w:after="0" w:line="207" w:lineRule="exact"/>
        <w:rPr>
          <w:sz w:val="20"/>
          <w:szCs w:val="20"/>
          <w:color w:val="auto"/>
        </w:rPr>
      </w:pPr>
    </w:p>
    <w:p>
      <w:pPr>
        <w:jc w:val="both"/>
        <w:ind w:right="1779" w:firstLine="843"/>
        <w:spacing w:after="0" w:line="271" w:lineRule="auto"/>
        <w:rPr>
          <w:sz w:val="20"/>
          <w:szCs w:val="20"/>
          <w:color w:val="auto"/>
        </w:rPr>
      </w:pPr>
      <w:r>
        <w:rPr>
          <w:rFonts w:ascii="Courier New" w:cs="Courier New" w:eastAsia="Courier New" w:hAnsi="Courier New"/>
          <w:sz w:val="16"/>
          <w:szCs w:val="16"/>
          <w:color w:val="auto"/>
        </w:rPr>
        <w:t>The Company currently anticipates the Annual Meeting in 2001 will be held on or about November 15, 2001. Any shareholder desiring to submit a proposal for inclusion in the Company's proxy statement and form of proxy for the Company's 2001 Annual Meeting of Shareholders should transmit such proposal to the Secretary of the Company on or before June 11, 2001. For any other proposal that a shareholder wishes to have considered at the Company's 2001 Annual Meeting, the shareholder must notify the Company of the proposal on or before August 27, 2001. Proposals for which the Company receives notice after that time will be considered untimely, and the persons serving as proxies will have discretionary authority to vote on such matter at the meeting.</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jc w:val="both"/>
        <w:ind w:right="1779" w:firstLine="843"/>
        <w:spacing w:after="0" w:line="238" w:lineRule="auto"/>
        <w:rPr>
          <w:sz w:val="20"/>
          <w:szCs w:val="20"/>
          <w:color w:val="auto"/>
        </w:rPr>
      </w:pPr>
      <w:r>
        <w:rPr>
          <w:rFonts w:ascii="Courier New" w:cs="Courier New" w:eastAsia="Courier New" w:hAnsi="Courier New"/>
          <w:sz w:val="18"/>
          <w:szCs w:val="18"/>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Board of Directors recommends that an affirmative vote be cast in favor of all nominees and for each of the proposals listed in the proxy card.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 OWNERSHIP OF CERTAIN</w:t>
      </w:r>
    </w:p>
    <w:p>
      <w:pPr>
        <w:jc w:val="center"/>
        <w:ind w:right="1779"/>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ownership of the Common Stock of the Company as of September 1, 2000 by (i) each person known to the Company to be the beneficial owner of more than 5% of the outstanding Common Stock of the Company, (ii) each director of the Company,</w:t>
      </w:r>
    </w:p>
    <w:p>
      <w:pPr>
        <w:spacing w:after="0" w:line="5" w:lineRule="exact"/>
        <w:rPr>
          <w:sz w:val="20"/>
          <w:szCs w:val="20"/>
          <w:color w:val="auto"/>
        </w:rPr>
      </w:pPr>
    </w:p>
    <w:p>
      <w:pPr>
        <w:jc w:val="both"/>
        <w:ind w:right="1779" w:firstLine="8"/>
        <w:spacing w:after="0" w:line="237"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whose salary and bonus for the year ended June 30, 2000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5" w:name="page6"/>
    <w:bookmarkEnd w:id="5"/>
    <w:tbl>
      <w:tblPr>
        <w:tblLayout w:type="fixed"/>
        <w:tblInd w:w="852"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27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Amount of</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of Beneficial Owners</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Ownership(1)</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of Class(2)</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6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2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1,721,618(3)</w:t>
            </w:r>
          </w:p>
        </w:tc>
        <w:tc>
          <w:tcPr>
            <w:tcW w:w="1320" w:type="dxa"/>
            <w:vAlign w:val="bottom"/>
          </w:tcPr>
          <w:p>
            <w:pPr>
              <w:ind w:left="460"/>
              <w:spacing w:after="0"/>
              <w:rPr>
                <w:sz w:val="20"/>
                <w:szCs w:val="20"/>
                <w:color w:val="auto"/>
              </w:rPr>
            </w:pPr>
            <w:r>
              <w:rPr>
                <w:rFonts w:ascii="Courier New" w:cs="Courier New" w:eastAsia="Courier New" w:hAnsi="Courier New"/>
                <w:sz w:val="18"/>
                <w:szCs w:val="18"/>
                <w:color w:val="auto"/>
              </w:rPr>
              <w:t>20.1%</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2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229,327(4)</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Strohm</w:t>
            </w:r>
          </w:p>
        </w:tc>
        <w:tc>
          <w:tcPr>
            <w:tcW w:w="2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129,063(5)</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96,166(6)</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2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41,885(7)</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J. Wiener</w:t>
            </w:r>
          </w:p>
        </w:tc>
        <w:tc>
          <w:tcPr>
            <w:tcW w:w="2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13,250(8)</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2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10,750(9)</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0.1%</w:t>
            </w:r>
          </w:p>
        </w:tc>
      </w:tr>
      <w:tr>
        <w:trPr>
          <w:trHeight w:val="405"/>
        </w:trPr>
        <w:tc>
          <w:tcPr>
            <w:tcW w:w="3460" w:type="dxa"/>
            <w:vAlign w:val="bottom"/>
          </w:tcPr>
          <w:p>
            <w:pPr>
              <w:spacing w:after="0"/>
              <w:rPr>
                <w:sz w:val="20"/>
                <w:szCs w:val="20"/>
                <w:color w:val="auto"/>
              </w:rPr>
            </w:pPr>
            <w:r>
              <w:rPr>
                <w:rFonts w:ascii="Courier New" w:cs="Courier New" w:eastAsia="Courier New" w:hAnsi="Courier New"/>
                <w:sz w:val="18"/>
                <w:szCs w:val="18"/>
                <w:color w:val="auto"/>
                <w:w w:val="99"/>
              </w:rPr>
              <w:t>Directors and Executive Officers</w:t>
            </w:r>
          </w:p>
        </w:tc>
        <w:tc>
          <w:tcPr>
            <w:tcW w:w="2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(8 people)</w:t>
            </w:r>
          </w:p>
        </w:tc>
        <w:tc>
          <w:tcPr>
            <w:tcW w:w="2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2,264,734(3-10)</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26.5%</w:t>
            </w:r>
          </w:p>
        </w:tc>
      </w:tr>
    </w:tbl>
    <w:p>
      <w:pPr>
        <w:spacing w:after="0" w:line="207" w:lineRule="exact"/>
        <w:rPr>
          <w:sz w:val="20"/>
          <w:szCs w:val="20"/>
          <w:color w:val="auto"/>
        </w:rPr>
      </w:pPr>
    </w:p>
    <w:p>
      <w:pPr>
        <w:jc w:val="both"/>
        <w:ind w:left="412" w:right="1779" w:hanging="412"/>
        <w:spacing w:after="0" w:line="237" w:lineRule="auto"/>
        <w:tabs>
          <w:tab w:leader="none" w:pos="4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shareholder, the calculation of percentage of beneficial ownership is based on 8,560,896 shares of Common Stock outstanding as of September 1, 2000 and shares of Common Stock subject to options held by the shareholder that are currently exercisable or exercisable within 60 days of September 1, 2000.</w:t>
      </w:r>
    </w:p>
    <w:p>
      <w:pPr>
        <w:spacing w:after="0" w:line="209" w:lineRule="exact"/>
        <w:rPr>
          <w:sz w:val="20"/>
          <w:szCs w:val="20"/>
          <w:color w:val="auto"/>
        </w:rPr>
      </w:pPr>
    </w:p>
    <w:p>
      <w:pPr>
        <w:jc w:val="both"/>
        <w:ind w:left="412" w:right="1779" w:hanging="412"/>
        <w:spacing w:after="0" w:line="237"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207" w:lineRule="exact"/>
        <w:rPr>
          <w:sz w:val="20"/>
          <w:szCs w:val="20"/>
          <w:color w:val="auto"/>
        </w:rPr>
      </w:pPr>
    </w:p>
    <w:p>
      <w:pPr>
        <w:jc w:val="both"/>
        <w:ind w:left="412" w:right="1779" w:hanging="412"/>
        <w:spacing w:after="0" w:line="237"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1,309,235 shares owned directly; 100,000 shares owned by a corporation controlled by Mr. Bagley; 50 shares owned by Mr. Bagley's wife as custodian for one of Mr. Bagley's daughters; and 312,333 shares held in the Bagley Family Revocable Trust, of which Mr. Bagley is co-trustee, the sole beneficiary of which is Mr. Bagley's mother. Excludes: 50 shares owned by another of Mr. Bagley's daughters who is not a member of his household. Mr. Bagley disclaims beneficial ownership of such 50 shares and the shares owned by the Bagley Family Revocable Trust.</w:t>
      </w:r>
    </w:p>
    <w:p>
      <w:pPr>
        <w:spacing w:after="0" w:line="212" w:lineRule="exact"/>
        <w:rPr>
          <w:sz w:val="20"/>
          <w:szCs w:val="20"/>
          <w:color w:val="auto"/>
        </w:rPr>
      </w:pPr>
    </w:p>
    <w:p>
      <w:pPr>
        <w:ind w:left="412" w:right="1779" w:hanging="412"/>
        <w:spacing w:after="0" w:line="235"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CEO and Director. Includes: 52,993 shares owned directly; options to purchase 176,334 shares that are exercisable within 60 days.</w:t>
      </w:r>
    </w:p>
    <w:p>
      <w:pPr>
        <w:spacing w:after="0" w:line="208" w:lineRule="exact"/>
        <w:rPr>
          <w:sz w:val="20"/>
          <w:szCs w:val="20"/>
          <w:color w:val="auto"/>
        </w:rPr>
      </w:pPr>
    </w:p>
    <w:p>
      <w:pPr>
        <w:ind w:left="412" w:right="1779" w:hanging="412"/>
        <w:spacing w:after="0" w:line="235"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and CFO. Includes: 29,599 shares owned directly; options to purchase 99,464 shares that are exercisable within 60 days.</w:t>
      </w:r>
    </w:p>
    <w:p>
      <w:pPr>
        <w:spacing w:after="0" w:line="208" w:lineRule="exact"/>
        <w:rPr>
          <w:sz w:val="20"/>
          <w:szCs w:val="20"/>
          <w:color w:val="auto"/>
        </w:rPr>
      </w:pPr>
    </w:p>
    <w:p>
      <w:pPr>
        <w:jc w:val="both"/>
        <w:ind w:left="412" w:right="1779" w:hanging="412"/>
        <w:spacing w:after="0" w:line="236"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66,166 shares owned directly; options to purchase 25,000 shares that are exercisable within 60 days; and 5,000 shares owned by Mr. Baldwin's wife.</w:t>
      </w:r>
    </w:p>
    <w:p>
      <w:pPr>
        <w:spacing w:after="0" w:line="209" w:lineRule="exact"/>
        <w:rPr>
          <w:sz w:val="20"/>
          <w:szCs w:val="20"/>
          <w:color w:val="auto"/>
        </w:rPr>
      </w:pPr>
    </w:p>
    <w:p>
      <w:pPr>
        <w:ind w:left="412" w:right="1779" w:hanging="412"/>
        <w:spacing w:after="0" w:line="235" w:lineRule="auto"/>
        <w:tabs>
          <w:tab w:leader="none" w:pos="41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6,135 shares owned directly; options to purchase 35,750 shares that are exercisable within 60 days.</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919" w:right="1440" w:bottom="1440" w:gutter="0" w:footer="0" w:header="0"/>
        </w:sectPr>
      </w:pPr>
    </w:p>
    <w:bookmarkStart w:id="6" w:name="page7"/>
    <w:bookmarkEnd w:id="6"/>
    <w:p>
      <w:pPr>
        <w:ind w:left="412" w:right="1779" w:hanging="412"/>
        <w:spacing w:after="0" w:line="235" w:lineRule="auto"/>
        <w:tabs>
          <w:tab w:leader="none" w:pos="4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7,000 shares owned directly; options to purchase 6,250 shares that are exercisable within 60 days.</w:t>
      </w:r>
    </w:p>
    <w:p>
      <w:pPr>
        <w:spacing w:after="0" w:line="208" w:lineRule="exact"/>
        <w:rPr>
          <w:sz w:val="20"/>
          <w:szCs w:val="20"/>
          <w:color w:val="auto"/>
        </w:rPr>
      </w:pPr>
    </w:p>
    <w:p>
      <w:pPr>
        <w:ind w:left="412" w:right="1779" w:hanging="412"/>
        <w:spacing w:after="0" w:line="235" w:lineRule="auto"/>
        <w:tabs>
          <w:tab w:leader="none" w:pos="4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4,500 shares owned directly; options to purchase 6,250 shares that are exercisable within 60 days.</w:t>
      </w:r>
    </w:p>
    <w:p>
      <w:pPr>
        <w:spacing w:after="0" w:line="208" w:lineRule="exact"/>
        <w:rPr>
          <w:sz w:val="20"/>
          <w:szCs w:val="20"/>
          <w:color w:val="auto"/>
        </w:rPr>
      </w:pPr>
    </w:p>
    <w:p>
      <w:pPr>
        <w:jc w:val="both"/>
        <w:ind w:left="412" w:right="1779" w:hanging="412"/>
        <w:spacing w:after="0" w:line="236" w:lineRule="auto"/>
        <w:tabs>
          <w:tab w:leader="none" w:pos="4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An additional 425 shares owned directly by one additional officer; and options to purchase 22,250 shares that are exercisable within 60 days by this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7" w:name="page8"/>
    <w:bookmarkEnd w:id="7"/>
    <w:p>
      <w:pPr>
        <w:ind w:left="2320"/>
        <w:spacing w:after="0"/>
        <w:rPr>
          <w:sz w:val="20"/>
          <w:szCs w:val="20"/>
          <w:color w:val="auto"/>
        </w:rPr>
      </w:pPr>
      <w:r>
        <w:rPr>
          <w:rFonts w:ascii="Courier New" w:cs="Courier New" w:eastAsia="Courier New" w:hAnsi="Courier New"/>
          <w:sz w:val="18"/>
          <w:szCs w:val="18"/>
          <w:color w:val="auto"/>
        </w:rPr>
        <w:t>PROPOSAL ONE -- ELECTION OF DIRECTORS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Company currently has five directors. Five are nominated for re-election at the Annual Meeting to serve until the next Annual Meeting of Shareholders or until their respective successors are duly elected and qualified. David Wiener was voted in as a director to fill the vacancy left by Edward N. Bagley. Unless otherwise instructed, the proxies will be voted for the election of the five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1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ELECTION OF THE NOMINEES NAMED ABOVE TO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individuals are currently directors of the Company:</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38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Age</w:t>
            </w:r>
          </w:p>
        </w:tc>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Principal Occupation</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w w:val="92"/>
              </w:rPr>
              <w:t>Since</w:t>
            </w:r>
          </w:p>
        </w:tc>
      </w:tr>
      <w:tr>
        <w:trPr>
          <w:trHeight w:val="203"/>
        </w:trPr>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w:t>
            </w:r>
          </w:p>
        </w:tc>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Attorney</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w:t>
            </w:r>
          </w:p>
        </w:tc>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Executive Vice President</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1988</w:t>
            </w: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General Counsel of</w:t>
            </w:r>
          </w:p>
        </w:tc>
        <w:tc>
          <w:tcPr>
            <w:tcW w:w="7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Idea Exchange, Inc.</w:t>
            </w:r>
          </w:p>
        </w:tc>
        <w:tc>
          <w:tcPr>
            <w:tcW w:w="74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w:t>
            </w:r>
          </w:p>
        </w:tc>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Chief Executive Officer</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President</w:t>
            </w:r>
          </w:p>
        </w:tc>
        <w:tc>
          <w:tcPr>
            <w:tcW w:w="74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Randall J. Wichinski</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w:t>
            </w:r>
          </w:p>
        </w:tc>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President of East</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Cincinnati Running</w:t>
            </w:r>
          </w:p>
        </w:tc>
        <w:tc>
          <w:tcPr>
            <w:tcW w:w="7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Inc.</w:t>
            </w:r>
          </w:p>
        </w:tc>
        <w:tc>
          <w:tcPr>
            <w:tcW w:w="74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David Wiener</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w:t>
            </w:r>
          </w:p>
        </w:tc>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President and CEO of</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SoundTube Entertainment,</w:t>
            </w:r>
          </w:p>
        </w:tc>
        <w:tc>
          <w:tcPr>
            <w:tcW w:w="7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c>
          <w:tcPr>
            <w:tcW w:w="74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Edward Dallin Bagley has been a Director of the Company since April 1994. Previously, Mr. Bagley served as a Director of the Company from April 1987 to July 1991. Mr. Bagley began practicing law in 1965. Mr. Bagley is currently a director of Tunex International, a chain of automotive engine performance and service centers, NESCO, Inc., Buyers Online.com and 1-800-DISCOUNTS.com. Mr. Bagley received a Juris Doctorate in 1965 from the University of Utah College of Law.</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Brad R. Baldwin has been a Director of the Company since 1988. In February 2000, Mr. Baldwin helped co-found and presently serves as Executive Vice President and General Counsel of Idea Exchange, Inc., an internet company dealing with ideas and intellectual capital. From October 1, 1994 to January 30, 2000, Mr. Baldwin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practice of law at the firm of Biele, Haslam, and Hatch in Salt Lake City, Utah. Mr. Baldwin received a Juris Doctorate in 1980 from the University of Washington.</w:t>
      </w:r>
    </w:p>
    <w:p>
      <w:pPr>
        <w:spacing w:after="0" w:line="216" w:lineRule="exact"/>
        <w:rPr>
          <w:sz w:val="20"/>
          <w:szCs w:val="20"/>
          <w:color w:val="auto"/>
        </w:rPr>
      </w:pPr>
    </w:p>
    <w:p>
      <w:pPr>
        <w:jc w:val="both"/>
        <w:ind w:right="1779" w:firstLine="843"/>
        <w:spacing w:after="0" w:line="271" w:lineRule="auto"/>
        <w:rPr>
          <w:sz w:val="20"/>
          <w:szCs w:val="20"/>
          <w:color w:val="auto"/>
        </w:rPr>
      </w:pPr>
      <w:r>
        <w:rPr>
          <w:rFonts w:ascii="Courier New" w:cs="Courier New" w:eastAsia="Courier New" w:hAnsi="Courier New"/>
          <w:sz w:val="16"/>
          <w:szCs w:val="16"/>
          <w:color w:val="auto"/>
        </w:rPr>
        <w:t>Frances M. Flood has been a Director of the Company since June of 1998. Ms. Flood joined the Company in October 1996 as Vice-President of Sales and Marketing. She was named President in December 1997 and Chief Executive Officer in June 1998. Prior to joining the Company, Ms. Flood was Area Director of Sales and Marketing for Ernst &amp; Young, LLP, an international accounting and consulting firm. Ms. Flood has over twenty-five years experience in sales, marketing, change management, international business and finance.</w:t>
      </w:r>
    </w:p>
    <w:p>
      <w:pPr>
        <w:spacing w:after="0" w:line="18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Randall J. Wichinski has been a Director of the Company since June 1999. He is currently President of East Cincinnati Running Company, Inc. From April 1983 to March 1999, Mr. Wichinski was employed at Ernst &amp; Young LLP, an international accounting and consulting firm, serving as a Tax Partner for ten years. He received a bachelor's degree in 1977 and a Masters of Business Administration degree in 1982 from the University of Wisconsin-Madison.</w:t>
      </w:r>
    </w:p>
    <w:p>
      <w:pPr>
        <w:spacing w:after="0" w:line="21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David Wiener has been a Director of the Company since January 2000. Mr. Wiener has served as President and CEO of SoundTube Entertainment, Inc., a manufacturer of innovative commercial and consumer audio speakers, since January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All directors serve until their successors are elected and have qualified. The Company pays each director $650 per month for services provided as a director. Directors who are also employees of the Company receive no additional compensation for serving on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Board of Directors has two committees: the Audit and Compensation Committees. The Audit Committee is currently composed of Mr. Edward Dallin Bagley, Mr. Brad R. Baldwin, Mr. Randall J. Wichinski and Mr. David Wiener. The Compensation Committee is currently composed of Mr. Edward Dallin Bagley, Mr. Brad R. Baldwin, Mr. Randall J. Wichinski and Mr. David Wiener.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9" w:name="page10"/>
    <w:bookmarkEnd w:id="9"/>
    <w:p>
      <w:pPr>
        <w:jc w:val="both"/>
        <w:ind w:right="1779"/>
        <w:spacing w:after="0" w:line="237" w:lineRule="auto"/>
        <w:rPr>
          <w:sz w:val="20"/>
          <w:szCs w:val="20"/>
          <w:color w:val="auto"/>
        </w:rPr>
      </w:pPr>
      <w:r>
        <w:rPr>
          <w:rFonts w:ascii="Courier New" w:cs="Courier New" w:eastAsia="Courier New" w:hAnsi="Courier New"/>
          <w:sz w:val="18"/>
          <w:szCs w:val="18"/>
          <w:color w:val="auto"/>
        </w:rPr>
        <w:t>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Board of Directors held seven meetings during the last fiscal year. The Audit Committee held one formal meeting during the last fiscal year. The Compensation Committee held one formal meeting during the last fiscal year. During the last fiscal year no incumbent director attended fewer than 75 percent of all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Officers are elected to serve, subject to the discretion of the Board of Directors, until their successors are appointed. The executive officers of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Age</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2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44</w:t>
            </w: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President and Chief Executive Officer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Tracy Bathurst</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of Technology</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of Human Resources</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40</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Vice President of Finance and Chief Financial</w:t>
            </w:r>
          </w:p>
        </w:tc>
      </w:tr>
      <w:tr>
        <w:trPr>
          <w:trHeight w:val="203"/>
        </w:trPr>
        <w:tc>
          <w:tcPr>
            <w:tcW w:w="2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the biography of Ms. Flood, see "Directors."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Tracy Bathurst was named Vice President of Technology in April 2000. He has been with Gentner since 1988, serving in various roles in engineering and engineering management. He is responsible for engineering and technology development for the organization. Prior to joining the Company, Mr. Bathurst worked in the cable television and telecommunications industries for over five years. Mr. Bathurst holds a Bachelor of Science degree from Southern Utah University.</w:t>
      </w:r>
    </w:p>
    <w:p>
      <w:pPr>
        <w:spacing w:after="0" w:line="211" w:lineRule="exact"/>
        <w:rPr>
          <w:sz w:val="20"/>
          <w:szCs w:val="20"/>
          <w:color w:val="auto"/>
        </w:rPr>
      </w:pPr>
    </w:p>
    <w:p>
      <w:pPr>
        <w:jc w:val="both"/>
        <w:ind w:right="1779" w:firstLine="843"/>
        <w:spacing w:after="0" w:line="272" w:lineRule="auto"/>
        <w:rPr>
          <w:sz w:val="20"/>
          <w:szCs w:val="20"/>
          <w:color w:val="auto"/>
        </w:rPr>
      </w:pPr>
      <w:r>
        <w:rPr>
          <w:rFonts w:ascii="Courier New" w:cs="Courier New" w:eastAsia="Courier New" w:hAnsi="Courier New"/>
          <w:sz w:val="16"/>
          <w:szCs w:val="16"/>
          <w:color w:val="auto"/>
        </w:rPr>
        <w:t>Curtis Hewitson was named Vice President of Human Resources for Gentner Communications in November 1998. He has been with Gentner since December 1994 serving in Human Resources. He is responsible for all aspects of Human Resources and office administration. Prior to joining the Company, Mr. Hewitson worked in the telecommunications industry for nine years. In 1989, Mr. Hewitson received a Bachelor of Science degree from the University of Utah.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jc w:val="both"/>
        <w:ind w:right="1779" w:firstLine="843"/>
        <w:spacing w:after="0" w:line="271" w:lineRule="auto"/>
        <w:rPr>
          <w:sz w:val="20"/>
          <w:szCs w:val="20"/>
          <w:color w:val="auto"/>
        </w:rPr>
      </w:pPr>
      <w:r>
        <w:rPr>
          <w:rFonts w:ascii="Courier New" w:cs="Courier New" w:eastAsia="Courier New" w:hAnsi="Courier New"/>
          <w:sz w:val="16"/>
          <w:szCs w:val="16"/>
          <w:color w:val="auto"/>
        </w:rPr>
        <w:t>Susie S. Strohm became Vice President of Finance in 1997 and was named CFO during 1998. In 1996, Ms. Strohm joined the Company as its Controller. She is responsible for all the Company's accounting, financial and tax planning, financial and management reporting, and Securities and Exchange Commission filings. Prior to joining the Company, Ms. Strohm was the Controller for Newspaper Agency Corporation in Salt Lake City, Utah. She graduated from the University of Utah with a Bachelor of Science degree in Accounting, and received her Masters of Business Administration degree from Westminster College.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Summary Compensation</w:t>
      </w:r>
    </w:p>
    <w:p>
      <w:pPr>
        <w:spacing w:after="0" w:line="207" w:lineRule="exact"/>
        <w:rPr>
          <w:sz w:val="20"/>
          <w:szCs w:val="20"/>
          <w:color w:val="auto"/>
        </w:rPr>
      </w:pPr>
    </w:p>
    <w:p>
      <w:pPr>
        <w:jc w:val="both"/>
        <w:ind w:right="1779" w:firstLine="843"/>
        <w:spacing w:after="0" w:line="273" w:lineRule="auto"/>
        <w:rPr>
          <w:sz w:val="20"/>
          <w:szCs w:val="20"/>
          <w:color w:val="auto"/>
        </w:rPr>
      </w:pPr>
      <w:r>
        <w:rPr>
          <w:rFonts w:ascii="Courier New" w:cs="Courier New" w:eastAsia="Courier New" w:hAnsi="Courier New"/>
          <w:sz w:val="16"/>
          <w:szCs w:val="16"/>
          <w:color w:val="auto"/>
        </w:rPr>
        <w:t>The following table sets forth the compensation of the Chief Executive Officer of the Company and the other most highly compensated executive officers of the Company for each of the Company's last three fiscal years whose total salary and bonus for the year ended June 30, 2000 exceeded $100,000, for services rendered in all capacities to the Company during such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4220" w:type="dxa"/>
            <w:vAlign w:val="bottom"/>
            <w:gridSpan w:val="4"/>
          </w:tcPr>
          <w:p>
            <w:pPr>
              <w:jc w:val="right"/>
              <w:ind w:right="752"/>
              <w:spacing w:after="0"/>
              <w:rPr>
                <w:sz w:val="20"/>
                <w:szCs w:val="20"/>
                <w:color w:val="auto"/>
              </w:rPr>
            </w:pPr>
            <w:r>
              <w:rPr>
                <w:rFonts w:ascii="Courier New" w:cs="Courier New" w:eastAsia="Courier New" w:hAnsi="Courier New"/>
                <w:sz w:val="18"/>
                <w:szCs w:val="18"/>
                <w:color w:val="auto"/>
              </w:rPr>
              <w:t>SUMMARY COMPENSATION TABLE</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Annual Compensation</w:t>
            </w:r>
          </w:p>
        </w:tc>
        <w:tc>
          <w:tcPr>
            <w:tcW w:w="4000" w:type="dxa"/>
            <w:vAlign w:val="bottom"/>
            <w:gridSpan w:val="4"/>
          </w:tcPr>
          <w:p>
            <w:pPr>
              <w:jc w:val="right"/>
              <w:ind w:right="872"/>
              <w:spacing w:after="0"/>
              <w:rPr>
                <w:sz w:val="20"/>
                <w:szCs w:val="20"/>
                <w:color w:val="auto"/>
              </w:rPr>
            </w:pPr>
            <w:r>
              <w:rPr>
                <w:rFonts w:ascii="Courier New" w:cs="Courier New" w:eastAsia="Courier New" w:hAnsi="Courier New"/>
                <w:sz w:val="18"/>
                <w:szCs w:val="18"/>
                <w:color w:val="auto"/>
              </w:rPr>
              <w:t>Long-Term Compensation</w:t>
            </w: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Awards</w:t>
            </w:r>
          </w:p>
        </w:tc>
        <w:tc>
          <w:tcPr>
            <w:tcW w:w="190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Payouts</w:t>
            </w: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ind w:left="95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Restric-</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w:t>
            </w:r>
          </w:p>
        </w:tc>
        <w:tc>
          <w:tcPr>
            <w:tcW w:w="68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All</w:t>
            </w: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Annual</w:t>
            </w: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ted</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lying</w:t>
            </w:r>
          </w:p>
        </w:tc>
        <w:tc>
          <w:tcPr>
            <w:tcW w:w="6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Options</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LTIP</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Bonus</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sation</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/SARS</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Payouts sation(1)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CEO &amp; President</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$160,333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$73,700</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50,000</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$1,802</w:t>
            </w:r>
          </w:p>
        </w:tc>
      </w:tr>
      <w:tr>
        <w:trPr>
          <w:trHeight w:val="405"/>
        </w:trPr>
        <w:tc>
          <w:tcPr>
            <w:tcW w:w="2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$104,912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$66,064</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None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$2,022</w:t>
            </w:r>
          </w:p>
        </w:tc>
      </w:tr>
      <w:tr>
        <w:trPr>
          <w:trHeight w:val="405"/>
        </w:trPr>
        <w:tc>
          <w:tcPr>
            <w:tcW w:w="2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$117,310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$16,649</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None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President(2)</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$73,574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$31,400</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50,000</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$1,841</w:t>
            </w:r>
          </w:p>
        </w:tc>
      </w:tr>
      <w:tr>
        <w:trPr>
          <w:trHeight w:val="405"/>
        </w:trPr>
        <w:tc>
          <w:tcPr>
            <w:tcW w:w="2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$10,278</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None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$1,800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CFO &amp; Vice President</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$100,167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$55,538</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50,000</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$1,976</w:t>
            </w:r>
          </w:p>
        </w:tc>
      </w:tr>
      <w:tr>
        <w:trPr>
          <w:trHeight w:val="405"/>
        </w:trPr>
        <w:tc>
          <w:tcPr>
            <w:tcW w:w="2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$72,716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$44,414</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None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$1,721</w:t>
            </w:r>
          </w:p>
        </w:tc>
      </w:tr>
      <w:tr>
        <w:trPr>
          <w:trHeight w:val="405"/>
        </w:trPr>
        <w:tc>
          <w:tcPr>
            <w:tcW w:w="2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$81,991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$9,849</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None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0" w:lineRule="exact"/>
        <w:rPr>
          <w:sz w:val="20"/>
          <w:szCs w:val="20"/>
          <w:color w:val="auto"/>
        </w:rPr>
      </w:pPr>
    </w:p>
    <w:p>
      <w:pPr>
        <w:spacing w:after="0" w:line="209" w:lineRule="exact"/>
        <w:rPr>
          <w:sz w:val="20"/>
          <w:szCs w:val="20"/>
          <w:color w:val="auto"/>
        </w:rPr>
      </w:pPr>
    </w:p>
    <w:p>
      <w:pPr>
        <w:ind w:left="540" w:right="2000"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reflect the Company's contributions to the deferred compensation plan (401(k) plan).</w:t>
      </w:r>
    </w:p>
    <w:p>
      <w:pPr>
        <w:spacing w:after="0" w:line="6" w:lineRule="exact"/>
        <w:rPr>
          <w:sz w:val="20"/>
          <w:szCs w:val="20"/>
          <w:color w:val="auto"/>
        </w:rPr>
      </w:pPr>
    </w:p>
    <w:p>
      <w:pPr>
        <w:ind w:right="3060" w:firstLine="8"/>
        <w:spacing w:after="0" w:line="470"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Hewitson was not an executive officer until fiscal year 1999. Stock Options/SARS</w:t>
      </w:r>
    </w:p>
    <w:p>
      <w:pPr>
        <w:spacing w:after="0" w:line="12" w:lineRule="exact"/>
        <w:rPr>
          <w:sz w:val="20"/>
          <w:szCs w:val="20"/>
          <w:color w:val="auto"/>
        </w:rPr>
      </w:pPr>
    </w:p>
    <w:p>
      <w:pPr>
        <w:ind w:right="2000"/>
        <w:spacing w:after="0" w:line="235"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for the last fiscal year: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440"/>
          </w:cols>
          <w:pgMar w:left="240" w:top="1122" w:right="1219" w:bottom="1440" w:gutter="0" w:footer="0" w:header="0"/>
        </w:sectPr>
      </w:pPr>
    </w:p>
    <w:bookmarkStart w:id="12" w:name="page13"/>
    <w:bookmarkEnd w:id="12"/>
    <w:p>
      <w:pPr>
        <w:ind w:left="1480"/>
        <w:spacing w:after="0"/>
        <w:rPr>
          <w:sz w:val="20"/>
          <w:szCs w:val="20"/>
          <w:color w:val="auto"/>
        </w:rPr>
      </w:pPr>
      <w:r>
        <w:rPr>
          <w:rFonts w:ascii="Courier New" w:cs="Courier New" w:eastAsia="Courier New" w:hAnsi="Courier New"/>
          <w:sz w:val="18"/>
          <w:szCs w:val="18"/>
          <w:color w:val="auto"/>
        </w:rPr>
        <w:t>OPTION/SAR GRANTS IN FISCAL YEAR ENDED JUNE 30, 2000</w:t>
      </w: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358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Percent</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Total Options</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Underlying</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/SARs Granted</w:t>
            </w: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Options/SARs</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 Employees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or Base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Expiration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Fiscal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Price ($/Sh)</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800" w:type="dxa"/>
            <w:vAlign w:val="bottom"/>
          </w:tcPr>
          <w:p>
            <w:pPr>
              <w:ind w:left="520"/>
              <w:spacing w:after="0"/>
              <w:rPr>
                <w:sz w:val="20"/>
                <w:szCs w:val="20"/>
                <w:color w:val="auto"/>
              </w:rPr>
            </w:pPr>
            <w:r>
              <w:rPr>
                <w:rFonts w:ascii="Courier New" w:cs="Courier New" w:eastAsia="Courier New" w:hAnsi="Courier New"/>
                <w:sz w:val="18"/>
                <w:szCs w:val="18"/>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spacing w:after="0"/>
              <w:rPr>
                <w:sz w:val="24"/>
                <w:szCs w:val="24"/>
                <w:color w:val="auto"/>
              </w:rPr>
            </w:pPr>
          </w:p>
        </w:tc>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$15.25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6/30/2010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1800" w:type="dxa"/>
            <w:vAlign w:val="bottom"/>
          </w:tcPr>
          <w:p>
            <w:pPr>
              <w:ind w:left="520"/>
              <w:spacing w:after="0"/>
              <w:rPr>
                <w:sz w:val="20"/>
                <w:szCs w:val="20"/>
                <w:color w:val="auto"/>
              </w:rPr>
            </w:pPr>
            <w:r>
              <w:rPr>
                <w:rFonts w:ascii="Courier New" w:cs="Courier New" w:eastAsia="Courier New" w:hAnsi="Courier New"/>
                <w:sz w:val="18"/>
                <w:szCs w:val="18"/>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spacing w:after="0"/>
              <w:rPr>
                <w:sz w:val="24"/>
                <w:szCs w:val="24"/>
                <w:color w:val="auto"/>
              </w:rPr>
            </w:pPr>
          </w:p>
        </w:tc>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$15.25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6/30/2010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1800" w:type="dxa"/>
            <w:vAlign w:val="bottom"/>
          </w:tcPr>
          <w:p>
            <w:pPr>
              <w:ind w:left="520"/>
              <w:spacing w:after="0"/>
              <w:rPr>
                <w:sz w:val="20"/>
                <w:szCs w:val="20"/>
                <w:color w:val="auto"/>
              </w:rPr>
            </w:pPr>
            <w:r>
              <w:rPr>
                <w:rFonts w:ascii="Courier New" w:cs="Courier New" w:eastAsia="Courier New" w:hAnsi="Courier New"/>
                <w:sz w:val="18"/>
                <w:szCs w:val="18"/>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spacing w:after="0"/>
              <w:rPr>
                <w:sz w:val="24"/>
                <w:szCs w:val="24"/>
                <w:color w:val="auto"/>
              </w:rPr>
            </w:pPr>
          </w:p>
        </w:tc>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$15.25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6/30/2010</w:t>
            </w:r>
          </w:p>
        </w:tc>
      </w:tr>
    </w:tbl>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These underlying options will vest in total ("cliff vest") at the end of six years from the date of grant. However, vesting of all or a portion of these options may be accelerated if certain targeted earnings per share goals are met.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fiscal 2000 and the year-end value in-the-money of unexercised options and SARs: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AGGREGATED OPTION/SAR EXERCISES IN FISCAL YEAR ENDED JUNE 30, 2000</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FISCAL YEAR-END OPTION/SAR VALUES</w:t>
            </w:r>
          </w:p>
        </w:tc>
        <w:tc>
          <w:tcPr>
            <w:tcW w:w="242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242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Value of</w:t>
            </w:r>
          </w:p>
        </w:tc>
      </w:tr>
      <w:tr>
        <w:trPr>
          <w:trHeight w:val="203"/>
        </w:trPr>
        <w:tc>
          <w:tcPr>
            <w:tcW w:w="2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Underlying</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2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Unexercised</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Options/SARs</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2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at FY-End (#)</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 FY-End ($)</w:t>
            </w:r>
          </w:p>
        </w:tc>
      </w:tr>
      <w:tr>
        <w:trPr>
          <w:trHeight w:val="203"/>
        </w:trPr>
        <w:tc>
          <w:tcPr>
            <w:tcW w:w="212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Acquired</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Value</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Exercisable/</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3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on Exercise (#) Realized ($)</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Unexercisable</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Unexercisable(1)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126,334/196,000</w:t>
            </w:r>
          </w:p>
        </w:tc>
        <w:tc>
          <w:tcPr>
            <w:tcW w:w="242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$1,632,455/$1,777,575</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18,500/116,500</w:t>
            </w:r>
          </w:p>
        </w:tc>
        <w:tc>
          <w:tcPr>
            <w:tcW w:w="242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$216,334/$766,353</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71,964/146,500</w:t>
            </w:r>
          </w:p>
        </w:tc>
        <w:tc>
          <w:tcPr>
            <w:tcW w:w="242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$914,881/$1,125,227</w:t>
            </w:r>
          </w:p>
        </w:tc>
      </w:tr>
    </w:tbl>
    <w:p>
      <w:pPr>
        <w:spacing w:after="0" w:line="200" w:lineRule="exact"/>
        <w:rPr>
          <w:sz w:val="20"/>
          <w:szCs w:val="20"/>
          <w:color w:val="auto"/>
        </w:rPr>
      </w:pPr>
    </w:p>
    <w:p>
      <w:pPr>
        <w:spacing w:after="0" w:line="209" w:lineRule="exact"/>
        <w:rPr>
          <w:sz w:val="20"/>
          <w:szCs w:val="20"/>
          <w:color w:val="auto"/>
        </w:rPr>
      </w:pPr>
    </w:p>
    <w:p>
      <w:pPr>
        <w:ind w:left="320" w:right="1779" w:hanging="312"/>
        <w:spacing w:after="0" w:line="235" w:lineRule="auto"/>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value was calculated based on the closing stock price of $14.00 on June 30,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3" w:name="page14"/>
    <w:bookmarkEnd w:id="13"/>
    <w:p>
      <w:pPr>
        <w:ind w:left="180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Gentner Research Ltd. ("GRL"), is a related limited partnership, formed on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2000, 1999, and 1998 was $16,000, $39,900 and $43,500, respectively. The following directors and/or executive officers and members of their immediate families have purchased the following interests in GRL:</w:t>
      </w:r>
    </w:p>
    <w:p>
      <w:pPr>
        <w:spacing w:after="0" w:line="209"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Edward</w:t>
            </w:r>
          </w:p>
        </w:tc>
        <w:tc>
          <w:tcPr>
            <w:tcW w:w="4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Dallin Bagley (Director)...................</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10.42%</w:t>
            </w:r>
          </w:p>
        </w:tc>
      </w:tr>
      <w:tr>
        <w:trPr>
          <w:trHeight w:val="203"/>
        </w:trPr>
        <w:tc>
          <w:tcPr>
            <w:tcW w:w="5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Bagley Family Revocable Trust.................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4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 Baldwin (father of Brad Baldwin)........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w:t>
            </w:r>
          </w:p>
        </w:tc>
      </w:tr>
    </w:tbl>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with GR2L for the years ending June 30, 2000, 1999, and 1998 was $106,084, $82,989 and $54,810. The following directors and/or executive officers and members of their immediate families have purchased the following interests in GR2L:</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360" w:type="dxa"/>
            <w:vAlign w:val="bottom"/>
            <w:gridSpan w:val="2"/>
          </w:tcPr>
          <w:p>
            <w:pPr>
              <w:ind w:left="720"/>
              <w:spacing w:after="0"/>
              <w:rPr>
                <w:sz w:val="20"/>
                <w:szCs w:val="20"/>
                <w:color w:val="auto"/>
              </w:rPr>
            </w:pPr>
            <w:r>
              <w:rPr>
                <w:rFonts w:ascii="Courier New" w:cs="Courier New" w:eastAsia="Courier New" w:hAnsi="Courier New"/>
                <w:sz w:val="18"/>
                <w:szCs w:val="18"/>
                <w:color w:val="auto"/>
                <w:w w:val="99"/>
              </w:rPr>
              <w:t>Brad R. Baldwin</w:t>
            </w: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w w:val="98"/>
              </w:rPr>
              <w:t>(Director)........................</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3.19%</w:t>
            </w:r>
          </w:p>
        </w:tc>
      </w:tr>
      <w:tr>
        <w:trPr>
          <w:trHeight w:val="203"/>
        </w:trPr>
        <w:tc>
          <w:tcPr>
            <w:tcW w:w="6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Robert O. Baldwin (father of Brad Baldwin)........</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Edward</w:t>
            </w:r>
          </w:p>
        </w:tc>
        <w:tc>
          <w:tcPr>
            <w:tcW w:w="4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 Bagley (Director).......................</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6.39%</w:t>
            </w:r>
          </w:p>
        </w:tc>
      </w:tr>
      <w:tr>
        <w:trPr>
          <w:trHeight w:val="203"/>
        </w:trPr>
        <w:tc>
          <w:tcPr>
            <w:tcW w:w="6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Bagley Family Revocable Trust.................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6.39%</w:t>
            </w:r>
          </w:p>
        </w:tc>
      </w:tr>
      <w:tr>
        <w:trPr>
          <w:trHeight w:val="405"/>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5"/>
              </w:rPr>
              <w:t>Mr.  Bagley's</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mother</w:t>
            </w:r>
          </w:p>
        </w:tc>
        <w:tc>
          <w:tcPr>
            <w:tcW w:w="3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is the  sole  beneficiary  of the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Bagley  Family</w:t>
            </w:r>
          </w:p>
        </w:tc>
      </w:tr>
    </w:tbl>
    <w:p>
      <w:pPr>
        <w:spacing w:after="0" w:line="238" w:lineRule="auto"/>
        <w:rPr>
          <w:sz w:val="20"/>
          <w:szCs w:val="20"/>
          <w:color w:val="auto"/>
        </w:rPr>
      </w:pPr>
      <w:r>
        <w:rPr>
          <w:rFonts w:ascii="Courier New" w:cs="Courier New" w:eastAsia="Courier New" w:hAnsi="Courier New"/>
          <w:sz w:val="18"/>
          <w:szCs w:val="18"/>
          <w:color w:val="auto"/>
        </w:rPr>
        <w:t>Revocable Trust.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211"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To the Company's knowledge, the persons described above have filed all applicable Section 16(a) requirements during the preceding fiscal year, except that the following Forms were filed late: Mr. Wiener's Form 3 upon his election to the Board of Directors; Mr. Edward N. Bagley's Form 4 following his death; Mr. Wichinski's Form 4 relating to an open market purchase of stock; and Mr. Hewitson's Form 4 relating to an open market purchase of stock.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4" w:name="page15"/>
    <w:bookmarkEnd w:id="14"/>
    <w:p>
      <w:pPr>
        <w:jc w:val="center"/>
        <w:ind w:right="1659"/>
        <w:spacing w:after="0"/>
        <w:rPr>
          <w:sz w:val="20"/>
          <w:szCs w:val="20"/>
          <w:color w:val="auto"/>
        </w:rPr>
      </w:pPr>
      <w:r>
        <w:rPr>
          <w:rFonts w:ascii="Courier New" w:cs="Courier New" w:eastAsia="Courier New" w:hAnsi="Courier New"/>
          <w:sz w:val="18"/>
          <w:szCs w:val="18"/>
          <w:color w:val="auto"/>
        </w:rPr>
        <w:t>PROPOSAL TWO -- RATIFICATION OF THE APPOINTMENT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INDEPENDENT AUDITORS</w:t>
      </w:r>
    </w:p>
    <w:p>
      <w:pPr>
        <w:spacing w:after="0" w:line="207" w:lineRule="exact"/>
        <w:rPr>
          <w:sz w:val="20"/>
          <w:szCs w:val="20"/>
          <w:color w:val="auto"/>
        </w:rPr>
      </w:pPr>
    </w:p>
    <w:p>
      <w:pPr>
        <w:jc w:val="both"/>
        <w:ind w:right="1779" w:firstLine="843"/>
        <w:spacing w:after="0" w:line="275" w:lineRule="auto"/>
        <w:rPr>
          <w:sz w:val="20"/>
          <w:szCs w:val="20"/>
          <w:color w:val="auto"/>
        </w:rPr>
      </w:pPr>
      <w:r>
        <w:rPr>
          <w:rFonts w:ascii="Courier New" w:cs="Courier New" w:eastAsia="Courier New" w:hAnsi="Courier New"/>
          <w:sz w:val="16"/>
          <w:szCs w:val="16"/>
          <w:color w:val="auto"/>
        </w:rPr>
        <w:t>The Board of Directors has appointed Ernst &amp; Young, LLP, as independent auditors for the Company for the current fiscal year, and recommends that the shareholders vote for ratification of such appointment. Ernst &amp; Young, LLP, has served as the Company's independent auditors since 1990.</w:t>
      </w:r>
    </w:p>
    <w:p>
      <w:pPr>
        <w:spacing w:after="0" w:line="18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&amp; Young will attend the Annual Meeting and will be available to respond to questions. It is not anticipated that the representative will make any statement or presentation, although he will have an opportunity to do so if he desires.</w:t>
      </w:r>
    </w:p>
    <w:p>
      <w:pPr>
        <w:spacing w:after="0" w:line="21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RATIFICATION OF THE APPOINTMENT OF THE INDEPENDENT AUDITORS.</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20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Frances M. Flood, President</w:t>
      </w:r>
    </w:p>
    <w:p>
      <w:pPr>
        <w:ind w:left="380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October 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upperLetter"/>
      <w:start w:val="2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upperLetter"/>
      <w:start w:val="24"/>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
      <w:numFmt w:val="bullet"/>
      <w:start w:val="1"/>
    </w:lvl>
    <w:lvl w:ilvl="1">
      <w:lvlJc w:val="left"/>
      <w:lvlText w:val="%2)"/>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lowerRoman"/>
      <w:start w:val="3"/>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2"/>
      <w:numFmt w:val="bullet"/>
      <w:start w:val="1"/>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4"/>
      <w:numFmt w:val="bullet"/>
      <w:start w:val="1"/>
    </w:lvl>
  </w:abstractNum>
  <w:abstractNum w:abstractNumId="13">
    <w:nsid w:val="431BD7B7"/>
    <w:multiLevelType w:val="hybridMultilevel"/>
    <w:lvl w:ilvl="0">
      <w:lvlJc w:val="left"/>
      <w:lvlText w:val="5"/>
      <w:numFmt w:val="bullet"/>
      <w:start w:val="1"/>
    </w:lvl>
  </w:abstractNum>
  <w:abstractNum w:abstractNumId="14">
    <w:nsid w:val="3F2DBA31"/>
    <w:multiLevelType w:val="hybridMultilevel"/>
    <w:lvl w:ilvl="0">
      <w:lvlJc w:val="left"/>
      <w:lvlText w:val="6"/>
      <w:numFmt w:val="bullet"/>
      <w:start w:val="1"/>
    </w:lvl>
  </w:abstractNum>
  <w:abstractNum w:abstractNumId="15">
    <w:nsid w:val="7C83E458"/>
    <w:multiLevelType w:val="hybridMultilevel"/>
    <w:lvl w:ilvl="0">
      <w:lvlJc w:val="left"/>
      <w:lvlText w:val="7"/>
      <w:numFmt w:val="bullet"/>
      <w:start w:val="1"/>
    </w:lvl>
  </w:abstractNum>
  <w:abstractNum w:abstractNumId="16">
    <w:nsid w:val="257130A3"/>
    <w:multiLevelType w:val="hybridMultilevel"/>
    <w:lvl w:ilvl="0">
      <w:lvlJc w:val="left"/>
      <w:lvlText w:val="8"/>
      <w:numFmt w:val="bullet"/>
      <w:start w:val="1"/>
    </w:lvl>
  </w:abstractNum>
  <w:abstractNum w:abstractNumId="17">
    <w:nsid w:val="62BBD95A"/>
    <w:multiLevelType w:val="hybridMultilevel"/>
    <w:lvl w:ilvl="0">
      <w:lvlJc w:val="left"/>
      <w:lvlText w:val="9"/>
      <w:numFmt w:val="bullet"/>
      <w:start w:val="1"/>
    </w:lvl>
  </w:abstractNum>
  <w:abstractNum w:abstractNumId="18">
    <w:nsid w:val="436C6125"/>
    <w:multiLevelType w:val="hybridMultilevel"/>
    <w:lvl w:ilvl="0">
      <w:lvlJc w:val="left"/>
      <w:lvlText w:val="%1"/>
      <w:numFmt w:val="decimal"/>
      <w:start w:val="10"/>
    </w:lvl>
  </w:abstractNum>
  <w:abstractNum w:abstractNumId="19">
    <w:nsid w:val="628C895D"/>
    <w:multiLevelType w:val="hybridMultilevel"/>
    <w:lvl w:ilvl="0">
      <w:lvlJc w:val="left"/>
      <w:lvlText w:val="1"/>
      <w:numFmt w:val="bullet"/>
      <w:start w:val="1"/>
    </w:lvl>
  </w:abstractNum>
  <w:abstractNum w:abstractNumId="20">
    <w:nsid w:val="333AB105"/>
    <w:multiLevelType w:val="hybridMultilevel"/>
    <w:lvl w:ilvl="0">
      <w:lvlJc w:val="left"/>
      <w:lvlText w:val="2"/>
      <w:numFmt w:val="bullet"/>
      <w:start w:val="1"/>
    </w:lvl>
  </w:abstractNum>
  <w:abstractNum w:abstractNumId="21">
    <w:nsid w:val="721DA31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2019-12-13T18:13:49Z</dcterms:created>
  <dcterms:modified xsi:type="dcterms:W3CDTF">2019-12-13T18:13:49Z</dcterms:modified>
</cp:coreProperties>
</file>