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ind w:left="340" w:right="1900" w:hanging="332"/>
        <w:spacing w:after="0" w:line="282"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March 31, 2017</w:t>
      </w:r>
    </w:p>
    <w:p>
      <w:pPr>
        <w:spacing w:after="0" w:line="16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or</w:t>
      </w:r>
    </w:p>
    <w:p>
      <w:pPr>
        <w:spacing w:after="0" w:line="221" w:lineRule="exact"/>
        <w:rPr>
          <w:sz w:val="24"/>
          <w:szCs w:val="24"/>
          <w:color w:val="auto"/>
        </w:rPr>
      </w:pPr>
    </w:p>
    <w:p>
      <w:pPr>
        <w:ind w:left="340" w:right="1920" w:hanging="332"/>
        <w:spacing w:after="0" w:line="282" w:lineRule="auto"/>
        <w:tabs>
          <w:tab w:leader="none" w:pos="166"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TRANSITION REPORT PURSUANT TO SECTION 13 OR 15(d) OF THE SECURITIES EXCHANGE ACT OF 1934</w:t>
      </w:r>
      <w:r>
        <w:rPr>
          <w:rFonts w:ascii="Arial" w:cs="Arial" w:eastAsia="Arial" w:hAnsi="Arial"/>
          <w:sz w:val="18"/>
          <w:szCs w:val="18"/>
          <w:color w:val="auto"/>
        </w:rPr>
        <w:t xml:space="preserve"> For the transition period _______ to _______</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001-33660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154940</wp:posOffset>
            </wp:positionV>
            <wp:extent cx="1329055" cy="257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9055" cy="2571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CLEARONE,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Utah</w:t>
            </w:r>
          </w:p>
        </w:tc>
        <w:tc>
          <w:tcPr>
            <w:tcW w:w="5600" w:type="dxa"/>
            <w:vAlign w:val="bottom"/>
          </w:tcPr>
          <w:p>
            <w:pPr>
              <w:jc w:val="right"/>
              <w:ind w:right="2270"/>
              <w:spacing w:after="0"/>
              <w:rPr>
                <w:sz w:val="20"/>
                <w:szCs w:val="20"/>
                <w:color w:val="auto"/>
              </w:rPr>
            </w:pPr>
            <w:r>
              <w:rPr>
                <w:rFonts w:ascii="Arial" w:cs="Arial" w:eastAsia="Arial" w:hAnsi="Arial"/>
                <w:sz w:val="18"/>
                <w:szCs w:val="18"/>
                <w:b w:val="1"/>
                <w:bCs w:val="1"/>
                <w:color w:val="auto"/>
              </w:rPr>
              <w:t>87-0398877</w:t>
            </w:r>
          </w:p>
        </w:tc>
      </w:tr>
      <w:tr>
        <w:trPr>
          <w:trHeight w:val="230"/>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00" w:type="dxa"/>
            <w:vAlign w:val="bottom"/>
          </w:tcPr>
          <w:p>
            <w:pPr>
              <w:spacing w:after="0"/>
              <w:rPr>
                <w:sz w:val="20"/>
                <w:szCs w:val="20"/>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 identification number)</w:t>
            </w:r>
          </w:p>
        </w:tc>
      </w:tr>
      <w:tr>
        <w:trPr>
          <w:trHeight w:val="438"/>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5600" w:type="dxa"/>
            <w:vAlign w:val="bottom"/>
          </w:tcPr>
          <w:p>
            <w:pPr>
              <w:jc w:val="right"/>
              <w:ind w:right="2490"/>
              <w:spacing w:after="0"/>
              <w:rPr>
                <w:sz w:val="20"/>
                <w:szCs w:val="20"/>
                <w:color w:val="auto"/>
              </w:rPr>
            </w:pPr>
            <w:r>
              <w:rPr>
                <w:rFonts w:ascii="Arial" w:cs="Arial" w:eastAsia="Arial" w:hAnsi="Arial"/>
                <w:sz w:val="18"/>
                <w:szCs w:val="18"/>
                <w:b w:val="1"/>
                <w:bCs w:val="1"/>
                <w:color w:val="auto"/>
              </w:rPr>
              <w:t>84116</w:t>
            </w:r>
          </w:p>
        </w:tc>
      </w:tr>
      <w:tr>
        <w:trPr>
          <w:trHeight w:val="230"/>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 (801) 975-7200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2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747" w:right="239" w:bottom="1440" w:gutter="0" w:footer="0" w:header="0"/>
        </w:sectPr>
      </w:pP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Larger Accelerated Filer [ ]</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 ] (Do not check if a smaller reporting company)</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[X]</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w:t>
      </w:r>
    </w:p>
    <w:p>
      <w:pPr>
        <w:spacing w:after="0" w:line="20" w:lineRule="exact"/>
        <w:rPr>
          <w:sz w:val="24"/>
          <w:szCs w:val="24"/>
          <w:color w:val="auto"/>
        </w:rPr>
      </w:pPr>
      <w:r>
        <w:rPr>
          <w:sz w:val="24"/>
          <w:szCs w:val="24"/>
          <w:color w:val="auto"/>
        </w:rPr>
        <w:br w:type="column"/>
      </w:r>
    </w:p>
    <w:p>
      <w:pPr>
        <w:spacing w:after="0" w:line="377"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4"/>
          <w:szCs w:val="24"/>
          <w:color w:val="auto"/>
        </w:rPr>
      </w:pPr>
    </w:p>
    <w:p>
      <w:pPr>
        <w:sectPr>
          <w:pgSz w:w="11900" w:h="16838" w:orient="portrait"/>
          <w:cols w:equalWidth="0" w:num="3">
            <w:col w:w="6720" w:space="720"/>
            <w:col w:w="2180" w:space="80"/>
            <w:col w:w="1720"/>
          </w:cols>
          <w:pgMar w:left="240" w:top="747" w:right="239" w:bottom="1440" w:gutter="0" w:footer="0" w:header="0"/>
          <w:type w:val="continuous"/>
        </w:sectPr>
      </w:pPr>
    </w:p>
    <w:p>
      <w:pPr>
        <w:spacing w:after="0"/>
        <w:rPr>
          <w:sz w:val="20"/>
          <w:szCs w:val="20"/>
          <w:color w:val="auto"/>
        </w:rPr>
      </w:pPr>
      <w:r>
        <w:rPr>
          <w:rFonts w:ascii="Arial" w:cs="Arial" w:eastAsia="Arial" w:hAnsi="Arial"/>
          <w:sz w:val="17"/>
          <w:szCs w:val="17"/>
          <w:color w:val="auto"/>
        </w:rPr>
        <w:t>Emerging growth company [ ]</w:t>
      </w:r>
    </w:p>
    <w:p>
      <w:pPr>
        <w:sectPr>
          <w:pgSz w:w="11900" w:h="16838" w:orient="portrait"/>
          <w:cols w:equalWidth="0" w:num="1">
            <w:col w:w="11420"/>
          </w:cols>
          <w:pgMar w:left="240" w:top="747" w:right="239" w:bottom="1440" w:gutter="0" w:footer="0" w:header="0"/>
          <w:type w:val="continuous"/>
        </w:sectPr>
      </w:pPr>
    </w:p>
    <w:p>
      <w:pPr>
        <w:spacing w:after="0" w:line="22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ClearOne common stock outstanding as of May 5, 2017 was 8,704,410.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 FOR THE QUARTER ENDED MARCH 31, 2017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740" w:type="dxa"/>
            <w:vAlign w:val="bottom"/>
            <w:gridSpan w:val="8"/>
          </w:tcPr>
          <w:p>
            <w:pPr>
              <w:jc w:val="center"/>
              <w:ind w:right="4600"/>
              <w:spacing w:after="0"/>
              <w:rPr>
                <w:sz w:val="20"/>
                <w:szCs w:val="20"/>
                <w:color w:val="auto"/>
              </w:rPr>
            </w:pPr>
            <w:r>
              <w:rPr>
                <w:rFonts w:ascii="Arial" w:cs="Arial" w:eastAsia="Arial" w:hAnsi="Arial"/>
                <w:sz w:val="18"/>
                <w:szCs w:val="18"/>
                <w:b w:val="1"/>
                <w:bCs w:val="1"/>
                <w:color w:val="auto"/>
              </w:rPr>
              <w:t>INDEX</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740" w:type="dxa"/>
            <w:vAlign w:val="bottom"/>
            <w:gridSpan w:val="11"/>
            <w:shd w:val="clear" w:color="auto" w:fill="CCEEFF"/>
          </w:tcPr>
          <w:p>
            <w:pPr>
              <w:jc w:val="center"/>
              <w:ind w:right="3580"/>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10160" w:type="dxa"/>
            <w:vAlign w:val="bottom"/>
            <w:gridSpan w:val="23"/>
            <w:shd w:val="clear" w:color="auto" w:fill="CCEEFF"/>
          </w:tcPr>
          <w:p>
            <w:pPr>
              <w:ind w:left="6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540" w:type="dxa"/>
            <w:vAlign w:val="bottom"/>
            <w:shd w:val="clear" w:color="auto" w:fill="CCEEFF"/>
          </w:tcPr>
          <w:p>
            <w:pPr>
              <w:jc w:val="center"/>
              <w:ind w:right="10"/>
              <w:spacing w:after="0" w:line="17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900" w:type="dxa"/>
            <w:vAlign w:val="bottom"/>
            <w:gridSpan w:val="20"/>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Unaudited Condensed Consolidated Balance Sheets as of March 31, 2017 and December 31, 2016</w:t>
              </w:r>
            </w:hyperlink>
          </w:p>
        </w:tc>
        <w:tc>
          <w:tcPr>
            <w:tcW w:w="540" w:type="dxa"/>
            <w:vAlign w:val="bottom"/>
            <w:shd w:val="clear" w:color="auto" w:fill="CCEEFF"/>
          </w:tcPr>
          <w:p>
            <w:pPr>
              <w:jc w:val="center"/>
              <w:ind w:right="10"/>
              <w:spacing w:after="0" w:line="17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920" w:type="dxa"/>
            <w:vAlign w:val="bottom"/>
            <w:gridSpan w:val="21"/>
            <w:shd w:val="clear" w:color="auto" w:fill="CCEEFF"/>
          </w:tcPr>
          <w:p>
            <w:pPr>
              <w:spacing w:after="0" w:line="17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Unaudited Condensed Consolidated Statements of Operations and Comprehensive Income (Loss) for the three months ended March 31,</w:t>
              </w:r>
            </w:hyperlink>
          </w:p>
        </w:tc>
        <w:tc>
          <w:tcPr>
            <w:tcW w:w="540" w:type="dxa"/>
            <w:vAlign w:val="bottom"/>
            <w:shd w:val="clear" w:color="auto" w:fill="CCEEFF"/>
          </w:tcPr>
          <w:p>
            <w:pPr>
              <w:jc w:val="center"/>
              <w:ind w:right="10"/>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780" w:type="dxa"/>
            <w:vAlign w:val="bottom"/>
            <w:tcBorders>
              <w:top w:val="single" w:sz="8" w:color="0000EE"/>
            </w:tcBorders>
            <w:gridSpan w:val="20"/>
            <w:shd w:val="clear" w:color="auto" w:fill="CCEEFF"/>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2017 and 2016</w:t>
              </w:r>
            </w:hyperlink>
          </w:p>
        </w:tc>
        <w:tc>
          <w:tcPr>
            <w:tcW w:w="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900" w:type="dxa"/>
            <w:vAlign w:val="bottom"/>
            <w:gridSpan w:val="20"/>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Unaudited Condensed Consolidated Statements of Cash Flows for the three months ended March 31, 2017 and 2016</w:t>
              </w:r>
            </w:hyperlink>
          </w:p>
        </w:tc>
        <w:tc>
          <w:tcPr>
            <w:tcW w:w="540" w:type="dxa"/>
            <w:vAlign w:val="bottom"/>
            <w:shd w:val="clear" w:color="auto" w:fill="CCEEFF"/>
          </w:tcPr>
          <w:p>
            <w:pPr>
              <w:jc w:val="center"/>
              <w:ind w:right="10"/>
              <w:spacing w:after="0" w:line="17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900" w:type="dxa"/>
            <w:vAlign w:val="bottom"/>
            <w:gridSpan w:val="20"/>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Unaudited Notes to Condensed Consolidated Financial Statements</w:t>
              </w:r>
            </w:hyperlink>
          </w:p>
        </w:tc>
        <w:tc>
          <w:tcPr>
            <w:tcW w:w="540" w:type="dxa"/>
            <w:vAlign w:val="bottom"/>
            <w:shd w:val="clear" w:color="auto" w:fill="CCEEFF"/>
          </w:tcPr>
          <w:p>
            <w:pPr>
              <w:jc w:val="center"/>
              <w:ind w:right="10"/>
              <w:spacing w:after="0" w:line="176" w:lineRule="exact"/>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10160" w:type="dxa"/>
            <w:vAlign w:val="bottom"/>
            <w:gridSpan w:val="23"/>
            <w:shd w:val="clear" w:color="auto" w:fill="CCEEFF"/>
          </w:tcPr>
          <w:p>
            <w:pPr>
              <w:ind w:left="60"/>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540" w:type="dxa"/>
            <w:vAlign w:val="bottom"/>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10160" w:type="dxa"/>
            <w:vAlign w:val="bottom"/>
            <w:gridSpan w:val="23"/>
            <w:shd w:val="clear" w:color="auto" w:fill="CCEEFF"/>
          </w:tcPr>
          <w:p>
            <w:pPr>
              <w:ind w:left="6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Quantitative and Qualitative Disclosures About Market Risk</w:t>
              </w:r>
            </w:hyperlink>
          </w:p>
        </w:tc>
        <w:tc>
          <w:tcPr>
            <w:tcW w:w="540" w:type="dxa"/>
            <w:vAlign w:val="bottom"/>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10160" w:type="dxa"/>
            <w:vAlign w:val="bottom"/>
            <w:gridSpan w:val="23"/>
            <w:shd w:val="clear" w:color="auto" w:fill="CCEEFF"/>
          </w:tcPr>
          <w:p>
            <w:pPr>
              <w:ind w:left="6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Controls and Procedures</w:t>
              </w:r>
            </w:hyperlink>
          </w:p>
        </w:tc>
        <w:tc>
          <w:tcPr>
            <w:tcW w:w="540" w:type="dxa"/>
            <w:vAlign w:val="bottom"/>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0" w:type="dxa"/>
            <w:vAlign w:val="bottom"/>
            <w:gridSpan w:val="10"/>
            <w:shd w:val="clear" w:color="auto" w:fill="CCEEFF"/>
          </w:tcPr>
          <w:p>
            <w:pPr>
              <w:jc w:val="center"/>
              <w:ind w:right="3740"/>
              <w:spacing w:after="0" w:line="176" w:lineRule="exact"/>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PART II – OTHER INFORMATION</w:t>
              </w:r>
            </w:hyperlink>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10160" w:type="dxa"/>
            <w:vAlign w:val="bottom"/>
            <w:gridSpan w:val="23"/>
            <w:shd w:val="clear" w:color="auto" w:fill="CCEEFF"/>
          </w:tcPr>
          <w:p>
            <w:pPr>
              <w:ind w:left="6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Legal Proceedings</w:t>
              </w:r>
            </w:hyperlink>
          </w:p>
        </w:tc>
        <w:tc>
          <w:tcPr>
            <w:tcW w:w="540" w:type="dxa"/>
            <w:vAlign w:val="bottom"/>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10160" w:type="dxa"/>
            <w:vAlign w:val="bottom"/>
            <w:gridSpan w:val="23"/>
            <w:shd w:val="clear" w:color="auto" w:fill="CCEEFF"/>
          </w:tcPr>
          <w:p>
            <w:pPr>
              <w:ind w:left="6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540" w:type="dxa"/>
            <w:vAlign w:val="bottom"/>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10160" w:type="dxa"/>
            <w:vAlign w:val="bottom"/>
            <w:gridSpan w:val="23"/>
            <w:shd w:val="clear" w:color="auto" w:fill="CCEEFF"/>
          </w:tcPr>
          <w:p>
            <w:pPr>
              <w:ind w:left="6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Unregistered Sales of Equity Securities and Use of Proceeds</w:t>
              </w:r>
            </w:hyperlink>
          </w:p>
        </w:tc>
        <w:tc>
          <w:tcPr>
            <w:tcW w:w="540" w:type="dxa"/>
            <w:vAlign w:val="bottom"/>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10160" w:type="dxa"/>
            <w:vAlign w:val="bottom"/>
            <w:gridSpan w:val="23"/>
            <w:shd w:val="clear" w:color="auto" w:fill="CCEEFF"/>
          </w:tcPr>
          <w:p>
            <w:pPr>
              <w:ind w:left="6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Defaults Upon Senior Securities</w:t>
              </w:r>
            </w:hyperlink>
          </w:p>
        </w:tc>
        <w:tc>
          <w:tcPr>
            <w:tcW w:w="540" w:type="dxa"/>
            <w:vAlign w:val="bottom"/>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10160" w:type="dxa"/>
            <w:vAlign w:val="bottom"/>
            <w:gridSpan w:val="23"/>
            <w:shd w:val="clear" w:color="auto" w:fill="CCEEFF"/>
          </w:tcPr>
          <w:p>
            <w:pPr>
              <w:ind w:left="6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Mine Safety Disclosures</w:t>
              </w:r>
            </w:hyperlink>
          </w:p>
        </w:tc>
        <w:tc>
          <w:tcPr>
            <w:tcW w:w="540" w:type="dxa"/>
            <w:vAlign w:val="bottom"/>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10160" w:type="dxa"/>
            <w:vAlign w:val="bottom"/>
            <w:gridSpan w:val="23"/>
            <w:shd w:val="clear" w:color="auto" w:fill="CCEEFF"/>
          </w:tcPr>
          <w:p>
            <w:pPr>
              <w:ind w:left="6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Other Information</w:t>
              </w:r>
            </w:hyperlink>
          </w:p>
        </w:tc>
        <w:tc>
          <w:tcPr>
            <w:tcW w:w="540" w:type="dxa"/>
            <w:vAlign w:val="bottom"/>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10160" w:type="dxa"/>
            <w:vAlign w:val="bottom"/>
            <w:gridSpan w:val="23"/>
            <w:shd w:val="clear" w:color="auto" w:fill="CCEEFF"/>
          </w:tcPr>
          <w:p>
            <w:pPr>
              <w:ind w:left="6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Exhibits</w:t>
              </w:r>
            </w:hyperlink>
          </w:p>
        </w:tc>
        <w:tc>
          <w:tcPr>
            <w:tcW w:w="540" w:type="dxa"/>
            <w:vAlign w:val="bottom"/>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70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gridSpan w:val="3"/>
          </w:tcPr>
          <w:p>
            <w:pPr>
              <w:spacing w:after="0"/>
              <w:rPr>
                <w:sz w:val="24"/>
                <w:szCs w:val="24"/>
                <w:color w:val="auto"/>
              </w:rPr>
            </w:pPr>
          </w:p>
        </w:tc>
        <w:tc>
          <w:tcPr>
            <w:tcW w:w="5760" w:type="dxa"/>
            <w:vAlign w:val="bottom"/>
            <w:tcBorders>
              <w:top w:val="single" w:sz="8" w:color="CCEEFF"/>
              <w:bottom w:val="single" w:sz="8" w:color="auto"/>
            </w:tcBorders>
            <w:gridSpan w:val="13"/>
          </w:tcPr>
          <w:p>
            <w:pPr>
              <w:jc w:val="right"/>
              <w:ind w:right="1360"/>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740" w:type="dxa"/>
            <w:vAlign w:val="bottom"/>
            <w:tcBorders>
              <w:top w:val="single" w:sz="8" w:color="CCEEFF"/>
              <w:bottom w:val="single" w:sz="8" w:color="auto"/>
            </w:tcBorders>
          </w:tcPr>
          <w:p>
            <w:pPr>
              <w:spacing w:after="0"/>
              <w:rPr>
                <w:sz w:val="24"/>
                <w:szCs w:val="24"/>
                <w:color w:val="auto"/>
              </w:rPr>
            </w:pPr>
          </w:p>
        </w:tc>
        <w:tc>
          <w:tcPr>
            <w:tcW w:w="1320" w:type="dxa"/>
            <w:vAlign w:val="bottom"/>
            <w:tcBorders>
              <w:top w:val="single" w:sz="8" w:color="CCEEFF"/>
              <w:bottom w:val="single" w:sz="8" w:color="auto"/>
            </w:tcBorders>
          </w:tcPr>
          <w:p>
            <w:pPr>
              <w:spacing w:after="0"/>
              <w:rPr>
                <w:sz w:val="24"/>
                <w:szCs w:val="24"/>
                <w:color w:val="auto"/>
              </w:rPr>
            </w:pPr>
          </w:p>
        </w:tc>
        <w:tc>
          <w:tcPr>
            <w:tcW w:w="138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par value)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March 31,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41"/>
        </w:trPr>
        <w:tc>
          <w:tcPr>
            <w:tcW w:w="80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56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8,639</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12,100</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5,862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5,030</w:t>
            </w:r>
          </w:p>
        </w:tc>
        <w:tc>
          <w:tcPr>
            <w:tcW w:w="0" w:type="dxa"/>
            <w:vAlign w:val="bottom"/>
          </w:tcPr>
          <w:p>
            <w:pPr>
              <w:spacing w:after="0"/>
              <w:rPr>
                <w:sz w:val="1"/>
                <w:szCs w:val="1"/>
                <w:color w:val="auto"/>
              </w:rPr>
            </w:pPr>
          </w:p>
        </w:tc>
      </w:tr>
      <w:tr>
        <w:trPr>
          <w:trHeight w:val="202"/>
        </w:trPr>
        <w:tc>
          <w:tcPr>
            <w:tcW w:w="8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Receivables, net of allowance for doubtful accounts of $187 and $186, as of March 31, 2017 and December</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31, 2016 respectively</w:t>
            </w: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7,303</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7,461</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14,438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11,377</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Distributor channel inventories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237"/>
        </w:trPr>
        <w:tc>
          <w:tcPr>
            <w:tcW w:w="800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3,000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2,642</w:t>
            </w:r>
          </w:p>
        </w:tc>
        <w:tc>
          <w:tcPr>
            <w:tcW w:w="0" w:type="dxa"/>
            <w:vAlign w:val="bottom"/>
          </w:tcPr>
          <w:p>
            <w:pPr>
              <w:spacing w:after="0"/>
              <w:rPr>
                <w:sz w:val="1"/>
                <w:szCs w:val="1"/>
                <w:color w:val="auto"/>
              </w:rPr>
            </w:pPr>
          </w:p>
        </w:tc>
      </w:tr>
      <w:tr>
        <w:trPr>
          <w:trHeight w:val="216"/>
        </w:trPr>
        <w:tc>
          <w:tcPr>
            <w:tcW w:w="8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40,705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Long-term marketable securities</w:t>
            </w:r>
          </w:p>
        </w:tc>
        <w:tc>
          <w:tcPr>
            <w:tcW w:w="22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21,102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21,365</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Long-term inventories, net</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1,529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1,513</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5,677</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12,724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12,724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4,654</w:t>
            </w:r>
          </w:p>
        </w:tc>
        <w:tc>
          <w:tcPr>
            <w:tcW w:w="0" w:type="dxa"/>
            <w:vAlign w:val="bottom"/>
          </w:tcPr>
          <w:p>
            <w:pPr>
              <w:spacing w:after="0"/>
              <w:rPr>
                <w:sz w:val="1"/>
                <w:szCs w:val="1"/>
                <w:color w:val="auto"/>
              </w:rPr>
            </w:pPr>
          </w:p>
        </w:tc>
      </w:tr>
      <w:tr>
        <w:trPr>
          <w:trHeight w:val="237"/>
        </w:trPr>
        <w:tc>
          <w:tcPr>
            <w:tcW w:w="8000" w:type="dxa"/>
            <w:vAlign w:val="bottom"/>
          </w:tcPr>
          <w:p>
            <w:pPr>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379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30"/>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88,059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ind w:left="1940"/>
              <w:spacing w:after="0"/>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4,907</w:t>
            </w:r>
          </w:p>
        </w:tc>
        <w:tc>
          <w:tcPr>
            <w:tcW w:w="2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3,545</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1,894</w:t>
            </w:r>
          </w:p>
        </w:tc>
        <w:tc>
          <w:tcPr>
            <w:tcW w:w="0" w:type="dxa"/>
            <w:vAlign w:val="bottom"/>
          </w:tcPr>
          <w:p>
            <w:pPr>
              <w:spacing w:after="0"/>
              <w:rPr>
                <w:sz w:val="1"/>
                <w:szCs w:val="1"/>
                <w:color w:val="auto"/>
              </w:rPr>
            </w:pPr>
          </w:p>
        </w:tc>
      </w:tr>
      <w:tr>
        <w:trPr>
          <w:trHeight w:val="237"/>
        </w:trPr>
        <w:tc>
          <w:tcPr>
            <w:tcW w:w="8000" w:type="dxa"/>
            <w:vAlign w:val="bottom"/>
          </w:tcPr>
          <w:p>
            <w:pPr>
              <w:spacing w:after="0"/>
              <w:rPr>
                <w:sz w:val="20"/>
                <w:szCs w:val="20"/>
                <w:color w:val="auto"/>
              </w:rPr>
            </w:pPr>
            <w:r>
              <w:rPr>
                <w:rFonts w:ascii="Arial" w:cs="Arial" w:eastAsia="Arial" w:hAnsi="Arial"/>
                <w:sz w:val="18"/>
                <w:szCs w:val="18"/>
                <w:color w:val="auto"/>
              </w:rPr>
              <w:t>Deferred product revenue</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3,888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3,882</w:t>
            </w:r>
          </w:p>
        </w:tc>
        <w:tc>
          <w:tcPr>
            <w:tcW w:w="0" w:type="dxa"/>
            <w:vAlign w:val="bottom"/>
          </w:tcPr>
          <w:p>
            <w:pPr>
              <w:spacing w:after="0"/>
              <w:rPr>
                <w:sz w:val="1"/>
                <w:szCs w:val="1"/>
                <w:color w:val="auto"/>
              </w:rPr>
            </w:pPr>
          </w:p>
        </w:tc>
      </w:tr>
      <w:tr>
        <w:trPr>
          <w:trHeight w:val="216"/>
        </w:trPr>
        <w:tc>
          <w:tcPr>
            <w:tcW w:w="8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Deferred rent</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5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12,196</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10,675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00" w:type="dxa"/>
            <w:vAlign w:val="bottom"/>
          </w:tcPr>
          <w:p>
            <w:pPr>
              <w:spacing w:after="0" w:line="201" w:lineRule="exact"/>
              <w:rPr>
                <w:sz w:val="20"/>
                <w:szCs w:val="20"/>
                <w:color w:val="auto"/>
              </w:rPr>
            </w:pPr>
            <w:r>
              <w:rPr>
                <w:rFonts w:ascii="Arial" w:cs="Arial" w:eastAsia="Arial" w:hAnsi="Arial"/>
                <w:sz w:val="18"/>
                <w:szCs w:val="18"/>
                <w:color w:val="auto"/>
                <w:w w:val="91"/>
              </w:rPr>
              <w:t>Common stock, par value $0.001, 50,000,000 shares authorized, 8,734,917 and 8,812,644 shares issued and</w:t>
            </w: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outstanding as of March 31, 2017 and December 31, 2016 respectively</w:t>
            </w:r>
          </w:p>
        </w:tc>
        <w:tc>
          <w:tcPr>
            <w:tcW w:w="22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46,868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46,669</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(155)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5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29,141</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30,976</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shareholders’ equity</w:t>
            </w:r>
          </w:p>
        </w:tc>
        <w:tc>
          <w:tcPr>
            <w:tcW w:w="2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75,863</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77,449</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88,059</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88,124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40" w:type="dxa"/>
            <w:vAlign w:val="bottom"/>
            <w:gridSpan w:val="7"/>
          </w:tcPr>
          <w:p>
            <w:pPr>
              <w:ind w:left="18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8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top w:val="single" w:sz="8" w:color="auto"/>
              <w:bottom w:val="single" w:sz="8" w:color="CCEEFF"/>
            </w:tcBorders>
          </w:tcPr>
          <w:p>
            <w:pPr>
              <w:spacing w:after="0"/>
              <w:rPr>
                <w:sz w:val="20"/>
                <w:szCs w:val="20"/>
                <w:color w:val="auto"/>
              </w:rPr>
            </w:pPr>
          </w:p>
        </w:tc>
        <w:tc>
          <w:tcPr>
            <w:tcW w:w="2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11,678</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5,000</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4,568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6,678</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2,741</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2,625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product development</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2,106</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1,598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7,204</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Other income, net</w:t>
            </w:r>
          </w:p>
        </w:tc>
        <w:tc>
          <w:tcPr>
            <w:tcW w:w="280" w:type="dxa"/>
            <w:vAlign w:val="bottom"/>
          </w:tcPr>
          <w:p>
            <w:pPr>
              <w:spacing w:after="0"/>
              <w:rPr>
                <w:sz w:val="20"/>
                <w:szCs w:val="20"/>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(loss) before income taxes</w:t>
            </w: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615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income (loss)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340" w:type="dxa"/>
            <w:vAlign w:val="bottom"/>
            <w:tcBorders>
              <w:top w:val="single" w:sz="8" w:color="CCEEFF"/>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(0.05)</w:t>
            </w:r>
          </w:p>
        </w:tc>
        <w:tc>
          <w:tcPr>
            <w:tcW w:w="320" w:type="dxa"/>
            <w:vAlign w:val="bottom"/>
            <w:gridSpan w:val="2"/>
            <w:shd w:val="clear" w:color="auto" w:fill="CCEEFF"/>
          </w:tcPr>
          <w:p>
            <w:pPr>
              <w:jc w:val="right"/>
              <w:ind w:right="190"/>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Diluted earnings (loss) per common share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(0.05)</w:t>
            </w:r>
          </w:p>
        </w:tc>
        <w:tc>
          <w:tcPr>
            <w:tcW w:w="320" w:type="dxa"/>
            <w:vAlign w:val="bottom"/>
            <w:gridSpan w:val="2"/>
          </w:tcPr>
          <w:p>
            <w:pPr>
              <w:jc w:val="right"/>
              <w:ind w:right="190"/>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0.14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Basic weighted average shares outstanding</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8,768,112</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9,196,522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 outstanding</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8,768,112</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9,513,440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Net income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(468)</w:t>
            </w:r>
          </w:p>
        </w:tc>
        <w:tc>
          <w:tcPr>
            <w:tcW w:w="320" w:type="dxa"/>
            <w:vAlign w:val="bottom"/>
            <w:gridSpan w:val="2"/>
          </w:tcPr>
          <w:p>
            <w:pPr>
              <w:jc w:val="right"/>
              <w:ind w:right="190"/>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1,368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comprehensive income:</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Change in unrealized gains on available-for-sale securities, net of tax</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foreign currency translation adjustment</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Comprehensive income (loss)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340" w:type="dxa"/>
            <w:vAlign w:val="bottom"/>
            <w:tcBorders>
              <w:top w:val="single" w:sz="8" w:color="CCEEFF"/>
            </w:tcBorders>
          </w:tcPr>
          <w:p>
            <w:pPr>
              <w:jc w:val="right"/>
              <w:ind w:right="20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3420" w:type="dxa"/>
            <w:vAlign w:val="bottom"/>
            <w:gridSpan w:val="7"/>
          </w:tcPr>
          <w:p>
            <w:pPr>
              <w:jc w:val="right"/>
              <w:ind w:right="48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80" w:type="dxa"/>
            <w:vAlign w:val="bottom"/>
            <w:tcBorders>
              <w:bottom w:val="single" w:sz="8" w:color="CCEEFF"/>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CCEEFF"/>
            </w:tcBorders>
          </w:tcPr>
          <w:p>
            <w:pPr>
              <w:spacing w:after="0"/>
              <w:rPr>
                <w:sz w:val="20"/>
                <w:szCs w:val="20"/>
                <w:color w:val="auto"/>
              </w:rPr>
            </w:pPr>
          </w:p>
        </w:tc>
        <w:tc>
          <w:tcPr>
            <w:tcW w:w="14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Net income (loss)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(468)</w:t>
            </w:r>
          </w:p>
        </w:tc>
        <w:tc>
          <w:tcPr>
            <w:tcW w:w="4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Depreciation and amortization expense</w:t>
            </w:r>
          </w:p>
        </w:tc>
        <w:tc>
          <w:tcPr>
            <w:tcW w:w="9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402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deferred rent</w:t>
            </w: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Stock-based compensation expense</w:t>
            </w:r>
          </w:p>
        </w:tc>
        <w:tc>
          <w:tcPr>
            <w:tcW w:w="9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171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for (recoveries of) doubtful accounts, net</w:t>
            </w: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Change of inventory to net realizable value</w:t>
            </w:r>
          </w:p>
        </w:tc>
        <w:tc>
          <w:tcPr>
            <w:tcW w:w="9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disposal of assets</w:t>
            </w: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Tax benefit from exercise of stock options</w:t>
            </w:r>
          </w:p>
        </w:tc>
        <w:tc>
          <w:tcPr>
            <w:tcW w:w="9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Receivables</w:t>
            </w: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9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(2,766)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assets</w:t>
            </w: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1,361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9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(215)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product revenue</w:t>
            </w: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Other long-term liabilities</w:t>
            </w:r>
          </w:p>
        </w:tc>
        <w:tc>
          <w:tcPr>
            <w:tcW w:w="98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(1,363</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Purchase of property and equipment</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(181)</w:t>
            </w:r>
          </w:p>
        </w:tc>
        <w:tc>
          <w:tcPr>
            <w:tcW w:w="4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intangibles</w:t>
            </w: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Proceeds from maturities and sales of marketable securities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1,906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2,787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marketable securities</w:t>
            </w:r>
          </w:p>
        </w:tc>
        <w:tc>
          <w:tcPr>
            <w:tcW w:w="98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(2,437)</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provided by (used in) investing activities</w:t>
            </w:r>
          </w:p>
        </w:tc>
        <w:tc>
          <w:tcPr>
            <w:tcW w:w="980" w:type="dxa"/>
            <w:vAlign w:val="bottom"/>
            <w:tcBorders>
              <w:top w:val="single" w:sz="8" w:color="auto"/>
              <w:bottom w:val="single" w:sz="8" w:color="auto"/>
            </w:tcBorders>
          </w:tcPr>
          <w:p>
            <w:pPr>
              <w:jc w:val="right"/>
              <w:ind w:right="790"/>
              <w:spacing w:after="0" w:line="203"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(768</w:t>
            </w:r>
          </w:p>
        </w:tc>
        <w:tc>
          <w:tcPr>
            <w:tcW w:w="200" w:type="dxa"/>
            <w:vAlign w:val="bottom"/>
            <w:tcBorders>
              <w:top w:val="single" w:sz="8" w:color="CCEEFF"/>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proceeds from equity-based compensation programs</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Repurchase and cancellation of stock options</w:t>
            </w:r>
          </w:p>
        </w:tc>
        <w:tc>
          <w:tcPr>
            <w:tcW w:w="9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benefit from exercise of stock options</w:t>
            </w: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Dividend payments</w:t>
            </w:r>
          </w:p>
        </w:tc>
        <w:tc>
          <w:tcPr>
            <w:tcW w:w="9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(439)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for stock repurchases</w:t>
            </w:r>
          </w:p>
        </w:tc>
        <w:tc>
          <w:tcPr>
            <w:tcW w:w="98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(928)</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used in financing activities</w:t>
            </w:r>
          </w:p>
        </w:tc>
        <w:tc>
          <w:tcPr>
            <w:tcW w:w="980" w:type="dxa"/>
            <w:vAlign w:val="bottom"/>
            <w:tcBorders>
              <w:top w:val="single" w:sz="8" w:color="auto"/>
              <w:bottom w:val="single" w:sz="8" w:color="auto"/>
            </w:tcBorders>
          </w:tcPr>
          <w:p>
            <w:pPr>
              <w:jc w:val="right"/>
              <w:ind w:right="790"/>
              <w:spacing w:after="0" w:line="203"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(1,339</w:t>
            </w:r>
          </w:p>
        </w:tc>
        <w:tc>
          <w:tcPr>
            <w:tcW w:w="200" w:type="dxa"/>
            <w:vAlign w:val="bottom"/>
            <w:tcBorders>
              <w:top w:val="single" w:sz="8" w:color="CCEEFF"/>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(1,714</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4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980" w:type="dxa"/>
            <w:vAlign w:val="bottom"/>
            <w:tcBorders>
              <w:top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(3,461)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98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12,100</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13,412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year</w:t>
            </w: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supplemental cash flow activities: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000" w:type="dxa"/>
            <w:vAlign w:val="bottom"/>
          </w:tcPr>
          <w:p>
            <w:pPr>
              <w:spacing w:after="0"/>
              <w:rPr>
                <w:sz w:val="20"/>
                <w:szCs w:val="20"/>
                <w:color w:val="auto"/>
              </w:rPr>
            </w:pPr>
          </w:p>
        </w:tc>
        <w:tc>
          <w:tcPr>
            <w:tcW w:w="296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b w:val="1"/>
                <w:bCs w:val="1"/>
                <w:color w:val="auto"/>
              </w:rPr>
              <w:t>Three months ended March 31,</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800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2016</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1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1180" w:type="dxa"/>
            <w:vAlign w:val="bottom"/>
          </w:tcPr>
          <w:p>
            <w:pPr>
              <w:jc w:val="right"/>
              <w:ind w:right="99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28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537</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Dollars in thousands)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Description, Basis of Presentation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Description:</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ClearOne, Inc. together with its subsidiaries (collectively, “ClearOne” or the “Company”) is a global company that designs, develops and sells conferencing, collaboration, streaming and digital signage solutions for audio and visual communications. The performance and simplicity of its advanced comprehensive solutions offer unprecedented levels of functionality, reliability and scalability.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fiscal year for ClearOne is the 12 months ending on December 31. The consolidated financial statements include the accounts of ClearOne and its subsidiaries. All significant inter-company accounts and transactions have been eliminated.</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These accompanying interim unaudited condensed consolidated financial statements have been prepared by the Company pursuant to the rules and regulations of the Securities and Exchange Commission (“SEC”) and are not audited. Certain information and footnote disclosures that are usually included in financial statements prepared in accordance with generally accepted accounting principles in the United States (“GAAP”) have been either condensed or omitted in accordance with SEC rules and regulations. The accompanying condensed consolidated financial statements contain all adjustments, consisting of normal recurring accruals, necessary for a fair presentation of our financial position as of March 31, 2017 and December 31, 2016, the results of operations for the three months ended March 31, 2017 and 2016, and the cash flows for the three months ended March 31, 2017 and 2016. The results of operations for the three months ended March 31, 2017 and 2016 are not necessarily indicative of the results for a full-year period. These interim unaudited condensed consolidated financial statements should be read in conjunction with the financial statements included in our Annual Report on Form 10-K for the year ended December 31, 2016 filed with the SEC.</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significant accounting policies were described in Note 1 to the audited consolidated financial statements included in the Company’s annual report on Form 10-K for the year ended December 31, 2016. There have been no changes to these policies during the three months ended March 31, 2017 that are of significance or potential significance to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2014, the FASB released Accounting Standards Update (ASU) No. 2014-09, Revenue from Contracts with Customers (Topic 606), requiring an entity to recognize the amount of revenue to which it expects to be entitled for the transfer of promised goods or services to customers. The updated standard will replace most existing revenue recognition guidance in U.S. GAAP when it becomes effective and permits the use of either a full retrospective or retrospective with cumulative effect transition method. The updated standard becomes effective for the Company on January 1, 2018. Early adoption is permitted. The Company has not yet selected a transition method and is currently evaluating the effect that the updated standard will have on the consolidated financial statements.</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February 2016, the FASB released Accounting Standards Update (ASU) No. 2016-02, Leases (Topic 842) to bring transparency to lessee balance sheets. The ASU will require organizations that lease assets (lessees) to recognize assets and liabilities on the balance sheet for the rights and obligations created by all leases with terms of more than 12 months. The standard will apply to both types of leases-capital (or finance) leases and operating leases. Previously, GAAP has required only capital leases to be recognized on lessee balance sheets. The standard is effective for fiscal years beginning after December 15, 2018 and interim periods within fiscal years beginning after December 15, 2018. Early application will be permitted for all organizations. The Company has not yet selected a transition method and is currently evaluating the effect that the updated standard will have on the consolidated financial statements.</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Dollars in thousands)</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March 2016, the FASB released Accounting Standards Update No. 2016-09, Compensation - Stock Compensation: Improvements to Employee Shared-Based Payment Accounting. The standard is intended to simplify several areas of accounting for share-based compensation arrangements, including the income tax impact, classification on the statement of cash flows and forfeitures. ASU 2016-09 was effective for the Company on January 1, 2017. As a result of the adoption of ASU 2016-09, excess tax benefits or deficiencies related to stock-based compensation are now reflected in the Consolidated Statements of Income as a component of the provision for income taxes, whereas they previously were recognized in additional paid-in capital. In addition, our Consolidated Statements of Cash Flows will now present, on a prospective basis, excess tax benefits as an operating activity. Finally, we have elected to account for forfeitures as they occur, rather than estimate expected forfeitures.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August 2016, the FASB released Accounting Standards Update (ASU) No. 2016-15, Classification of Certain Cash Receipts and Cash Payments, which addresses eight specific cash flow issues with the objective of reducing the existing diversity in practice. ASU 2016-15 is effective for the Company beginning January 1, 2018 and we are currently evaluating the impact that ASU 2016-15 will have on our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Earnings (Loss) Per Share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Earnings (loss) per common share is computed based on the weighted-average number of common shares outstanding and, when appropriate, dilutive potential common stock outstanding during the period. Stock options and warrants are considered to be potential common stock. The computation of diluted earnings (loss) per share does not assume exercise or conversion of securities that would have an anti-dilutive effect.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earnings (loss) per common share is the amount of net loss for the period available to each weighted-average share of common stock outstanding during the reporting period. Diluted earnings (loss) per common share is the amount of earnings (loss) for the period available to each weighted-average share of common stock outstanding during the reporting period and to each share of potential common stock outstanding during the period, unless inclusion of potential common stock would have an anti-dilutive effect.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The following table sets forth the computation of basic and diluted earnings per common share:</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40" w:type="dxa"/>
            <w:vAlign w:val="bottom"/>
            <w:gridSpan w:val="6"/>
          </w:tcPr>
          <w:p>
            <w:pPr>
              <w:ind w:left="18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8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bottom w:val="single" w:sz="8" w:color="CCEEFF"/>
            </w:tcBorders>
          </w:tcPr>
          <w:p>
            <w:pPr>
              <w:spacing w:after="0"/>
              <w:rPr>
                <w:sz w:val="20"/>
                <w:szCs w:val="20"/>
                <w:color w:val="auto"/>
              </w:rPr>
            </w:pPr>
          </w:p>
        </w:tc>
        <w:tc>
          <w:tcPr>
            <w:tcW w:w="14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(468)</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Basic weighted average shares outstanding</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8,768,112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9,196,522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Dilutive common stock equivalents using treasury stock method</w:t>
            </w:r>
          </w:p>
        </w:tc>
        <w:tc>
          <w:tcPr>
            <w:tcW w:w="2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316,918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98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Diluted weighted average shares outstanding</w:t>
            </w: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8,768,112</w:t>
            </w:r>
          </w:p>
        </w:tc>
        <w:tc>
          <w:tcPr>
            <w:tcW w:w="20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9,513,440</w:t>
            </w:r>
          </w:p>
        </w:tc>
        <w:tc>
          <w:tcPr>
            <w:tcW w:w="10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Basic earnings (loss) per common share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(0.05)</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common share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(0.05)</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options outstanding</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847,731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1,000,571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Anti-dilutive options not included in the computations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847,731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289,623</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classified its marketable securities as available-for-sale securities. These securities are carried at estimated fair value with unrealized holding gains and losses included in accumulated other comprehensive income/loss in stockholders’ equity until realized. Gains and losses on marketable security transactions are reported on the specific-identification method. Dividend and interest income are recognized when earned.</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Dollars in thousands)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amortized cost, gross unrealized holding gains, gross unrealized holding losses, and fair value for available-for-sale securities by major security type and class of securities at March 31, 2017 and December 31, 2016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center"/>
              <w:ind w:left="130"/>
              <w:spacing w:after="0"/>
              <w:rPr>
                <w:sz w:val="20"/>
                <w:szCs w:val="20"/>
                <w:color w:val="auto"/>
              </w:rPr>
            </w:pPr>
            <w:r>
              <w:rPr>
                <w:rFonts w:ascii="Arial" w:cs="Arial" w:eastAsia="Arial" w:hAnsi="Arial"/>
                <w:sz w:val="18"/>
                <w:szCs w:val="18"/>
                <w:b w:val="1"/>
                <w:bCs w:val="1"/>
                <w:color w:val="auto"/>
                <w:w w:val="84"/>
              </w:rPr>
              <w:t>Gross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center"/>
              <w:ind w:left="130"/>
              <w:spacing w:after="0"/>
              <w:rPr>
                <w:sz w:val="20"/>
                <w:szCs w:val="20"/>
                <w:color w:val="auto"/>
              </w:rPr>
            </w:pPr>
            <w:r>
              <w:rPr>
                <w:rFonts w:ascii="Arial" w:cs="Arial" w:eastAsia="Arial" w:hAnsi="Arial"/>
                <w:sz w:val="18"/>
                <w:szCs w:val="18"/>
                <w:b w:val="1"/>
                <w:bCs w:val="1"/>
                <w:color w:val="auto"/>
                <w:w w:val="89"/>
              </w:rPr>
              <w:t>unrealized</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unrealized</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Estimated</w:t>
            </w:r>
          </w:p>
        </w:tc>
      </w:tr>
      <w:tr>
        <w:trPr>
          <w:trHeight w:val="241"/>
        </w:trPr>
        <w:tc>
          <w:tcPr>
            <w:tcW w:w="4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Amortized cost</w:t>
            </w:r>
          </w:p>
        </w:tc>
        <w:tc>
          <w:tcPr>
            <w:tcW w:w="1300" w:type="dxa"/>
            <w:vAlign w:val="bottom"/>
          </w:tcPr>
          <w:p>
            <w:pPr>
              <w:jc w:val="center"/>
              <w:ind w:left="110"/>
              <w:spacing w:after="0"/>
              <w:rPr>
                <w:sz w:val="20"/>
                <w:szCs w:val="20"/>
                <w:color w:val="auto"/>
              </w:rPr>
            </w:pPr>
            <w:r>
              <w:rPr>
                <w:rFonts w:ascii="Arial" w:cs="Arial" w:eastAsia="Arial" w:hAnsi="Arial"/>
                <w:sz w:val="18"/>
                <w:szCs w:val="18"/>
                <w:b w:val="1"/>
                <w:bCs w:val="1"/>
                <w:color w:val="auto"/>
                <w:w w:val="87"/>
              </w:rPr>
              <w:t>holding gains</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2"/>
              </w:rPr>
              <w:t>holding losses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ind w:left="140"/>
              <w:spacing w:after="0"/>
              <w:rPr>
                <w:sz w:val="20"/>
                <w:szCs w:val="20"/>
                <w:color w:val="auto"/>
              </w:rPr>
            </w:pPr>
            <w:r>
              <w:rPr>
                <w:rFonts w:ascii="Arial" w:cs="Arial" w:eastAsia="Arial" w:hAnsi="Arial"/>
                <w:sz w:val="18"/>
                <w:szCs w:val="18"/>
                <w:b w:val="1"/>
                <w:bCs w:val="1"/>
                <w:color w:val="auto"/>
              </w:rPr>
              <w:t>fair value</w:t>
            </w:r>
          </w:p>
        </w:tc>
      </w:tr>
      <w:tr>
        <w:trPr>
          <w:trHeight w:val="216"/>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March 31, 2017</w:t>
            </w: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Available-for-sale securities:</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bonds and notes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19,426</w:t>
            </w:r>
          </w:p>
        </w:tc>
        <w:tc>
          <w:tcPr>
            <w:tcW w:w="130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73</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w:t>
            </w:r>
          </w:p>
        </w:tc>
        <w:tc>
          <w:tcPr>
            <w:tcW w:w="3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19,402</w:t>
            </w:r>
          </w:p>
        </w:tc>
      </w:tr>
      <w:tr>
        <w:trPr>
          <w:trHeight w:val="237"/>
        </w:trPr>
        <w:tc>
          <w:tcPr>
            <w:tcW w:w="4360" w:type="dxa"/>
            <w:vAlign w:val="bottom"/>
          </w:tcPr>
          <w:p>
            <w:pPr>
              <w:ind w:left="360"/>
              <w:spacing w:after="0"/>
              <w:rPr>
                <w:sz w:val="20"/>
                <w:szCs w:val="20"/>
                <w:color w:val="auto"/>
              </w:rPr>
            </w:pPr>
            <w:r>
              <w:rPr>
                <w:rFonts w:ascii="Arial" w:cs="Arial" w:eastAsia="Arial" w:hAnsi="Arial"/>
                <w:sz w:val="18"/>
                <w:szCs w:val="18"/>
                <w:color w:val="auto"/>
              </w:rPr>
              <w:t>Municipal bonds</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7,573</w:t>
            </w: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7,562</w:t>
            </w:r>
          </w:p>
        </w:tc>
      </w:tr>
      <w:tr>
        <w:trPr>
          <w:trHeight w:val="216"/>
        </w:trPr>
        <w:tc>
          <w:tcPr>
            <w:tcW w:w="43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available-for-sale securities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26,999</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82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26,964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250"/>
              <w:spacing w:after="0"/>
              <w:rPr>
                <w:sz w:val="20"/>
                <w:szCs w:val="20"/>
                <w:color w:val="auto"/>
              </w:rPr>
            </w:pPr>
            <w:r>
              <w:rPr>
                <w:rFonts w:ascii="Arial" w:cs="Arial" w:eastAsia="Arial" w:hAnsi="Arial"/>
                <w:sz w:val="18"/>
                <w:szCs w:val="18"/>
                <w:b w:val="1"/>
                <w:bCs w:val="1"/>
                <w:color w:val="auto"/>
              </w:rPr>
              <w:t>Gross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b w:val="1"/>
                <w:bCs w:val="1"/>
                <w:color w:val="auto"/>
              </w:rPr>
              <w:t>unrealized</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unrealized</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Estimated</w:t>
            </w:r>
          </w:p>
        </w:tc>
      </w:tr>
      <w:tr>
        <w:trPr>
          <w:trHeight w:val="241"/>
        </w:trPr>
        <w:tc>
          <w:tcPr>
            <w:tcW w:w="4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Amortized cost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holding gains</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2"/>
              </w:rPr>
              <w:t>holding losses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ind w:left="140"/>
              <w:spacing w:after="0"/>
              <w:rPr>
                <w:sz w:val="20"/>
                <w:szCs w:val="20"/>
                <w:color w:val="auto"/>
              </w:rPr>
            </w:pPr>
            <w:r>
              <w:rPr>
                <w:rFonts w:ascii="Arial" w:cs="Arial" w:eastAsia="Arial" w:hAnsi="Arial"/>
                <w:sz w:val="18"/>
                <w:szCs w:val="18"/>
                <w:b w:val="1"/>
                <w:bCs w:val="1"/>
                <w:color w:val="auto"/>
              </w:rPr>
              <w:t>fair value</w:t>
            </w:r>
          </w:p>
        </w:tc>
      </w:tr>
      <w:tr>
        <w:trPr>
          <w:trHeight w:val="216"/>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2016</w:t>
            </w: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Available-for-sale securities:</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bonds and notes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20,028</w:t>
            </w:r>
          </w:p>
        </w:tc>
        <w:tc>
          <w:tcPr>
            <w:tcW w:w="130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64</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c>
          <w:tcPr>
            <w:tcW w:w="3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19,970</w:t>
            </w:r>
          </w:p>
        </w:tc>
      </w:tr>
      <w:tr>
        <w:trPr>
          <w:trHeight w:val="237"/>
        </w:trPr>
        <w:tc>
          <w:tcPr>
            <w:tcW w:w="4360" w:type="dxa"/>
            <w:vAlign w:val="bottom"/>
          </w:tcPr>
          <w:p>
            <w:pPr>
              <w:ind w:left="360"/>
              <w:spacing w:after="0"/>
              <w:rPr>
                <w:sz w:val="20"/>
                <w:szCs w:val="20"/>
                <w:color w:val="auto"/>
              </w:rPr>
            </w:pPr>
            <w:r>
              <w:rPr>
                <w:rFonts w:ascii="Arial" w:cs="Arial" w:eastAsia="Arial" w:hAnsi="Arial"/>
                <w:sz w:val="18"/>
                <w:szCs w:val="18"/>
                <w:color w:val="auto"/>
              </w:rPr>
              <w:t>Municipal bonds</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6,463</w:t>
            </w: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6,425</w:t>
            </w:r>
          </w:p>
        </w:tc>
      </w:tr>
      <w:tr>
        <w:trPr>
          <w:trHeight w:val="230"/>
        </w:trPr>
        <w:tc>
          <w:tcPr>
            <w:tcW w:w="43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available-for-sale securities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26,491</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Maturities of marketable securities classified as available-for-sale securities were as follows at March 31,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93"/>
              </w:rPr>
              <w:t>Amortized</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Estimated</w:t>
            </w:r>
          </w:p>
        </w:tc>
      </w:tr>
      <w:tr>
        <w:trPr>
          <w:trHeight w:val="241"/>
        </w:trPr>
        <w:tc>
          <w:tcPr>
            <w:tcW w:w="7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80"/>
              </w:rPr>
              <w:t>cost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fair value</w:t>
            </w:r>
          </w:p>
        </w:tc>
      </w:tr>
      <w:tr>
        <w:trPr>
          <w:trHeight w:val="216"/>
        </w:trPr>
        <w:tc>
          <w:tcPr>
            <w:tcW w:w="7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March 31, 2017</w:t>
            </w:r>
          </w:p>
        </w:tc>
        <w:tc>
          <w:tcPr>
            <w:tcW w:w="2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540" w:type="dxa"/>
            <w:vAlign w:val="bottom"/>
          </w:tcPr>
          <w:p>
            <w:pPr>
              <w:ind w:left="360"/>
              <w:spacing w:after="0"/>
              <w:rPr>
                <w:sz w:val="20"/>
                <w:szCs w:val="20"/>
                <w:color w:val="auto"/>
              </w:rPr>
            </w:pPr>
            <w:r>
              <w:rPr>
                <w:rFonts w:ascii="Arial" w:cs="Arial" w:eastAsia="Arial" w:hAnsi="Arial"/>
                <w:sz w:val="18"/>
                <w:szCs w:val="18"/>
                <w:color w:val="auto"/>
              </w:rPr>
              <w:t>Due within one year</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5,857</w:t>
            </w:r>
          </w:p>
        </w:tc>
        <w:tc>
          <w:tcPr>
            <w:tcW w:w="340" w:type="dxa"/>
            <w:vAlign w:val="bottom"/>
          </w:tcPr>
          <w:p>
            <w:pPr>
              <w:spacing w:after="0"/>
              <w:rPr>
                <w:sz w:val="18"/>
                <w:szCs w:val="18"/>
                <w:color w:val="auto"/>
              </w:rPr>
            </w:pP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5,862</w:t>
            </w:r>
          </w:p>
        </w:tc>
        <w:tc>
          <w:tcPr>
            <w:tcW w:w="80" w:type="dxa"/>
            <w:vAlign w:val="bottom"/>
          </w:tcPr>
          <w:p>
            <w:pPr>
              <w:spacing w:after="0"/>
              <w:rPr>
                <w:sz w:val="18"/>
                <w:szCs w:val="18"/>
                <w:color w:val="auto"/>
              </w:rPr>
            </w:pPr>
          </w:p>
        </w:tc>
      </w:tr>
      <w:tr>
        <w:trPr>
          <w:trHeight w:val="250"/>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Due after one year through five years</w:t>
            </w:r>
          </w:p>
        </w:tc>
        <w:tc>
          <w:tcPr>
            <w:tcW w:w="28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21,142</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21,102</w:t>
            </w:r>
          </w:p>
        </w:tc>
        <w:tc>
          <w:tcPr>
            <w:tcW w:w="80" w:type="dxa"/>
            <w:vAlign w:val="bottom"/>
            <w:shd w:val="clear" w:color="auto" w:fill="CCEEFF"/>
          </w:tcPr>
          <w:p>
            <w:pPr>
              <w:spacing w:after="0"/>
              <w:rPr>
                <w:sz w:val="21"/>
                <w:szCs w:val="21"/>
                <w:color w:val="auto"/>
              </w:rPr>
            </w:pPr>
          </w:p>
        </w:tc>
      </w:tr>
      <w:tr>
        <w:trPr>
          <w:trHeight w:val="217"/>
        </w:trPr>
        <w:tc>
          <w:tcPr>
            <w:tcW w:w="754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Total available-for-sale securities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26,999</w:t>
            </w: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26,964</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7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Debt securities in an unrealized loss position as of March 31, 2017 were not deemed impaired at acquisition and subsequent declines in fair value are not deemed attributed to declines in credit quality. Management believes that it is more likely than not that the securities will receive a full recovery of par value. The available-for-sale marketable securities with continuous gross unrealized loss position for less than 12 months and 12 months or greater and their related fair values were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Less than 12 months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rPr>
              <w:t>More than 12 months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Total</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10"/>
              <w:spacing w:after="0" w:line="198" w:lineRule="exact"/>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center"/>
              <w:ind w:right="10"/>
              <w:spacing w:after="0" w:line="198" w:lineRule="exact"/>
              <w:rPr>
                <w:sz w:val="20"/>
                <w:szCs w:val="20"/>
                <w:color w:val="auto"/>
              </w:rPr>
            </w:pPr>
            <w:r>
              <w:rPr>
                <w:rFonts w:ascii="Arial" w:cs="Arial" w:eastAsia="Arial" w:hAnsi="Arial"/>
                <w:sz w:val="18"/>
                <w:szCs w:val="18"/>
                <w:b w:val="1"/>
                <w:bCs w:val="1"/>
                <w:color w:val="auto"/>
                <w:w w:val="88"/>
              </w:rPr>
              <w:t>Gross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unrealized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unrealized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unrealized</w:t>
            </w:r>
          </w:p>
        </w:tc>
        <w:tc>
          <w:tcPr>
            <w:tcW w:w="0" w:type="dxa"/>
            <w:vAlign w:val="bottom"/>
          </w:tcPr>
          <w:p>
            <w:pPr>
              <w:spacing w:after="0"/>
              <w:rPr>
                <w:sz w:val="1"/>
                <w:szCs w:val="1"/>
                <w:color w:val="auto"/>
              </w:rPr>
            </w:pPr>
          </w:p>
        </w:tc>
      </w:tr>
      <w:tr>
        <w:trPr>
          <w:trHeight w:val="216"/>
        </w:trPr>
        <w:tc>
          <w:tcPr>
            <w:tcW w:w="310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Estimated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holding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holding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8"/>
              </w:rPr>
              <w:t>Estimated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holding</w:t>
            </w:r>
          </w:p>
        </w:tc>
        <w:tc>
          <w:tcPr>
            <w:tcW w:w="0" w:type="dxa"/>
            <w:vAlign w:val="bottom"/>
          </w:tcPr>
          <w:p>
            <w:pPr>
              <w:spacing w:after="0"/>
              <w:rPr>
                <w:sz w:val="1"/>
                <w:szCs w:val="1"/>
                <w:color w:val="auto"/>
              </w:rPr>
            </w:pPr>
          </w:p>
        </w:tc>
      </w:tr>
      <w:tr>
        <w:trPr>
          <w:trHeight w:val="241"/>
        </w:trPr>
        <w:tc>
          <w:tcPr>
            <w:tcW w:w="3100" w:type="dxa"/>
            <w:vAlign w:val="bottom"/>
            <w:vMerge w:val="continue"/>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fair value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78"/>
              </w:rPr>
              <w:t>losses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6"/>
              </w:rPr>
              <w:t>fair 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74"/>
              </w:rPr>
              <w:t>losses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fair 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74"/>
              </w:rPr>
              <w:t>losses</w:t>
            </w:r>
          </w:p>
        </w:tc>
        <w:tc>
          <w:tcPr>
            <w:tcW w:w="0" w:type="dxa"/>
            <w:vAlign w:val="bottom"/>
          </w:tcPr>
          <w:p>
            <w:pPr>
              <w:spacing w:after="0"/>
              <w:rPr>
                <w:sz w:val="1"/>
                <w:szCs w:val="1"/>
                <w:color w:val="auto"/>
              </w:rPr>
            </w:pPr>
          </w:p>
        </w:tc>
      </w:tr>
      <w:tr>
        <w:trPr>
          <w:trHeight w:val="216"/>
        </w:trPr>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of March 31, 2017</w:t>
            </w:r>
          </w:p>
        </w:tc>
        <w:tc>
          <w:tcPr>
            <w:tcW w:w="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260"/>
              <w:spacing w:after="0"/>
              <w:rPr>
                <w:sz w:val="20"/>
                <w:szCs w:val="20"/>
                <w:color w:val="auto"/>
              </w:rPr>
            </w:pPr>
            <w:r>
              <w:rPr>
                <w:rFonts w:ascii="Arial" w:cs="Arial" w:eastAsia="Arial" w:hAnsi="Arial"/>
                <w:sz w:val="18"/>
                <w:szCs w:val="18"/>
                <w:color w:val="auto"/>
              </w:rPr>
              <w:t>Corporate bonds and notes</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10,664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1,030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11,694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7"/>
        </w:trPr>
        <w:tc>
          <w:tcPr>
            <w:tcW w:w="3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Municipal bonds</w:t>
            </w: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4,981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1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15,645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17,094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3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Dollars in thousands)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March 31, 2017 and December 31, 2016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8"/>
              </w:rPr>
              <w:t>Estimated useful</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38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4"/>
              </w:rPr>
              <w:t>lives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8"/>
              </w:rPr>
              <w:t>March 31, 2017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1"/>
              </w:rPr>
              <w:t>December 31, 2016</w:t>
            </w:r>
          </w:p>
        </w:tc>
      </w:tr>
      <w:tr>
        <w:trPr>
          <w:trHeight w:val="216"/>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Tradename</w:t>
            </w:r>
          </w:p>
        </w:tc>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 to 7 years</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Patents and technological know-how</w:t>
            </w:r>
          </w:p>
        </w:tc>
        <w:tc>
          <w:tcPr>
            <w:tcW w:w="1840" w:type="dxa"/>
            <w:vAlign w:val="bottom"/>
          </w:tcPr>
          <w:p>
            <w:pPr>
              <w:jc w:val="center"/>
              <w:spacing w:after="0"/>
              <w:rPr>
                <w:sz w:val="20"/>
                <w:szCs w:val="20"/>
                <w:color w:val="auto"/>
              </w:rPr>
            </w:pPr>
            <w:r>
              <w:rPr>
                <w:rFonts w:ascii="Arial" w:cs="Arial" w:eastAsia="Arial" w:hAnsi="Arial"/>
                <w:sz w:val="18"/>
                <w:szCs w:val="18"/>
                <w:color w:val="auto"/>
                <w:w w:val="86"/>
              </w:rPr>
              <w:t>10 years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6,066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6,010</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Proprietary software</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 to 15 years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4,341</w:t>
            </w:r>
          </w:p>
        </w:tc>
      </w:tr>
      <w:tr>
        <w:trPr>
          <w:trHeight w:val="237"/>
        </w:trPr>
        <w:tc>
          <w:tcPr>
            <w:tcW w:w="5380" w:type="dxa"/>
            <w:vAlign w:val="bottom"/>
          </w:tcPr>
          <w:p>
            <w:pPr>
              <w:spacing w:after="0"/>
              <w:rPr>
                <w:sz w:val="20"/>
                <w:szCs w:val="20"/>
                <w:color w:val="auto"/>
              </w:rPr>
            </w:pPr>
            <w:r>
              <w:rPr>
                <w:rFonts w:ascii="Arial" w:cs="Arial" w:eastAsia="Arial" w:hAnsi="Arial"/>
                <w:sz w:val="18"/>
                <w:szCs w:val="18"/>
                <w:color w:val="auto"/>
              </w:rPr>
              <w:t>Other</w:t>
            </w: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3 to 5 years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324</w:t>
            </w:r>
          </w:p>
        </w:tc>
      </w:tr>
      <w:tr>
        <w:trPr>
          <w:trHeight w:val="216"/>
        </w:trPr>
        <w:tc>
          <w:tcPr>
            <w:tcW w:w="53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intangible assets</w:t>
            </w:r>
          </w:p>
        </w:tc>
        <w:tc>
          <w:tcPr>
            <w:tcW w:w="18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538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(5,790)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(5,553)</w:t>
            </w:r>
          </w:p>
        </w:tc>
      </w:tr>
      <w:tr>
        <w:trPr>
          <w:trHeight w:val="230"/>
        </w:trPr>
        <w:tc>
          <w:tcPr>
            <w:tcW w:w="53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intangible assets, net</w:t>
            </w:r>
          </w:p>
        </w:tc>
        <w:tc>
          <w:tcPr>
            <w:tcW w:w="18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amortization of intangible assets for the three months ended March 31, 2017 and 2016 was as follows:</w:t>
      </w:r>
    </w:p>
    <w:p>
      <w:pPr>
        <w:spacing w:after="0" w:line="235" w:lineRule="exact"/>
        <w:rPr>
          <w:sz w:val="20"/>
          <w:szCs w:val="20"/>
          <w:color w:val="auto"/>
        </w:rPr>
      </w:pPr>
    </w:p>
    <w:p>
      <w:pPr>
        <w:jc w:val="center"/>
        <w:ind w:left="146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187833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78330" cy="17145"/>
                    </a:xfrm>
                    <a:prstGeom prst="rect">
                      <a:avLst/>
                    </a:prstGeom>
                    <a:noFill/>
                  </pic:spPr>
                </pic:pic>
              </a:graphicData>
            </a:graphic>
          </wp:anchor>
        </w:drawing>
      </w:r>
    </w:p>
    <w:p>
      <w:pPr>
        <w:spacing w:after="0" w:line="30" w:lineRule="exact"/>
        <w:rPr>
          <w:sz w:val="20"/>
          <w:szCs w:val="20"/>
          <w:color w:val="auto"/>
        </w:rPr>
      </w:pPr>
    </w:p>
    <w:p>
      <w:pPr>
        <w:ind w:left="5480"/>
        <w:spacing w:after="0"/>
        <w:tabs>
          <w:tab w:leader="none" w:pos="7040" w:val="left"/>
        </w:tabs>
        <w:rPr>
          <w:sz w:val="20"/>
          <w:szCs w:val="20"/>
          <w:color w:val="auto"/>
        </w:rPr>
      </w:pPr>
      <w:r>
        <w:rPr>
          <w:rFonts w:ascii="Arial" w:cs="Arial" w:eastAsia="Arial" w:hAnsi="Arial"/>
          <w:sz w:val="18"/>
          <w:szCs w:val="18"/>
          <w:b w:val="1"/>
          <w:bCs w:val="1"/>
          <w:color w:val="auto"/>
        </w:rPr>
        <w:t>2017</w:t>
      </w:r>
      <w:r>
        <w:rPr>
          <w:sz w:val="20"/>
          <w:szCs w:val="20"/>
          <w:color w:val="auto"/>
        </w:rPr>
        <w:tab/>
      </w:r>
      <w:r>
        <w:rPr>
          <w:rFonts w:ascii="Arial" w:cs="Arial" w:eastAsia="Arial" w:hAnsi="Arial"/>
          <w:sz w:val="18"/>
          <w:szCs w:val="18"/>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06857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068570" cy="154305"/>
                    </a:xfrm>
                    <a:prstGeom prst="rect">
                      <a:avLst/>
                    </a:prstGeom>
                    <a:noFill/>
                  </pic:spPr>
                </pic:pic>
              </a:graphicData>
            </a:graphic>
          </wp:anchor>
        </w:drawing>
      </w:r>
    </w:p>
    <w:p>
      <w:pPr>
        <w:spacing w:after="0" w:line="20" w:lineRule="exact"/>
        <w:rPr>
          <w:sz w:val="20"/>
          <w:szCs w:val="20"/>
          <w:color w:val="auto"/>
        </w:rPr>
      </w:pPr>
    </w:p>
    <w:p>
      <w:pPr>
        <w:spacing w:after="0"/>
        <w:tabs>
          <w:tab w:leader="none" w:pos="4940" w:val="left"/>
          <w:tab w:leader="none" w:pos="6060" w:val="left"/>
          <w:tab w:leader="none" w:pos="6540" w:val="left"/>
          <w:tab w:leader="none" w:pos="7640" w:val="left"/>
        </w:tabs>
        <w:rPr>
          <w:sz w:val="20"/>
          <w:szCs w:val="20"/>
          <w:color w:val="auto"/>
        </w:rPr>
      </w:pPr>
      <w:r>
        <w:rPr>
          <w:rFonts w:ascii="Arial" w:cs="Arial" w:eastAsia="Arial" w:hAnsi="Arial"/>
          <w:sz w:val="18"/>
          <w:szCs w:val="18"/>
          <w:color w:val="auto"/>
        </w:rPr>
        <w:t>Amortization of intangible assets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238</w:t>
        <w:tab/>
        <w:t>$</w:t>
      </w:r>
      <w:r>
        <w:rPr>
          <w:sz w:val="20"/>
          <w:szCs w:val="20"/>
          <w:color w:val="auto"/>
        </w:rPr>
        <w:tab/>
      </w:r>
      <w:r>
        <w:rPr>
          <w:rFonts w:ascii="Arial" w:cs="Arial" w:eastAsia="Arial" w:hAnsi="Arial"/>
          <w:sz w:val="15"/>
          <w:szCs w:val="15"/>
          <w:color w:val="auto"/>
        </w:rPr>
        <w:t>289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future amortization expense of intangible assets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Years ending December 31,</w:t>
            </w:r>
          </w:p>
        </w:tc>
        <w:tc>
          <w:tcPr>
            <w:tcW w:w="5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2017 (remainder)</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690</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896</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781</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602</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602</w:t>
            </w:r>
          </w:p>
        </w:tc>
      </w:tr>
      <w:tr>
        <w:trPr>
          <w:trHeight w:val="237"/>
        </w:trPr>
        <w:tc>
          <w:tcPr>
            <w:tcW w:w="41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5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1,925</w:t>
            </w:r>
          </w:p>
        </w:tc>
        <w:tc>
          <w:tcPr>
            <w:tcW w:w="40" w:type="dxa"/>
            <w:vAlign w:val="bottom"/>
            <w:tcBorders>
              <w:bottom w:val="single" w:sz="8" w:color="CCEEFF"/>
            </w:tcBorders>
          </w:tcPr>
          <w:p>
            <w:pPr>
              <w:spacing w:after="0"/>
              <w:rPr>
                <w:sz w:val="20"/>
                <w:szCs w:val="20"/>
                <w:color w:val="auto"/>
              </w:rPr>
            </w:pPr>
          </w:p>
        </w:tc>
      </w:tr>
      <w:tr>
        <w:trPr>
          <w:trHeight w:val="230"/>
        </w:trPr>
        <w:tc>
          <w:tcPr>
            <w:tcW w:w="40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5,496</w:t>
            </w:r>
          </w:p>
        </w:tc>
        <w:tc>
          <w:tcPr>
            <w:tcW w:w="40" w:type="dxa"/>
            <w:vAlign w:val="bottom"/>
            <w:tcBorders>
              <w:bottom w:val="single" w:sz="8" w:color="CCEEFF"/>
            </w:tcBorders>
            <w:shd w:val="clear" w:color="auto" w:fill="CCEEFF"/>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of reserves, as of March 31, 2017 and December 31, 2016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60" w:type="dxa"/>
            <w:vAlign w:val="bottom"/>
            <w:gridSpan w:val="4"/>
          </w:tcPr>
          <w:p>
            <w:pPr>
              <w:jc w:val="right"/>
              <w:ind w:right="1680"/>
              <w:spacing w:after="0"/>
              <w:rPr>
                <w:sz w:val="20"/>
                <w:szCs w:val="20"/>
                <w:color w:val="auto"/>
              </w:rPr>
            </w:pPr>
            <w:r>
              <w:rPr>
                <w:rFonts w:ascii="Arial" w:cs="Arial" w:eastAsia="Arial" w:hAnsi="Arial"/>
                <w:sz w:val="18"/>
                <w:szCs w:val="18"/>
                <w:b w:val="1"/>
                <w:bCs w:val="1"/>
                <w:color w:val="auto"/>
                <w:w w:val="79"/>
              </w:rPr>
              <w:t>As of</w:t>
            </w:r>
          </w:p>
        </w:tc>
        <w:tc>
          <w:tcPr>
            <w:tcW w:w="4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w w:val="95"/>
              </w:rPr>
              <w:t>March 31, 2017</w:t>
            </w: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1"/>
              </w:rPr>
              <w:t>December 31, 2016</w:t>
            </w:r>
          </w:p>
        </w:tc>
        <w:tc>
          <w:tcPr>
            <w:tcW w:w="8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9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ind w:left="160"/>
              <w:spacing w:after="0"/>
              <w:rPr>
                <w:sz w:val="20"/>
                <w:szCs w:val="20"/>
                <w:color w:val="auto"/>
              </w:rPr>
            </w:pPr>
            <w:r>
              <w:rPr>
                <w:rFonts w:ascii="Arial" w:cs="Arial" w:eastAsia="Arial" w:hAnsi="Arial"/>
                <w:sz w:val="18"/>
                <w:szCs w:val="18"/>
                <w:color w:val="auto"/>
              </w:rPr>
              <w:t>Raw materials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3,258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80"/>
              <w:spacing w:after="0"/>
              <w:rPr>
                <w:sz w:val="20"/>
                <w:szCs w:val="20"/>
                <w:color w:val="auto"/>
              </w:rPr>
            </w:pPr>
            <w:r>
              <w:rPr>
                <w:rFonts w:ascii="Arial" w:cs="Arial" w:eastAsia="Arial" w:hAnsi="Arial"/>
                <w:sz w:val="18"/>
                <w:szCs w:val="18"/>
                <w:color w:val="auto"/>
              </w:rPr>
              <w:t>2,291</w:t>
            </w: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Finished goods</w:t>
            </w: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11,180</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9,086</w:t>
            </w:r>
          </w:p>
        </w:tc>
        <w:tc>
          <w:tcPr>
            <w:tcW w:w="4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20" w:type="dxa"/>
            <w:vAlign w:val="bottom"/>
            <w:tcBorders>
              <w:top w:val="single" w:sz="8" w:color="CCEEFF"/>
              <w:bottom w:val="single" w:sz="8" w:color="CCEEFF"/>
            </w:tcBorders>
          </w:tcPr>
          <w:p>
            <w:pPr>
              <w:spacing w:after="0"/>
              <w:rPr>
                <w:sz w:val="21"/>
                <w:szCs w:val="21"/>
                <w:color w:val="auto"/>
              </w:rPr>
            </w:pPr>
          </w:p>
        </w:tc>
        <w:tc>
          <w:tcPr>
            <w:tcW w:w="960" w:type="dxa"/>
            <w:vAlign w:val="bottom"/>
            <w:tcBorders>
              <w:top w:val="single" w:sz="8" w:color="CCEEFF"/>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14,438</w:t>
            </w:r>
          </w:p>
        </w:tc>
        <w:tc>
          <w:tcPr>
            <w:tcW w:w="20" w:type="dxa"/>
            <w:vAlign w:val="bottom"/>
            <w:tcBorders>
              <w:top w:val="single" w:sz="8" w:color="CCEEFF"/>
              <w:bottom w:val="single" w:sz="8" w:color="CCEEFF"/>
            </w:tcBorders>
          </w:tcPr>
          <w:p>
            <w:pPr>
              <w:spacing w:after="0"/>
              <w:rPr>
                <w:sz w:val="21"/>
                <w:szCs w:val="21"/>
                <w:color w:val="auto"/>
              </w:rPr>
            </w:pPr>
          </w:p>
        </w:tc>
        <w:tc>
          <w:tcPr>
            <w:tcW w:w="200" w:type="dxa"/>
            <w:vAlign w:val="bottom"/>
            <w:tcBorders>
              <w:top w:val="single" w:sz="8" w:color="CCEEFF"/>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11,377</w:t>
            </w:r>
          </w:p>
        </w:tc>
        <w:tc>
          <w:tcPr>
            <w:tcW w:w="80" w:type="dxa"/>
            <w:vAlign w:val="bottom"/>
            <w:tcBorders>
              <w:top w:val="single" w:sz="8" w:color="CCEEFF"/>
              <w:bottom w:val="single" w:sz="8" w:color="CCEEFF"/>
            </w:tcBorders>
          </w:tcPr>
          <w:p>
            <w:pPr>
              <w:spacing w:after="0"/>
              <w:rPr>
                <w:sz w:val="21"/>
                <w:szCs w:val="21"/>
                <w:color w:val="auto"/>
              </w:rPr>
            </w:pPr>
          </w:p>
        </w:tc>
        <w:tc>
          <w:tcPr>
            <w:tcW w:w="4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Long-term:</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Raw materials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599</w:t>
            </w: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20" w:type="dxa"/>
            <w:vAlign w:val="bottom"/>
          </w:tcPr>
          <w:p>
            <w:pPr>
              <w:ind w:left="160"/>
              <w:spacing w:after="0"/>
              <w:rPr>
                <w:sz w:val="20"/>
                <w:szCs w:val="20"/>
                <w:color w:val="auto"/>
              </w:rPr>
            </w:pPr>
            <w:r>
              <w:rPr>
                <w:rFonts w:ascii="Arial" w:cs="Arial" w:eastAsia="Arial" w:hAnsi="Arial"/>
                <w:sz w:val="18"/>
                <w:szCs w:val="18"/>
                <w:color w:val="auto"/>
              </w:rPr>
              <w:t>Finished goods</w:t>
            </w: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997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gridSpan w:val="2"/>
          </w:tcPr>
          <w:p>
            <w:pPr>
              <w:jc w:val="right"/>
              <w:ind w:right="80"/>
              <w:spacing w:after="0"/>
              <w:rPr>
                <w:sz w:val="20"/>
                <w:szCs w:val="20"/>
                <w:color w:val="auto"/>
              </w:rPr>
            </w:pPr>
            <w:r>
              <w:rPr>
                <w:rFonts w:ascii="Arial" w:cs="Arial" w:eastAsia="Arial" w:hAnsi="Arial"/>
                <w:sz w:val="18"/>
                <w:szCs w:val="18"/>
                <w:color w:val="auto"/>
              </w:rPr>
              <w:t>1,065</w:t>
            </w:r>
          </w:p>
        </w:tc>
        <w:tc>
          <w:tcPr>
            <w:tcW w:w="4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Dollars in thousands)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Long-term inventory represents inventory held in excess of our current (next 12 months) requirements based on our recent sales and forecasted level of sales. We expect to sell the above inventory, net of reserves, at or above the stated cost and believe that no loss will be incurred on its sale, although there can be no assurance of the timing or amount of any sales.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Current finished goods do not include consigned inventory in the amounts of approximately $1,463 and $1,530 as of March 31, 2017 and December 31, 2016, respectively. Distributor channel inventories represent inventories at distributors and other customers where revenue recognition criteria have not yet been achieved.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loss incurred on valuation of inventory at lower of cost or market value and write-off of obsolete inventory during the three months ended March 31, 2016 was $119. During the three months ended March 31, 2017 benefit from the reduction of reserves for valuation of inventory at lower of cost or market value was $34.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Share-based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Option Plans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share-based incentive plans offering stock options primarily consists of two plans. Under both plans, one new share is issued for each stock option exercised. The plans are described below.</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Company’s 1998 Incentive Plan (the “1998 Plan”) was the Company’s primary plan through November 2007. Under this plan shares of common stock were made available for issuance to employees and directors. Through December 1999, 1,066,000 options were granted that would cliff vest after 9.8 years; however, such vesting was accelerated for 637,089 of these options upon meeting certain earnings per share goals through the fiscal year ended March 31, 2003. Subsequent to December 1999 and through March 2002, 1,248,250 options were granted that would cliff vest after 6.0 years; however, such vesting was accelerated for 300,494 of these options upon meeting certain earnings per share goals through the fiscal year ended March 31, 2005.</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2007 Equity Incentive Plan (the “2007 Plan”) was restated and approved by the shareholders on December 12, 2015. Provisions of the restated 2007 Plan include the granting of up to 2,000,000 incentive and non-qualified stock options, stock appreciation rights, restricted stock and restricted stock units. Options may be granted to employees, officers, non-employee directors and other service providers and may be granted upon such terms as the Compensation Committee of the Board of Directors determines in their sole discretion.</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Of the options granted subsequent to March 2002, all vesting schedules are based on 3 or 4-year vesting schedules, with either one-third or one-fourth vesting on the first anniversary and the remaining options vesting ratably over the remainder of the vesting term. Generally, directors and officers have 3-year vesting schedules and all other employees have 4-year vesting schedules. Additionally, in the event of a change in control or the occurrence of a corporate transaction, the Company’s Board of Directors has the authority to elect that all unvested options shall vest and become exercisable immediately prior to the event or closing of the transaction. All options outstanding as of March 31, 2017 had contractual lives of ten years.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1998 Plan, 2,500,000 shares were authorized for grant. As of March 31, 2017, there were 150,000 options outstanding under the 1998 Plan, which includes the cliff vesting and 3 or 4-year vesting options discussed above.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2017, there were 695,172 options outstanding under the 2007 Plan. As of March 31, 2017, the 2007 Plan had 845,104 authorized unissued options, while there were no options remaining that could be granted under the 1998 Plan.</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Dollars in thousands)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stock option activity under the Company’s plans for the three months ended March 31, 2017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0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Number of shares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exercise price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outstanding at beginning of year</w:t>
            </w:r>
          </w:p>
        </w:tc>
        <w:tc>
          <w:tcPr>
            <w:tcW w:w="2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850,232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Granted</w:t>
            </w:r>
          </w:p>
        </w:tc>
        <w:tc>
          <w:tcPr>
            <w:tcW w:w="2040" w:type="dxa"/>
            <w:vAlign w:val="bottom"/>
            <w:gridSpan w:val="2"/>
          </w:tcPr>
          <w:p>
            <w:pPr>
              <w:jc w:val="right"/>
              <w:ind w:right="280"/>
              <w:spacing w:after="0"/>
              <w:rPr>
                <w:sz w:val="20"/>
                <w:szCs w:val="20"/>
                <w:color w:val="auto"/>
              </w:rPr>
            </w:pPr>
            <w:r>
              <w:rPr>
                <w:rFonts w:ascii="Arial" w:cs="Arial" w:eastAsia="Arial" w:hAnsi="Arial"/>
                <w:sz w:val="18"/>
                <w:szCs w:val="18"/>
                <w:color w:val="auto"/>
              </w:rPr>
              <w:t>__</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__</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1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Exercised</w:t>
            </w:r>
          </w:p>
        </w:tc>
        <w:tc>
          <w:tcPr>
            <w:tcW w:w="2040" w:type="dxa"/>
            <w:vAlign w:val="bottom"/>
            <w:gridSpan w:val="2"/>
          </w:tcPr>
          <w:p>
            <w:pPr>
              <w:jc w:val="right"/>
              <w:ind w:right="220"/>
              <w:spacing w:after="0"/>
              <w:rPr>
                <w:sz w:val="20"/>
                <w:szCs w:val="20"/>
                <w:color w:val="auto"/>
              </w:rPr>
            </w:pPr>
            <w:r>
              <w:rPr>
                <w:rFonts w:ascii="Arial" w:cs="Arial" w:eastAsia="Arial" w:hAnsi="Arial"/>
                <w:sz w:val="18"/>
                <w:szCs w:val="18"/>
                <w:color w:val="auto"/>
              </w:rPr>
              <w:t>(1,396)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6.53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Forfeited prior to vesting</w:t>
            </w:r>
          </w:p>
        </w:tc>
        <w:tc>
          <w:tcPr>
            <w:tcW w:w="2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(3,664)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Canceled or Expired</w:t>
            </w:r>
          </w:p>
        </w:tc>
        <w:tc>
          <w:tcPr>
            <w:tcW w:w="2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Options outstanding at March 31, 2017</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845,172</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vMerge w:val="restart"/>
          </w:tcPr>
          <w:p>
            <w:pPr>
              <w:spacing w:after="0"/>
              <w:rPr>
                <w:sz w:val="20"/>
                <w:szCs w:val="20"/>
                <w:color w:val="auto"/>
              </w:rPr>
            </w:pPr>
            <w:r>
              <w:rPr>
                <w:rFonts w:ascii="Arial" w:cs="Arial" w:eastAsia="Arial" w:hAnsi="Arial"/>
                <w:sz w:val="18"/>
                <w:szCs w:val="18"/>
                <w:b w:val="1"/>
                <w:bCs w:val="1"/>
                <w:color w:val="auto"/>
              </w:rPr>
              <w:t>Options exercisable at end of March 31, 2017</w:t>
            </w:r>
          </w:p>
        </w:tc>
        <w:tc>
          <w:tcPr>
            <w:tcW w:w="17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380" w:type="dxa"/>
            <w:vAlign w:val="bottom"/>
            <w:vMerge w:val="continue"/>
          </w:tcPr>
          <w:p>
            <w:pPr>
              <w:spacing w:after="0"/>
              <w:rPr>
                <w:sz w:val="17"/>
                <w:szCs w:val="17"/>
                <w:color w:val="auto"/>
              </w:rPr>
            </w:pPr>
          </w:p>
        </w:tc>
        <w:tc>
          <w:tcPr>
            <w:tcW w:w="1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613,174</w:t>
            </w:r>
          </w:p>
        </w:tc>
        <w:tc>
          <w:tcPr>
            <w:tcW w:w="28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6.84</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2017, the total remaining unrecognized compensation cost related to non-vested stock options, net of forfeitures, was approximately $948, which will be recognized over a weighted average period of 2.10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Stock Option Repurchase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From March 11, 2016 to March 17, 2016, the Company offered to repurchase eligible vested options to purchase shares under the 1998 Plan and the 2007 Plan from employees. The Company repurchased delivered options at a repurchase price equal to the difference between the closing market price on the date of the employee’s communication of accepting the repurchase offer and the exercise price of such employee’s delivered options, subject to applicable withholding taxes and charges. The Company repurchased 225,542 stock options from employees at an average purchase price of $7.77.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issues shares to employees under the Company’s 2014 Employee Stock Purchase Plan (the “ESPP”). The ESPP was approved by the Company’s shareholders on December 12, 2014. As of March 31, 2017, 473,316 of the originally approved 500,000 shares were available for offerings under the ESPP. Offering periods under the ESPP commence on each January 1 and July 1, and continue for a duration of six months. The ESPP is available to all employees who do not own, or not are deemed to own, shares of stock making up an excess of 5% of the combined voting power of the Company, its parent or subsidiary. During each offering period, each eligible employee may purchase shares under the ESPP after authorizing payroll deductions. Under the ESPP, each employee may purchase up to the lesser of 2,500 shares or $25 of fair market value (based on the established purchase price) of the Company’s stock for each offering period. Unless the employee has previously withdrawn from the offering, his or her accumulated payroll deductions will be used to purchase common stock on the last business day of the period at a price equal to 85% (or a 15% discount) of the fair market value of the common stock on the first or last day of the offering period, whichever is lower.</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40" w:type="dxa"/>
            <w:vAlign w:val="bottom"/>
          </w:tcPr>
          <w:p>
            <w:pPr>
              <w:spacing w:after="0"/>
              <w:rPr>
                <w:sz w:val="20"/>
                <w:szCs w:val="20"/>
                <w:color w:val="auto"/>
              </w:rPr>
            </w:pPr>
            <w:r>
              <w:rPr>
                <w:rFonts w:ascii="Arial" w:cs="Arial" w:eastAsia="Arial" w:hAnsi="Arial"/>
                <w:sz w:val="18"/>
                <w:szCs w:val="18"/>
                <w:color w:val="auto"/>
                <w:w w:val="89"/>
              </w:rPr>
              <w:t>Share-based compensation expense has been recorded as follows: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40" w:type="dxa"/>
            <w:vAlign w:val="bottom"/>
          </w:tcPr>
          <w:p>
            <w:pPr>
              <w:spacing w:after="0"/>
              <w:rPr>
                <w:sz w:val="20"/>
                <w:szCs w:val="20"/>
                <w:color w:val="auto"/>
              </w:rPr>
            </w:pPr>
          </w:p>
        </w:tc>
      </w:tr>
      <w:tr>
        <w:trPr>
          <w:trHeight w:val="453"/>
        </w:trPr>
        <w:tc>
          <w:tcPr>
            <w:tcW w:w="4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340" w:type="dxa"/>
            <w:vAlign w:val="bottom"/>
            <w:tcBorders>
              <w:bottom w:val="single" w:sz="8" w:color="auto"/>
            </w:tcBorders>
          </w:tcPr>
          <w:p>
            <w:pPr>
              <w:spacing w:after="0"/>
              <w:rPr>
                <w:sz w:val="24"/>
                <w:szCs w:val="24"/>
                <w:color w:val="auto"/>
              </w:rPr>
            </w:pPr>
          </w:p>
        </w:tc>
        <w:tc>
          <w:tcPr>
            <w:tcW w:w="3440" w:type="dxa"/>
            <w:vAlign w:val="bottom"/>
          </w:tcPr>
          <w:p>
            <w:pPr>
              <w:spacing w:after="0"/>
              <w:rPr>
                <w:sz w:val="24"/>
                <w:szCs w:val="24"/>
                <w:color w:val="auto"/>
              </w:rPr>
            </w:pPr>
          </w:p>
        </w:tc>
      </w:tr>
      <w:tr>
        <w:trPr>
          <w:trHeight w:val="237"/>
        </w:trPr>
        <w:tc>
          <w:tcPr>
            <w:tcW w:w="4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145"/>
              <w:spacing w:after="0"/>
              <w:rPr>
                <w:sz w:val="20"/>
                <w:szCs w:val="20"/>
                <w:color w:val="auto"/>
              </w:rPr>
            </w:pPr>
            <w:r>
              <w:rPr>
                <w:rFonts w:ascii="Arial" w:cs="Arial" w:eastAsia="Arial" w:hAnsi="Arial"/>
                <w:sz w:val="18"/>
                <w:szCs w:val="18"/>
                <w:b w:val="1"/>
                <w:bCs w:val="1"/>
                <w:color w:val="auto"/>
              </w:rPr>
              <w:t>2016</w:t>
            </w:r>
          </w:p>
        </w:tc>
        <w:tc>
          <w:tcPr>
            <w:tcW w:w="340" w:type="dxa"/>
            <w:vAlign w:val="bottom"/>
          </w:tcPr>
          <w:p>
            <w:pPr>
              <w:spacing w:after="0"/>
              <w:rPr>
                <w:sz w:val="20"/>
                <w:szCs w:val="20"/>
                <w:color w:val="auto"/>
              </w:rPr>
            </w:pPr>
          </w:p>
        </w:tc>
        <w:tc>
          <w:tcPr>
            <w:tcW w:w="3440" w:type="dxa"/>
            <w:vAlign w:val="bottom"/>
          </w:tcPr>
          <w:p>
            <w:pPr>
              <w:spacing w:after="0"/>
              <w:rPr>
                <w:sz w:val="20"/>
                <w:szCs w:val="20"/>
                <w:color w:val="auto"/>
              </w:rPr>
            </w:pPr>
          </w:p>
        </w:tc>
      </w:tr>
      <w:tr>
        <w:trPr>
          <w:trHeight w:val="216"/>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92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440" w:type="dxa"/>
            <w:vAlign w:val="bottom"/>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14</w:t>
            </w:r>
          </w:p>
        </w:tc>
        <w:tc>
          <w:tcPr>
            <w:tcW w:w="344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Research and product development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440" w:type="dxa"/>
            <w:vAlign w:val="bottom"/>
          </w:tcPr>
          <w:p>
            <w:pPr>
              <w:spacing w:after="0"/>
              <w:rPr>
                <w:sz w:val="18"/>
                <w:szCs w:val="18"/>
                <w:color w:val="auto"/>
              </w:rPr>
            </w:pPr>
          </w:p>
        </w:tc>
      </w:tr>
      <w:tr>
        <w:trPr>
          <w:trHeight w:val="237"/>
        </w:trPr>
        <w:tc>
          <w:tcPr>
            <w:tcW w:w="48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6"/>
              </w:rPr>
              <w:t>103</w:t>
            </w:r>
          </w:p>
        </w:tc>
        <w:tc>
          <w:tcPr>
            <w:tcW w:w="3440" w:type="dxa"/>
            <w:vAlign w:val="bottom"/>
          </w:tcPr>
          <w:p>
            <w:pPr>
              <w:spacing w:after="0"/>
              <w:rPr>
                <w:sz w:val="20"/>
                <w:szCs w:val="20"/>
                <w:color w:val="auto"/>
              </w:rPr>
            </w:pPr>
          </w:p>
        </w:tc>
      </w:tr>
      <w:tr>
        <w:trPr>
          <w:trHeight w:val="230"/>
        </w:trPr>
        <w:tc>
          <w:tcPr>
            <w:tcW w:w="48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ind w:right="92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148</w:t>
            </w:r>
          </w:p>
        </w:tc>
        <w:tc>
          <w:tcPr>
            <w:tcW w:w="3440" w:type="dxa"/>
            <w:vAlign w:val="bottom"/>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420"/>
        </w:trPr>
        <w:tc>
          <w:tcPr>
            <w:tcW w:w="48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Dollars in thousands)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Shareholders’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2012, our Board of Directors authorized a stock repurchase program to purchase the Company’s common stock in the open market. A total of 272,767 shares costing $2,598 were purchased under this program during the year ended December 31, 2014. The cost of shares purchased were recorded as a reduction to shareholders’ equity. On December 2, 2015, the Company announced the discontinuance of the stock repurchase program along with the initiation of a cash dividend plan. On January 31, 2017, the Company declared its most recent dividend under this plan of $0.05 per share of ClearOne common stock, payable on March 1, 2017 to shareholders of record on February 15, 2017. In addition, on March 1, 2017, our Board of Directors authorized an increase in our quarterly dividend from $0.05 per share to $0.07 per share beginning with the second quarter dividend in 2017 expected to be paid on or about June 1, 2017.</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March 9, 2016, the Board of Directors of the Company authorized the repurchase of up to $10,000 of the Company’s outstanding shares of common stock under a new stock repurchase program. In connection with the repurchase authorization, the Company was authorized to complete the repurchase through open market transactions or through an accelerated share repurchase program, in each case to be executed at management’s discretion based on business and market conditions, stock price, trading restrictions, acquisition activity and other factors. The repurchase program may be suspended or discontinued at any time without prior notice. The transactions effectuated to date occurred in open market purchases.</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March 1, 2017, the Board of Directors of the Company renewed and extended the repurchase program for up to an additional $10 million of common stock over the next twelve months. In connection with the repurchase extension authorization, the Company was authorized to complete the repurchase through open market transactions or through an accelerated share repurchase program, in each case to be executed at management’s discretion based on business and market conditions, stock price, trading restrictions, acquisition activity and other factors. The repurchase program may be suspended or discontinued at any time without prior notice. The transactions effectuated to date occurred in open market purchases.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(d)</w:t>
            </w:r>
          </w:p>
        </w:tc>
      </w:tr>
      <w:tr>
        <w:trPr>
          <w:trHeight w:val="216"/>
        </w:trPr>
        <w:tc>
          <w:tcPr>
            <w:tcW w:w="2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(c)</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Approximate Dollar</w:t>
            </w:r>
          </w:p>
        </w:tc>
      </w:tr>
      <w:tr>
        <w:trPr>
          <w:trHeight w:val="216"/>
        </w:trPr>
        <w:tc>
          <w:tcPr>
            <w:tcW w:w="2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Total Number of</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Value of Shares that</w:t>
            </w:r>
          </w:p>
        </w:tc>
      </w:tr>
      <w:tr>
        <w:trPr>
          <w:trHeight w:val="216"/>
        </w:trPr>
        <w:tc>
          <w:tcPr>
            <w:tcW w:w="2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7"/>
              </w:rPr>
              <w:t>Shares Purchased</w:t>
            </w:r>
          </w:p>
        </w:tc>
        <w:tc>
          <w:tcPr>
            <w:tcW w:w="300" w:type="dxa"/>
            <w:vAlign w:val="bottom"/>
          </w:tcPr>
          <w:p>
            <w:pPr>
              <w:spacing w:after="0"/>
              <w:rPr>
                <w:sz w:val="18"/>
                <w:szCs w:val="18"/>
                <w:color w:val="auto"/>
              </w:rPr>
            </w:pPr>
          </w:p>
        </w:tc>
        <w:tc>
          <w:tcPr>
            <w:tcW w:w="19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May Yet Be Purchased</w:t>
            </w:r>
          </w:p>
        </w:tc>
      </w:tr>
      <w:tr>
        <w:trPr>
          <w:trHeight w:val="216"/>
        </w:trPr>
        <w:tc>
          <w:tcPr>
            <w:tcW w:w="2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(a)</w:t>
            </w:r>
          </w:p>
        </w:tc>
        <w:tc>
          <w:tcPr>
            <w:tcW w:w="240" w:type="dxa"/>
            <w:vAlign w:val="bottom"/>
          </w:tcPr>
          <w:p>
            <w:pPr>
              <w:spacing w:after="0"/>
              <w:rPr>
                <w:sz w:val="18"/>
                <w:szCs w:val="18"/>
                <w:color w:val="auto"/>
              </w:rPr>
            </w:pPr>
          </w:p>
        </w:tc>
        <w:tc>
          <w:tcPr>
            <w:tcW w:w="204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95"/>
              </w:rPr>
              <w:t>(b)</w:t>
            </w:r>
          </w:p>
        </w:tc>
        <w:tc>
          <w:tcPr>
            <w:tcW w:w="18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as Part of Publicly</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Under the Plans or</w:t>
            </w:r>
          </w:p>
        </w:tc>
      </w:tr>
      <w:tr>
        <w:trPr>
          <w:trHeight w:val="216"/>
        </w:trPr>
        <w:tc>
          <w:tcPr>
            <w:tcW w:w="2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Total Number of Shares</w:t>
            </w:r>
          </w:p>
        </w:tc>
        <w:tc>
          <w:tcPr>
            <w:tcW w:w="240" w:type="dxa"/>
            <w:vAlign w:val="bottom"/>
          </w:tcPr>
          <w:p>
            <w:pPr>
              <w:spacing w:after="0"/>
              <w:rPr>
                <w:sz w:val="18"/>
                <w:szCs w:val="18"/>
                <w:color w:val="auto"/>
              </w:rPr>
            </w:pPr>
          </w:p>
        </w:tc>
        <w:tc>
          <w:tcPr>
            <w:tcW w:w="204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8"/>
              </w:rPr>
              <w:t>Average Price</w:t>
            </w:r>
          </w:p>
        </w:tc>
        <w:tc>
          <w:tcPr>
            <w:tcW w:w="18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Announced Plans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Programs (in $</w:t>
            </w:r>
          </w:p>
        </w:tc>
      </w:tr>
      <w:tr>
        <w:trPr>
          <w:trHeight w:val="241"/>
        </w:trPr>
        <w:tc>
          <w:tcPr>
            <w:tcW w:w="276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2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Purchased</w:t>
            </w:r>
          </w:p>
        </w:tc>
        <w:tc>
          <w:tcPr>
            <w:tcW w:w="240" w:type="dxa"/>
            <w:vAlign w:val="bottom"/>
          </w:tcPr>
          <w:p>
            <w:pPr>
              <w:spacing w:after="0"/>
              <w:rPr>
                <w:sz w:val="20"/>
                <w:szCs w:val="20"/>
                <w:color w:val="auto"/>
              </w:rPr>
            </w:pPr>
          </w:p>
        </w:tc>
        <w:tc>
          <w:tcPr>
            <w:tcW w:w="204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0"/>
              </w:rPr>
              <w:t>Paid per Share</w:t>
            </w:r>
          </w:p>
        </w:tc>
        <w:tc>
          <w:tcPr>
            <w:tcW w:w="18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or Programs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millions)</w:t>
            </w:r>
          </w:p>
        </w:tc>
      </w:tr>
      <w:tr>
        <w:trPr>
          <w:trHeight w:val="216"/>
        </w:trPr>
        <w:tc>
          <w:tcPr>
            <w:tcW w:w="2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2017</w:t>
            </w:r>
          </w:p>
        </w:tc>
        <w:tc>
          <w:tcPr>
            <w:tcW w:w="34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35,794</w:t>
            </w: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3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35,794</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February 2017</w:t>
            </w:r>
          </w:p>
        </w:tc>
        <w:tc>
          <w:tcPr>
            <w:tcW w:w="2320" w:type="dxa"/>
            <w:vAlign w:val="bottom"/>
            <w:gridSpan w:val="2"/>
          </w:tcPr>
          <w:p>
            <w:pPr>
              <w:jc w:val="right"/>
              <w:ind w:right="360"/>
              <w:spacing w:after="0"/>
              <w:rPr>
                <w:sz w:val="20"/>
                <w:szCs w:val="20"/>
                <w:color w:val="auto"/>
              </w:rPr>
            </w:pPr>
            <w:r>
              <w:rPr>
                <w:rFonts w:ascii="Arial" w:cs="Arial" w:eastAsia="Arial" w:hAnsi="Arial"/>
                <w:sz w:val="18"/>
                <w:szCs w:val="18"/>
                <w:color w:val="auto"/>
              </w:rPr>
              <w:t>22,012</w:t>
            </w:r>
          </w:p>
        </w:tc>
        <w:tc>
          <w:tcPr>
            <w:tcW w:w="240" w:type="dxa"/>
            <w:vAlign w:val="bottom"/>
          </w:tcPr>
          <w:p>
            <w:pPr>
              <w:spacing w:after="0"/>
              <w:rPr>
                <w:sz w:val="18"/>
                <w:szCs w:val="18"/>
                <w:color w:val="auto"/>
              </w:rPr>
            </w:pPr>
          </w:p>
        </w:tc>
        <w:tc>
          <w:tcPr>
            <w:tcW w:w="2040" w:type="dxa"/>
            <w:vAlign w:val="bottom"/>
            <w:gridSpan w:val="2"/>
          </w:tcPr>
          <w:p>
            <w:pPr>
              <w:jc w:val="right"/>
              <w:ind w:right="320"/>
              <w:spacing w:after="0"/>
              <w:rPr>
                <w:sz w:val="20"/>
                <w:szCs w:val="20"/>
                <w:color w:val="auto"/>
              </w:rPr>
            </w:pPr>
            <w:r>
              <w:rPr>
                <w:rFonts w:ascii="Arial" w:cs="Arial" w:eastAsia="Arial" w:hAnsi="Arial"/>
                <w:sz w:val="18"/>
                <w:szCs w:val="18"/>
                <w:color w:val="auto"/>
              </w:rPr>
              <w:t>11.57</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22,012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r>
      <w:tr>
        <w:trPr>
          <w:trHeight w:val="250"/>
        </w:trPr>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2017</w:t>
            </w:r>
          </w:p>
        </w:tc>
        <w:tc>
          <w:tcPr>
            <w:tcW w:w="2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21,150</w:t>
            </w:r>
          </w:p>
        </w:tc>
        <w:tc>
          <w:tcPr>
            <w:tcW w:w="240" w:type="dxa"/>
            <w:vAlign w:val="bottom"/>
            <w:shd w:val="clear" w:color="auto" w:fill="CCEEFF"/>
          </w:tcPr>
          <w:p>
            <w:pPr>
              <w:spacing w:after="0"/>
              <w:rPr>
                <w:sz w:val="21"/>
                <w:szCs w:val="21"/>
                <w:color w:val="auto"/>
              </w:rPr>
            </w:pPr>
          </w:p>
        </w:tc>
        <w:tc>
          <w:tcPr>
            <w:tcW w:w="2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11.03</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21,150</w:t>
            </w: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r>
      <w:tr>
        <w:trPr>
          <w:trHeight w:val="217"/>
        </w:trPr>
        <w:tc>
          <w:tcPr>
            <w:tcW w:w="2760" w:type="dxa"/>
            <w:vAlign w:val="bottom"/>
            <w:tcBorders>
              <w:top w:val="single" w:sz="8" w:color="CCEEFF"/>
            </w:tcBorders>
            <w:gridSpan w:val="2"/>
          </w:tcPr>
          <w:p>
            <w:pPr>
              <w:ind w:left="180"/>
              <w:spacing w:after="0"/>
              <w:rPr>
                <w:sz w:val="20"/>
                <w:szCs w:val="20"/>
                <w:color w:val="auto"/>
              </w:rPr>
            </w:pPr>
            <w:r>
              <w:rPr>
                <w:rFonts w:ascii="Arial" w:cs="Arial" w:eastAsia="Arial" w:hAnsi="Arial"/>
                <w:sz w:val="18"/>
                <w:szCs w:val="18"/>
                <w:color w:val="auto"/>
              </w:rPr>
              <w:t>Total</w:t>
            </w: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78,956</w:t>
            </w:r>
          </w:p>
        </w:tc>
        <w:tc>
          <w:tcPr>
            <w:tcW w:w="36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11.75</w:t>
            </w:r>
          </w:p>
        </w:tc>
        <w:tc>
          <w:tcPr>
            <w:tcW w:w="320" w:type="dxa"/>
            <w:vAlign w:val="bottom"/>
            <w:tcBorders>
              <w:top w:val="single" w:sz="8" w:color="CCEEFF"/>
            </w:tcBorders>
          </w:tcPr>
          <w:p>
            <w:pPr>
              <w:spacing w:after="0"/>
              <w:rPr>
                <w:sz w:val="18"/>
                <w:szCs w:val="18"/>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78,956</w:t>
            </w:r>
          </w:p>
        </w:tc>
        <w:tc>
          <w:tcPr>
            <w:tcW w:w="20" w:type="dxa"/>
            <w:vAlign w:val="bottom"/>
            <w:tcBorders>
              <w:top w:val="single" w:sz="8" w:color="CCEEFF"/>
              <w:bottom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0"/>
        </w:trPr>
        <w:tc>
          <w:tcPr>
            <w:tcW w:w="2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Dividends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31, 2017, the Company declared a stock dividend of $0.05 per share of ClearOne common stock paid March 1, 2017 to shareholders of record as of February 15,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Shareholders’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 in shareholders’ equity during the three months ended March 31, 2017 and 2016, respectively:</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Dollars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0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80" w:type="dxa"/>
            <w:vAlign w:val="bottom"/>
            <w:gridSpan w:val="7"/>
          </w:tcPr>
          <w:p>
            <w:pPr>
              <w:jc w:val="right"/>
              <w:ind w:right="480"/>
              <w:spacing w:after="0"/>
              <w:rPr>
                <w:sz w:val="20"/>
                <w:szCs w:val="20"/>
                <w:color w:val="auto"/>
              </w:rPr>
            </w:pPr>
            <w:r>
              <w:rPr>
                <w:rFonts w:ascii="Arial" w:cs="Arial" w:eastAsia="Arial" w:hAnsi="Arial"/>
                <w:sz w:val="18"/>
                <w:szCs w:val="18"/>
                <w:b w:val="1"/>
                <w:bCs w:val="1"/>
                <w:color w:val="auto"/>
              </w:rPr>
              <w:t>Three months ended March 31,</w:t>
            </w:r>
          </w:p>
        </w:tc>
      </w:tr>
      <w:tr>
        <w:trPr>
          <w:trHeight w:val="237"/>
        </w:trPr>
        <w:tc>
          <w:tcPr>
            <w:tcW w:w="5080" w:type="dxa"/>
            <w:vAlign w:val="bottom"/>
            <w:tcBorders>
              <w:bottom w:val="single" w:sz="8" w:color="CCEEFF"/>
            </w:tcBorders>
          </w:tcPr>
          <w:p>
            <w:pPr>
              <w:spacing w:after="0"/>
              <w:rPr>
                <w:sz w:val="20"/>
                <w:szCs w:val="20"/>
                <w:color w:val="auto"/>
              </w:rPr>
            </w:pPr>
          </w:p>
        </w:tc>
        <w:tc>
          <w:tcPr>
            <w:tcW w:w="1340" w:type="dxa"/>
            <w:vAlign w:val="bottom"/>
            <w:tcBorders>
              <w:bottom w:val="single" w:sz="8" w:color="CCEEFF"/>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2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beginning of the period</w:t>
            </w:r>
          </w:p>
        </w:tc>
        <w:tc>
          <w:tcPr>
            <w:tcW w:w="13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77,449</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82,569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Exercise of stock options</w:t>
            </w: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293</w:t>
            </w:r>
          </w:p>
        </w:tc>
        <w:tc>
          <w:tcPr>
            <w:tcW w:w="60" w:type="dxa"/>
            <w:vAlign w:val="bottom"/>
          </w:tcPr>
          <w:p>
            <w:pPr>
              <w:spacing w:after="0"/>
              <w:rPr>
                <w:sz w:val="18"/>
                <w:szCs w:val="18"/>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repurchased</w:t>
            </w:r>
          </w:p>
        </w:tc>
        <w:tc>
          <w:tcPr>
            <w:tcW w:w="1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(928)</w:t>
            </w:r>
          </w:p>
        </w:tc>
        <w:tc>
          <w:tcPr>
            <w:tcW w:w="3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(404)</w:t>
            </w: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Options repurchased</w:t>
            </w: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(1,752)</w:t>
            </w: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stock purchase plan</w:t>
            </w:r>
          </w:p>
        </w:tc>
        <w:tc>
          <w:tcPr>
            <w:tcW w:w="1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Dividends</w:t>
            </w: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(439)</w:t>
            </w:r>
          </w:p>
        </w:tc>
        <w:tc>
          <w:tcPr>
            <w:tcW w:w="320" w:type="dxa"/>
            <w:vAlign w:val="bottom"/>
          </w:tcPr>
          <w:p>
            <w:pPr>
              <w:spacing w:after="0"/>
              <w:rPr>
                <w:sz w:val="18"/>
                <w:szCs w:val="18"/>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(459)</w:t>
            </w: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1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171</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w:t>
            </w:r>
          </w:p>
        </w:tc>
        <w:tc>
          <w:tcPr>
            <w:tcW w:w="60" w:type="dxa"/>
            <w:vAlign w:val="bottom"/>
            <w:shd w:val="clear" w:color="auto" w:fill="CCEEFF"/>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Tax benefit - stock option exercise</w:t>
            </w: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563</w:t>
            </w:r>
          </w:p>
        </w:tc>
        <w:tc>
          <w:tcPr>
            <w:tcW w:w="60" w:type="dxa"/>
            <w:vAlign w:val="bottom"/>
          </w:tcPr>
          <w:p>
            <w:pPr>
              <w:spacing w:after="0"/>
              <w:rPr>
                <w:sz w:val="18"/>
                <w:szCs w:val="18"/>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 or loss on investments, net of tax</w:t>
            </w:r>
          </w:p>
        </w:tc>
        <w:tc>
          <w:tcPr>
            <w:tcW w:w="1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w:t>
            </w:r>
          </w:p>
        </w:tc>
        <w:tc>
          <w:tcPr>
            <w:tcW w:w="60" w:type="dxa"/>
            <w:vAlign w:val="bottom"/>
            <w:shd w:val="clear" w:color="auto" w:fill="CCEEFF"/>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50"/>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income/(loss) during the period</w:t>
            </w:r>
          </w:p>
        </w:tc>
        <w:tc>
          <w:tcPr>
            <w:tcW w:w="13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(468)</w:t>
            </w:r>
          </w:p>
        </w:tc>
        <w:tc>
          <w:tcPr>
            <w:tcW w:w="3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1,368</w:t>
            </w:r>
          </w:p>
        </w:tc>
        <w:tc>
          <w:tcPr>
            <w:tcW w:w="60" w:type="dxa"/>
            <w:vAlign w:val="bottom"/>
            <w:shd w:val="clear" w:color="auto" w:fill="CCEEFF"/>
          </w:tcPr>
          <w:p>
            <w:pPr>
              <w:spacing w:after="0"/>
              <w:rPr>
                <w:sz w:val="21"/>
                <w:szCs w:val="21"/>
                <w:color w:val="auto"/>
              </w:rPr>
            </w:pPr>
          </w:p>
        </w:tc>
      </w:tr>
      <w:tr>
        <w:trPr>
          <w:trHeight w:val="210"/>
        </w:trPr>
        <w:tc>
          <w:tcPr>
            <w:tcW w:w="50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Balance at end of the period</w:t>
            </w:r>
          </w:p>
        </w:tc>
        <w:tc>
          <w:tcPr>
            <w:tcW w:w="1340" w:type="dxa"/>
            <w:vAlign w:val="bottom"/>
            <w:tcBorders>
              <w:top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750"/>
              <w:spacing w:after="0" w:line="203"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0"/>
              </w:rPr>
              <w:t>75,863</w:t>
            </w: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82,505</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of the Company’s financial instruments reflects the amounts that the Company estimates it will receive in connection with the sale of an asset or pay in connection with the transfer of a liability in an orderly transaction between market participants at the measurement date (exit price). The fair value hierarchy prioritizes the use of inputs used in valuation techniques into the following three levels: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Quoted prices in active markets for identical assets and liabilities.</w:t>
      </w:r>
    </w:p>
    <w:p>
      <w:pPr>
        <w:spacing w:after="0" w:line="225"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xml:space="preserve"> - Observable inputs other than quoted prices in active markets for identical assets and liabilities; quoted prices in markets that are not active; or other inputs that are observable or can be corroborated by observable market data for substantially the full term of the assets or liabilities. This category generally includes U.S. Government and agency securities; municipal securities; mutual funds and securities sold and not yet settled.</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Unobservable inputs.</w:t>
      </w:r>
    </w:p>
    <w:p>
      <w:pPr>
        <w:spacing w:after="0" w:line="225"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substantial majority of the Company’s financial instruments are valued using quoted prices in active markets or based on other observable inputs. The following table sets forth the fair value of the financial instruments re-measured by the Company as of March 31, 2017 and December 31, 2016:</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62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20"/>
                <w:szCs w:val="20"/>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b w:val="1"/>
                <w:bCs w:val="1"/>
                <w:color w:val="auto"/>
              </w:rPr>
              <w:t>Level 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3"/>
          </w:tcPr>
          <w:p>
            <w:pPr>
              <w:ind w:left="180"/>
              <w:spacing w:after="0"/>
              <w:rPr>
                <w:sz w:val="20"/>
                <w:szCs w:val="20"/>
                <w:color w:val="auto"/>
              </w:rPr>
            </w:pPr>
            <w:r>
              <w:rPr>
                <w:rFonts w:ascii="Arial" w:cs="Arial" w:eastAsia="Arial" w:hAnsi="Arial"/>
                <w:sz w:val="18"/>
                <w:szCs w:val="18"/>
                <w:b w:val="1"/>
                <w:bCs w:val="1"/>
                <w:color w:val="auto"/>
              </w:rPr>
              <w:t>Total</w:t>
            </w:r>
          </w:p>
        </w:tc>
      </w:tr>
      <w:tr>
        <w:trPr>
          <w:trHeight w:val="216"/>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March 31, 2017</w:t>
            </w: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Corporate bonds and notes</w:t>
            </w:r>
          </w:p>
        </w:tc>
        <w:tc>
          <w:tcPr>
            <w:tcW w:w="1000" w:type="dxa"/>
            <w:vAlign w:val="bottom"/>
          </w:tcPr>
          <w:p>
            <w:pPr>
              <w:jc w:val="right"/>
              <w:ind w:right="840"/>
              <w:spacing w:after="0"/>
              <w:rPr>
                <w:sz w:val="20"/>
                <w:szCs w:val="20"/>
                <w:color w:val="auto"/>
              </w:rPr>
            </w:pPr>
            <w:r>
              <w:rPr>
                <w:rFonts w:ascii="Arial" w:cs="Arial" w:eastAsia="Arial" w:hAnsi="Arial"/>
                <w:sz w:val="15"/>
                <w:szCs w:val="15"/>
                <w:color w:val="auto"/>
                <w:w w:val="71"/>
              </w:rPr>
              <w:t>$</w:t>
            </w: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19,402</w:t>
            </w:r>
          </w:p>
        </w:tc>
        <w:tc>
          <w:tcPr>
            <w:tcW w:w="1100" w:type="dxa"/>
            <w:vAlign w:val="bottom"/>
            <w:gridSpan w:val="2"/>
          </w:tcPr>
          <w:p>
            <w:pPr>
              <w:jc w:val="right"/>
              <w:ind w:right="817"/>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19,402</w:t>
            </w:r>
          </w:p>
        </w:tc>
        <w:tc>
          <w:tcPr>
            <w:tcW w:w="80" w:type="dxa"/>
            <w:vAlign w:val="bottom"/>
          </w:tcPr>
          <w:p>
            <w:pPr>
              <w:spacing w:after="0"/>
              <w:rPr>
                <w:sz w:val="18"/>
                <w:szCs w:val="18"/>
                <w:color w:val="auto"/>
              </w:rPr>
            </w:pP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Municipal bonds</w:t>
            </w:r>
          </w:p>
        </w:tc>
        <w:tc>
          <w:tcPr>
            <w:tcW w:w="1000" w:type="dxa"/>
            <w:vAlign w:val="bottom"/>
            <w:shd w:val="clear" w:color="auto" w:fill="CCEEFF"/>
          </w:tcPr>
          <w:p>
            <w:pPr>
              <w:spacing w:after="0"/>
              <w:rPr>
                <w:sz w:val="21"/>
                <w:szCs w:val="21"/>
                <w:color w:val="auto"/>
              </w:rPr>
            </w:pP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7,562</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7,562</w:t>
            </w:r>
          </w:p>
        </w:tc>
        <w:tc>
          <w:tcPr>
            <w:tcW w:w="80" w:type="dxa"/>
            <w:vAlign w:val="bottom"/>
            <w:shd w:val="clear" w:color="auto" w:fill="CCEEFF"/>
          </w:tcPr>
          <w:p>
            <w:pPr>
              <w:spacing w:after="0"/>
              <w:rPr>
                <w:sz w:val="21"/>
                <w:szCs w:val="21"/>
                <w:color w:val="auto"/>
              </w:rPr>
            </w:pPr>
          </w:p>
        </w:tc>
      </w:tr>
      <w:tr>
        <w:trPr>
          <w:trHeight w:val="203"/>
        </w:trPr>
        <w:tc>
          <w:tcPr>
            <w:tcW w:w="562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w:t>
            </w:r>
          </w:p>
        </w:tc>
        <w:tc>
          <w:tcPr>
            <w:tcW w:w="1000" w:type="dxa"/>
            <w:vAlign w:val="bottom"/>
            <w:tcBorders>
              <w:top w:val="single" w:sz="8" w:color="auto"/>
              <w:bottom w:val="single" w:sz="8" w:color="auto"/>
            </w:tcBorders>
          </w:tcPr>
          <w:p>
            <w:pPr>
              <w:jc w:val="right"/>
              <w:ind w:right="840"/>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ind w:left="80"/>
              <w:spacing w:after="0" w:line="203" w:lineRule="exact"/>
              <w:rPr>
                <w:sz w:val="20"/>
                <w:szCs w:val="20"/>
                <w:color w:val="auto"/>
              </w:rPr>
            </w:pPr>
            <w:r>
              <w:rPr>
                <w:rFonts w:ascii="Arial" w:cs="Arial" w:eastAsia="Arial" w:hAnsi="Arial"/>
                <w:sz w:val="18"/>
                <w:szCs w:val="18"/>
                <w:color w:val="auto"/>
                <w:w w:val="88"/>
              </w:rPr>
              <w:t>—</w:t>
            </w:r>
          </w:p>
        </w:tc>
        <w:tc>
          <w:tcPr>
            <w:tcW w:w="240" w:type="dxa"/>
            <w:vAlign w:val="bottom"/>
            <w:tcBorders>
              <w:top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26,964</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817"/>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ind w:left="80"/>
              <w:spacing w:after="0" w:line="203" w:lineRule="exact"/>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26,964</w:t>
            </w:r>
          </w:p>
        </w:tc>
        <w:tc>
          <w:tcPr>
            <w:tcW w:w="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0"/>
        </w:trPr>
        <w:tc>
          <w:tcPr>
            <w:tcW w:w="56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620" w:type="dxa"/>
            <w:vAlign w:val="bottom"/>
          </w:tcPr>
          <w:p>
            <w:pPr>
              <w:spacing w:after="0"/>
              <w:rPr>
                <w:sz w:val="20"/>
                <w:szCs w:val="20"/>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20"/>
                <w:szCs w:val="20"/>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b w:val="1"/>
                <w:bCs w:val="1"/>
                <w:color w:val="auto"/>
              </w:rPr>
              <w:t>Level 3</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r>
      <w:tr>
        <w:trPr>
          <w:trHeight w:val="216"/>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2016</w:t>
            </w: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Corporate bonds and notes</w:t>
            </w:r>
          </w:p>
        </w:tc>
        <w:tc>
          <w:tcPr>
            <w:tcW w:w="1000" w:type="dxa"/>
            <w:vAlign w:val="bottom"/>
          </w:tcPr>
          <w:p>
            <w:pPr>
              <w:jc w:val="right"/>
              <w:ind w:right="837"/>
              <w:spacing w:after="0"/>
              <w:rPr>
                <w:sz w:val="20"/>
                <w:szCs w:val="20"/>
                <w:color w:val="auto"/>
              </w:rPr>
            </w:pPr>
            <w:r>
              <w:rPr>
                <w:rFonts w:ascii="Arial" w:cs="Arial" w:eastAsia="Arial" w:hAnsi="Arial"/>
                <w:sz w:val="15"/>
                <w:szCs w:val="15"/>
                <w:color w:val="auto"/>
                <w:w w:val="71"/>
              </w:rPr>
              <w:t>$</w:t>
            </w: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19,970</w:t>
            </w:r>
          </w:p>
        </w:tc>
        <w:tc>
          <w:tcPr>
            <w:tcW w:w="1100" w:type="dxa"/>
            <w:vAlign w:val="bottom"/>
            <w:gridSpan w:val="2"/>
          </w:tcPr>
          <w:p>
            <w:pPr>
              <w:jc w:val="right"/>
              <w:ind w:right="817"/>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19,970</w:t>
            </w: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Municipal bonds</w:t>
            </w:r>
          </w:p>
        </w:tc>
        <w:tc>
          <w:tcPr>
            <w:tcW w:w="1000" w:type="dxa"/>
            <w:vAlign w:val="bottom"/>
            <w:shd w:val="clear" w:color="auto" w:fill="CCEEFF"/>
          </w:tcPr>
          <w:p>
            <w:pPr>
              <w:spacing w:after="0"/>
              <w:rPr>
                <w:sz w:val="21"/>
                <w:szCs w:val="21"/>
                <w:color w:val="auto"/>
              </w:rPr>
            </w:pP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6,425</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6,425</w:t>
            </w:r>
          </w:p>
        </w:tc>
      </w:tr>
      <w:tr>
        <w:trPr>
          <w:trHeight w:val="217"/>
        </w:trPr>
        <w:tc>
          <w:tcPr>
            <w:tcW w:w="5620" w:type="dxa"/>
            <w:vAlign w:val="bottom"/>
            <w:tcBorders>
              <w:top w:val="single" w:sz="8" w:color="CCEEFF"/>
            </w:tcBorders>
          </w:tcPr>
          <w:p>
            <w:pPr>
              <w:ind w:left="360"/>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auto"/>
              <w:bottom w:val="single" w:sz="8" w:color="auto"/>
            </w:tcBorders>
          </w:tcPr>
          <w:p>
            <w:pPr>
              <w:jc w:val="right"/>
              <w:ind w:right="837"/>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26,395</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817"/>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26,395</w:t>
            </w:r>
          </w:p>
        </w:tc>
        <w:tc>
          <w:tcPr>
            <w:tcW w:w="100" w:type="dxa"/>
            <w:vAlign w:val="bottom"/>
            <w:tcBorders>
              <w:top w:val="single" w:sz="8" w:color="CCEEFF"/>
            </w:tcBorders>
          </w:tcPr>
          <w:p>
            <w:pPr>
              <w:spacing w:after="0"/>
              <w:rPr>
                <w:sz w:val="18"/>
                <w:szCs w:val="18"/>
                <w:color w:val="auto"/>
              </w:rPr>
            </w:pPr>
          </w:p>
        </w:tc>
      </w:tr>
      <w:tr>
        <w:trPr>
          <w:trHeight w:val="20"/>
        </w:trPr>
        <w:tc>
          <w:tcPr>
            <w:tcW w:w="56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56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97"/>
              <w:spacing w:after="0"/>
              <w:rPr>
                <w:sz w:val="20"/>
                <w:szCs w:val="20"/>
                <w:color w:val="auto"/>
              </w:rPr>
            </w:pPr>
            <w:r>
              <w:rPr>
                <w:rFonts w:ascii="Arial" w:cs="Arial" w:eastAsia="Arial" w:hAnsi="Arial"/>
                <w:sz w:val="18"/>
                <w:szCs w:val="18"/>
                <w:color w:val="auto"/>
                <w:w w:val="99"/>
              </w:rPr>
              <w:t>13</w:t>
            </w: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Dollars in thousands)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Company’s forecasted effective tax rate at March 31, 2017 is 30.9%, a 6.1% decrease from the 37.0% effective tax rate recorded at December 31, 2016. The forecasted effective tax rate of 30.9% excludes jurisdictions for which no benefit from forecasted current year losses is anticipated. Including losses from such jurisdictions results in a forecasted effective tax rate of 32.9%. Our forecasted effective tax rate could fluctuate significantly on a quarterly basis and could change, to the extent that earnings in countries with tax rates that differ from that of the U.S. differ from amounts anticipated at March 31, 2017.</w:t>
      </w:r>
    </w:p>
    <w:p>
      <w:pPr>
        <w:spacing w:after="0" w:line="15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After a discrete tax expense of $6, the effective tax rate for the quarter ended March 31, 2017 is (10.7)%, which is due primarily to losses in certain foreign jurisdictions which cannot be benefited. The discrete tax expense of $6 is primarily attributable to interest and penalties on unrecognized tax benefits.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April 25, 2017, the Company was awarded a new patent, U.S. Patent No. 9,635,186 (the “’186 Patent”), which relates to a system and method involving the combination of echo cancellation and beamforming microphone arrays. Also on April 25, 2017, the Company filed a lawsuit in the U.S. Federal District Court in the District of Utah against three parties—Shure, Inc. (“Shure”), Biamp Systems Corporation, and QSC Audio Products, LLC (collectively, “Defendants”), alleging that the Defendants were jointly and indirectly infringing the newly issued ‘186 Patent (the “Infringement Action”). On that same day, Shure filed a separate action in the U.S. Federal District Court in the Northern District of Illinois (the “Illinois Action”) requesting a declaratory judgment as to the invalidity or non-infringement with respect to the ’186 Patent. The Illinois Action also seeks the same declaratory judgment with respect to another Company patent, United States Patent No. 9,264,553 (the “’553 Patent”), and which has not been asserted by the Company against any defendant and has been submitted to the USPTO for reissue. The Company intends to vigorously enforce and defend its intellectual property rights in the Infringement Action and the Illinois Action.</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4, 2017 the Company announced a quarterly cash dividend for the first quarter of 2017 at $0.07 per share to be paid on May 31, 2017 to shareholders of record as of May 17, 2017.</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This report on Form 10-Q includes “forward-looking statements” within the meaning of Section 27A of the Securities Act of 1933, as amended, and Section 21E of the Securities Exchange Act of 1934, as amended (the “Exchange Act”). All statements in this report, other than statements of historical fact, are forward-looking statements for purposes of these provisions, including any projections of earnings, revenues or other financial items, any statements of the plans and objectives of management for future operations, any statements concerning proposed new products or services, any statements regarding future economic conditions or performance, and any statements of assumptions underlying any of the foregoing. All forward-looking statements included in this report are made as of the date hereof and are based on information available to us as of such date. We assume no obligation to update any forward-looking statement. In some cases, forward-looking statements can be identified by the use of terminology such as “may,” “will,” “expects,” “plans,” “anticipates,” “intends,” “believes,” “estimates,” “potential,” or “continue,” or the negative thereof or other comparable terminology. Although we believe that the expectations reflected in the forward-looking statements contained herein are based upon reasonable assumptions at the time made, there can be no assurance that any such expectations or any forward-looking statement will prove to be correct. Our actual results will vary, and may vary materially, from those projected or assumed in the forward-looking statements. Future financial condition and results of operations, as well as any forward-looking statements, are subject to inherent risks and uncertainties, many of which we cannot predict with accuracy and some of which we might not anticipate, including, without limitation, product recalls and product liability claims; infringement of our technology or assertion that our technology infringes the rights of other parties; termination of supplier relationships, or failure of suppliers to perform; inability to successfully manage growth; delays in obtaining regulatory approvals or the failure to maintain such approvals; concentration of our revenue among a few customers, products or procedures; development of new products and technology that could render our products obsolete; market acceptance of new products; introduction of products in a timely fashion; price and product competition, availability of labor and materials, cost increases, and fluctuations in and obsolescence of inventory; volatility of the market price of our common stock; foreign currency fluctuations; changes in key personnel; work stoppage or transportation risks; integration of business acquisitions; and other factors referred to in our reports filed with the SEC, including our Annual Report on Form 10-K for the year ended December 31, 2016. All subsequent forward-looking statements attributable to us or persons acting on our behalf are expressly qualified in their entirety by these cautionary statements. Additional factors that may have a direct bearing on our operating results are discussed in Part I, Item 1A “Risk Factors” in our Annual Report on Form 10-K for the year ended December 31, 2016.</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ClearOne is a global company that designs, develops and sells conferencing, collaboration, and network streaming &amp; signage solutions for voice and visual communications. The performance and simplicity of our advanced, comprehensive solutions offer unprecedented levels of functionality, reliability and scalability.</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derive most of our revenue from professional audio conferencing products by promoting our products in the professional audio visual channel. We have extended our total addressable market from installed audio conferencing market to adjacent complementary markets – microphones, video collaboration and networked audio and video streaming. We have achieved this through strategic technological acquisitions as well as by internal product development.</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March 31, 2017, our efforts primarily centered our energies in shipping remaining models in our newly introduced next-gen DSP conferencing platform and Beamforming Microphone Array.</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Overall revenue declined in the three months ended March 31, 2017 when compared to the three months ended March 31, 2016 despite a significant increase in revenue from video products. The declines in revenue from professional audio products and unified communications end points more than offset the increase in revenue from video products. Our gross profit margin decreased for the three months ended March 31, 2017 to 57% compared to 65% for the three months ended March 31, 2016 primarily due to the decrease in the mix of higher margin products and the price reductions associated with transition from CONVERGE Pro 1 to CONVERGE Pro 2.</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Industry conditions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operate in a very dynamic and highly competitive industry which is dominated on the one hand by a few players with respect to certain products like traditional video conferencing appliances while on the other influenced heavily by a fragmented reseller market consisting of numerous regional and local players. The industry is also characterized by the influx of venture capitalist funded start-ups and private companies keen to win market share even at the expense of mounting financial losses.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Economic conditions, challenges and risks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global economics conditions continued to be challenging in the three months ended March 31, 2017, especially for conditions relating to capital expenditure spending, due to a number of reasons. The decline in oil prices and commodity prices continued to affect certain countries and the operating budgets of large companies in the oil and gas industry.</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audio-visual products market is characterized by intense competition and rapidly evolving technology. Our competitors vary within each product category. Our professional audio communication products, which contribute the most to our revenue, continues to be ahead of the competition despite the reduction in revenues through our transition from the CONVERGE Pro 1 platform to the next generation CONVERGE Pro 2 platform. Our strength in this space is largely due to our industry leading conferencing technologies and the full suite of professional microphone products, especially Beamforming Microphone Arrays. Despite our strong leadership position in the professional audio communications products market, we face challenges to revenue growth due to the limited size of the market and pricing pressures from new competitors attracted to the commercial market.</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from our video products in the overall revenue mix has been improving on the back of a strong growth for our video products in 2016 that has continued in the first quarter of 2017. We face intense competition in this market from well-established market leaders as well as emerging players rich with marketing funds. We expect our strategy of combining Spontania, our cloud-based video conferencing product, Collaborate, our appliance based media collaboration product and our high-end audio conferencing technology to provide high growth in revenue in the near future. We believe we are also well positioned to capitalize on the continuing migration away from the traditional hardware based video conferencing systems to software based video conferencing applications.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derive a major portion of our revenue (about 35%) from international operations and expect this trend to continue in the future. Most of our revenue from outside the U.S. are billed in US Dollars and is not exposed to any significant currency risk. However, we are exposed to foreign exchange risk if the U.S. dollar continues to be strong against other currencies as it will make U.S. Dollar denominated prices of our products less competitive.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quarter-end, we evaluate the inventory in the distribution channel through information provided by certain of our distributors. The level of inventory in the channel fluctuates up or down each quarter based upon our distributors’ individual operations. Accordingly, each quarter-end revenue deferral is calculated and recorded based upon the underlying channel inventory at quarter-end. Deferred revenue for the three months ended March 31, 2017 remained unchanged at $3.9 million compared to December 31,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 detailed discussion of our results of operations follows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the three months ended March 31, 2017 and 2016</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following table sets forth certain items from our unaudited condensed consolidated statements of operations (dollars in thousands) for the three months ended March 31, 2017 (“2017-Q1”) and 2016 (“2016-Q1”), respectively, together with the percentage of total revenue which each such item represents:</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3240" w:type="dxa"/>
            <w:vAlign w:val="bottom"/>
            <w:gridSpan w:val="6"/>
            <w:vMerge w:val="restart"/>
          </w:tcPr>
          <w:p>
            <w:pPr>
              <w:jc w:val="right"/>
              <w:ind w:right="540"/>
              <w:spacing w:after="0"/>
              <w:rPr>
                <w:sz w:val="20"/>
                <w:szCs w:val="20"/>
                <w:color w:val="auto"/>
              </w:rPr>
            </w:pPr>
            <w:r>
              <w:rPr>
                <w:rFonts w:ascii="Arial" w:cs="Arial" w:eastAsia="Arial" w:hAnsi="Arial"/>
                <w:sz w:val="18"/>
                <w:szCs w:val="18"/>
                <w:b w:val="1"/>
                <w:bCs w:val="1"/>
                <w:color w:val="auto"/>
              </w:rPr>
              <w:t>Three months ended March 31,</w:t>
            </w:r>
          </w:p>
        </w:tc>
        <w:tc>
          <w:tcPr>
            <w:tcW w:w="15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Percentage</w:t>
            </w:r>
          </w:p>
        </w:tc>
        <w:tc>
          <w:tcPr>
            <w:tcW w:w="0" w:type="dxa"/>
            <w:vAlign w:val="bottom"/>
          </w:tcPr>
          <w:p>
            <w:pPr>
              <w:spacing w:after="0"/>
              <w:rPr>
                <w:sz w:val="1"/>
                <w:szCs w:val="1"/>
                <w:color w:val="auto"/>
              </w:rPr>
            </w:pPr>
          </w:p>
        </w:tc>
      </w:tr>
      <w:tr>
        <w:trPr>
          <w:trHeight w:val="228"/>
        </w:trPr>
        <w:tc>
          <w:tcPr>
            <w:tcW w:w="4380" w:type="dxa"/>
            <w:vAlign w:val="bottom"/>
          </w:tcPr>
          <w:p>
            <w:pPr>
              <w:spacing w:after="0"/>
              <w:rPr>
                <w:sz w:val="19"/>
                <w:szCs w:val="19"/>
                <w:color w:val="auto"/>
              </w:rPr>
            </w:pPr>
          </w:p>
        </w:tc>
        <w:tc>
          <w:tcPr>
            <w:tcW w:w="3240" w:type="dxa"/>
            <w:vAlign w:val="bottom"/>
            <w:gridSpan w:val="6"/>
            <w:vMerge w:val="continue"/>
          </w:tcPr>
          <w:p>
            <w:pPr>
              <w:spacing w:after="0"/>
              <w:rPr>
                <w:sz w:val="19"/>
                <w:szCs w:val="19"/>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Change 2016</w:t>
            </w:r>
          </w:p>
        </w:tc>
        <w:tc>
          <w:tcPr>
            <w:tcW w:w="0" w:type="dxa"/>
            <w:vAlign w:val="bottom"/>
          </w:tcPr>
          <w:p>
            <w:pPr>
              <w:spacing w:after="0"/>
              <w:rPr>
                <w:sz w:val="1"/>
                <w:szCs w:val="1"/>
                <w:color w:val="auto"/>
              </w:rPr>
            </w:pPr>
          </w:p>
        </w:tc>
      </w:tr>
      <w:tr>
        <w:trPr>
          <w:trHeight w:val="237"/>
        </w:trPr>
        <w:tc>
          <w:tcPr>
            <w:tcW w:w="4380" w:type="dxa"/>
            <w:vAlign w:val="bottom"/>
            <w:tcBorders>
              <w:bottom w:val="single" w:sz="8" w:color="CCEEFF"/>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48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6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vs 2015</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11,678</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13,033</w:t>
            </w: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Cost of goods sold</w:t>
            </w:r>
          </w:p>
        </w:tc>
        <w:tc>
          <w:tcPr>
            <w:tcW w:w="8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5,000</w:t>
            </w:r>
          </w:p>
        </w:tc>
        <w:tc>
          <w:tcPr>
            <w:tcW w:w="3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4,568</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6,678</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8,465</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Sales and marketing</w:t>
            </w:r>
          </w:p>
        </w:tc>
        <w:tc>
          <w:tcPr>
            <w:tcW w:w="8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2,741</w:t>
            </w:r>
          </w:p>
        </w:tc>
        <w:tc>
          <w:tcPr>
            <w:tcW w:w="3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2,625</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Research and product development</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2,357</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2,270</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2,106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1,598</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7,204</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6,493</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Operating income (loss)</w:t>
            </w:r>
          </w:p>
        </w:tc>
        <w:tc>
          <w:tcPr>
            <w:tcW w:w="8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(526)</w:t>
            </w:r>
          </w:p>
        </w:tc>
        <w:tc>
          <w:tcPr>
            <w:tcW w:w="3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1,972</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(424)</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1,983</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8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615</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(468)</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1,368</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revenue decreased by $1.3 million, or 10%, to $11.7 million in 2017-Q1 compared to $13.0 million in 2016-Q1. The 60% increase in revenue from video products was more than offset by a 15% decline in professional audio conferencing revenue and a 23% decline in revenue from unified communication (UC) end points. Premium audio conferencing products declined the most while media collaboration products increased the most. The decline in revenue from professional audio conferencing products was mostly due to overall weakness in the economy, decline in orders due to transition from CONVERGE Pro 1 to CONVERGE Pro 2 and reductions in CONVERGE Pro 1 pricing in the last quarter of 2016. The share of professional audio communications products (which includes microphone products but not premium products) in our product mix declined from 79% in 2016-Q1 to 75% in 2017-Q1. The increase in revenue from video products was due to the success of Unite camera, favorable reception to the new Collaborate SKUs containing integrated audio solutions and increasing acceptance of View Pro in major projects. Share of UC end points declined from 13% in 2016-Q1 to 11% in 2017-Q1.</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2017-Q1, revenue declined across all major markets except parts of Asia. The decline was pronounced in Australia, Canada and all regions of Europe. Asia Pacific including Middle East increased by 36%; Europe and Africa declined by 29% and Americas declined by about 17%. The revenue decline was primarily caused by the delay in the transition to our next generation audio platform, CONVERGE Pro 2 and Beamforming Microphone Array 2 combined with price reduction offered to stimulate customer interest and sales in the current generation of products. Revenue was also negatively affected by less than robust infrastructure and capital equipment spending. We believe we will return to a growth path as key products forming part of the new audio platform have already started shipping in early 2017 and the overall investor confidence and consumer confidence has started improving in the US. However, we anticipate that the growth will depend on the speed at which our customers transition to the new platform and the economic recovery in certain key markets like Europe, Canada and Australia which remains weak.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Goods Sold and Gross Profit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goods sold (“COGS”) includes expenses associated with finished goods purchased from outsourced manufacturers, the manufacture of our products (including material and direct labor), our manufacturing and operations organization, property and equipment depreciation, warranty expense, freight expense, royalty payments, and the allocation of overhead expenses.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gross profit for the three months ended March 31, 2017 was approximately $6.7 million or 57% compared to approximately $8.5 million or 65% in 2016. Gross margin declined due to the following reasons: (1) price reductions made to CONVERGE Pro 1 products to encourage CONVERGE Pro 1 sales while customers were awaiting CONVERGE Pro 2 products, and (2) decline in higher margin professional audio conferencing products in the mix.</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profitability in the near-term continues to depend significantly on our revenues from professional audio conferencing products. We hold long-term inventory and if we are unable to sell our long-term inventory, our profitability might be affected by inventory write-offs and price mark-downs.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income, or income from operations, is the surplus after operating expenses are deducted from gross profits. Operating expenses include sales and marketing (“S&amp;M”) expenses, research and product development (“R&amp;D”) expenses and general and administrative (“G&amp;A”) expenses. Total operating expenses were $7.2 million for the three months ended March 31, 2017 compared to $6.5 million for the three months ended March 31, 2016. The following contains a more detailed discussion of expenses related to sales and marketing, research and product development, general and administrative, and other items.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u w:val="single" w:color="auto"/>
          <w:color w:val="auto"/>
        </w:rPr>
        <w:t>Sales and Marketing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S&amp;M expenses include sales, customer service, and marketing expenses such as employee-related costs, allocations of overhead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trade shows, and other advertising and selling expenses.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S&amp;M expenses for the three months ended March 31, 2017 increased by 4% from $2.6 million for the three months ended March 31, 2016 to $2.7 million in 2017 mainly due to an increase in employee-related salaries, benefits and commissions partially offset by decrease in commissions paid to independent agents.</w:t>
      </w:r>
    </w:p>
    <w:p>
      <w:pPr>
        <w:spacing w:after="0" w:line="18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u w:val="single" w:color="auto"/>
          <w:color w:val="auto"/>
        </w:rPr>
        <w:t>Research and Product Development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R&amp;D expenses include research and development, product line management, engineering services, and test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application expenses, including employee-related costs, outside services, expensed materials, depreciation, and an allocation of overhead expenses.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R&amp;D expenses of approximately $2.4 million for the three months ended March 31, 2017 slightly increased, when compared to R&amp;D expenses of $2.3 million for the three months ended March 31, 2016. The increase was primarily due to an increase in employee-related costs.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u w:val="single" w:color="auto"/>
          <w:color w:val="auto"/>
        </w:rPr>
        <w:t>General and Administrative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G&amp;A expenses include employee-related costs, professional service fees, allocations of overhead expenses, litigation costs,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corporate administrative costs, including costs related to finance and human resources.</w:t>
      </w:r>
    </w:p>
    <w:p>
      <w:pPr>
        <w:spacing w:after="0" w:line="1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G&amp;A expenses were approximately $2.1 million for the three months ended March 31, 2017 compared with approximately $1.6 million in 2016. The increase of about 32% in G&amp;A expenses was primarily due to increases in legal expenses and consulting fees partially offset by a decline in executive bonus.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includes interest income, interest expense, and foreign currency changes.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the three months ended March 31, 2017, we accrued income taxes at the forecasted effective tax rate of 30.9% as compared to the forecasted effective tax rate of 35.2% used during the three months ended March 31, 2016. The 4.3% decrease in the forecasted effective tax rate was primarily due to U.S. and state research and development tax credits, which had a greater impact on the effective rate in 2016 due to more forecasted income when compared to 2017. In addition, a discrete tax expense of $6 thousand is primarily attributable to interest and penalties on unrecognized tax benefits.</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March 31, 2017, our cash and cash equivalents were approximately $8.6 million, a decrease of approximately $3.5 million compared to cash and cash equivalents of approximately $12.1 million as of December 31, 2016. Our working capital was $29.9 million and $30.8 million as of March 31, 2017 and December 31, 2016, respectively.</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operating activities was approximately $1.4 million for the three months ended March 31, 2017, an increase of cash used of approximately $3.5 million from $2.1 million of cash provided by operating activities in the three months ended March 31, 2016. The increase was primarily due to an increase in cash outflows due to change in operating assets and liabilities of $1.4 million partially offset by an increase in non-cash charges of $0.5 million and a reduction in net income of $1.8 million.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investing activities was $0.8 million for the three months ended March 31, 2017 compared to net cash flows provided by investing activities of $0.1 million during the three months ended March 31, 2016, an increase in cash used of $0.9 million. The increase was primarily due to an increase of $0.1 million in purchases of property and equipment and intangibles, partially offset by a reduction in net sales of marketable securities of approximately $0.8 million.</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Net cash used in financing activities was approximately $1.3 million during the three months ended March 31, 2017 compared to $1.7 million of cash used in financing activities during the three months ended March 31, 2016. Financing activities during the three months ended March 31, 2017 primarily consisted of cash outflows of $0.9 million towards stock repurchases and $0.4 million for dividend payments. Net cash used in financing activities was approximately $1.7 million during the three months ended March 31, 2016 primarily consisted of cash inflows of $0.3 million proceeds from stock based compensation plans and cash outflows of $1.8 million on repurchase of stock options, $0.5 million for dividend payments and $0.4 million towards stock repurchases.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future income from operations and effective management of working capital will provide the liquidity needed to meet our short-term and long-term operating requirements and finance our growth plans. We also believe that our strong financial position and sound business structure will enable us to raise additional capital if and when needed to meet our short and long-term financing needs. In addition to capital expenditures, we may use cash in the near future for selective infusions of technology, sales and marketing, infrastructure, and other investments to fuel our growth, as well as acquisitions that may strategically fit our business and are accretive to our performance. We also intend to use cash to pay quarterly cash dividends and repurchase stock under our repurchase program.</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March 31, 2017, we had open purchase orders related to our electronics manufacturing service providers of approximately $8.2 million, primarily related to inventory purchases.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2017, we had inventory totaling $15.9 million, of which non-current inventory accounted for $1.5 million. This compares to total inventories of $13.0 million and non-current inventory of $1.7 million as of December 31,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have no off-balance-sheet arrangements that have or are reasonably likely to have a current or future material effect on our financial condition, changes in financial conditions, revenues or expenses, results of operations, liquidity, capital expenditures or capital resources, results of operations or liquidity.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discussion and analysis of our results of operations and financial position are based upon our consolidated financial statements, which have been prepared in conformity with U.S. generally accepted accounting principles. We review the accounting policies used in reporting our financial results on a regular basis. The preparation of these financial statements requires us to make estimates and assumptions that affect the reported amounts of assets and liabilities and the disclosure of contingent assets and liabilities at the date of the financial statements and the reported amounts of revenue and expenses during the reporting period. We evaluate our assumptions and estimates on an ongoing basis and may employ outside experts to assist in our evaluations. We believe that the estimates we use are reasonable; however, actual results could differ from those estimates.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significant accounting policies are described in our Annual Report on Form 10-K for the year ended December 31, 2016. We believe the following critical accounting policies identify our most critical accounting policies, which are the policies that are both important to the representation of our financial condition and results and require our most difficult, subjective or complex judgments, often as a result of the need to make estimates about the effect of matters that are inherently uncertain.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Associated Allowances for Revenue Adjustments and Doubtful Accounts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Included in continuing operations is product revenue, primarily from product sales to distributors, dealers, and end-users. Product revenue is recognized when</w:t>
      </w:r>
    </w:p>
    <w:p>
      <w:pPr>
        <w:spacing w:after="0" w:line="46" w:lineRule="exact"/>
        <w:rPr>
          <w:sz w:val="20"/>
          <w:szCs w:val="20"/>
          <w:color w:val="auto"/>
        </w:rPr>
      </w:pPr>
    </w:p>
    <w:p>
      <w:pPr>
        <w:ind w:right="20" w:firstLine="8"/>
        <w:spacing w:after="0" w:line="261" w:lineRule="auto"/>
        <w:tabs>
          <w:tab w:leader="none" w:pos="21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products are shipped and any right of return expires, (ii) persuasive evidence of an arrangement exists, (iii) the price is fixed and determinable, and (iv) collection is reasonably assured.</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provide a right of return on product sales to certain distributors under a product rotation program. Under this seldom-used program, once a quarter, a distributor is allowed to return products purchased during the prior quarter for a total value generally not exceeding 15% of the distributor’s net purchases during the preceding quarter. The distributor is, however, required to place a new purchase order for an amount not less than the value of products returned under the stock rotation program. When products are returned, the associated revenue, cost of goods sold, inventory and accounts receivable originally recorded are reversed. When the new order is placed, the revenue, associated cost of goods sold, inventory and accounts receivable are recorded and the product revenue is subject to the deferral analysis described below. In a small number of cases, the distributors are also permitted to return the products for other business reasons.</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Revenue from product sales to distributors is not recognized until the return privilege has expired or until it can be determined with reasonable certainty that the return privilege has expired, which approximates when the product is sold-through to customers of our distributors (dealers, system integrators, value-added resellers, and end-users), rather than when the product is initially shipped to a distributor. At each quarter-end, we evaluate the inventory in the distribution channel through information provided by our distributors. The level of inventory in the channel will fluctuate up or down each quarter based upon our distributors’ individual operations. Accordingly, each quarter-end deferral of revenue and associated cost of goods sold are calculated and recorded based upon the actual channel inventory reported at quarter-end. Further, with respect to distributors and other channel partners not reporting the channel inventory, the revenue and associated cost of goods sold are deferred until we receive payment for the product sales made to such distributors or channel partners.</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accuracy of the deferred revenue and costs depend to a large extent on the accuracy of the inventory reports provided by our distributors and other resellers and any material error in those reports would affect our revenue deferral. However, we believe that the controls we have in place, including periodic physical inventory verifications and analytical reviews, would help us identify and prevent any material errors in such reports.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amount of deferred cost of goods sold was included in distributor channel inventories. The following table details the amount of deferred revenue, cost of goods sold, and gross profit (in thousands) as of March 31, 2017 and December 31, 2016:</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March 31, 2017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December 31, 2016</w:t>
            </w:r>
          </w:p>
        </w:tc>
      </w:tr>
      <w:tr>
        <w:trPr>
          <w:trHeight w:val="216"/>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3,882</w:t>
            </w:r>
          </w:p>
        </w:tc>
        <w:tc>
          <w:tcPr>
            <w:tcW w:w="60" w:type="dxa"/>
            <w:vAlign w:val="bottom"/>
            <w:tcBorders>
              <w:top w:val="single" w:sz="8" w:color="CCEEFF"/>
            </w:tcBorders>
            <w:shd w:val="clear" w:color="auto" w:fill="CCEEFF"/>
          </w:tcPr>
          <w:p>
            <w:pPr>
              <w:spacing w:after="0"/>
              <w:rPr>
                <w:sz w:val="18"/>
                <w:szCs w:val="18"/>
                <w:color w:val="auto"/>
              </w:rPr>
            </w:pPr>
          </w:p>
        </w:tc>
      </w:tr>
      <w:tr>
        <w:trPr>
          <w:trHeight w:val="237"/>
        </w:trPr>
        <w:tc>
          <w:tcPr>
            <w:tcW w:w="4000" w:type="dxa"/>
            <w:vAlign w:val="bottom"/>
          </w:tcPr>
          <w:p>
            <w:pPr>
              <w:spacing w:after="0"/>
              <w:rPr>
                <w:sz w:val="20"/>
                <w:szCs w:val="20"/>
                <w:color w:val="auto"/>
              </w:rPr>
            </w:pPr>
            <w:r>
              <w:rPr>
                <w:rFonts w:ascii="Arial" w:cs="Arial" w:eastAsia="Arial" w:hAnsi="Arial"/>
                <w:sz w:val="18"/>
                <w:szCs w:val="18"/>
                <w:color w:val="auto"/>
              </w:rPr>
              <w:t>Deferred cost of goods sold</w:t>
            </w:r>
          </w:p>
        </w:tc>
        <w:tc>
          <w:tcPr>
            <w:tcW w:w="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1,463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1,530</w:t>
            </w:r>
          </w:p>
        </w:tc>
      </w:tr>
      <w:tr>
        <w:trPr>
          <w:trHeight w:val="230"/>
        </w:trPr>
        <w:tc>
          <w:tcPr>
            <w:tcW w:w="4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gross profit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offer rebates and market development funds to certain of our distributors, dealers/resellers, and end-users based upon volume of product purchased by them. We record rebates as a reduction of revenue in accordance with GAAP.</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offer credit terms on the sale of our products to a majority of our channel partners and perform ongoing credit evaluations of our customers’ financial condition. We maintain an allowance for doubtful accounts for estimated losses resulting from the inability or unwillingness of our channel partners to make required payments based upon our historical collection experience and expected collectability of all accounts receivable. Our actual bad debts in future periods may differ from our current estimates and the differences may be material, which may have an adverse impact on our future accounts receivable and cash position.</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Goodwill and Intangible Assets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Goodwill is measured as the excess of the cost of acquisition over the sum of the amounts assigned to tangible and identifiable intangible assets acquired less liabilities assumed. We perform impairment tests of goodwill and intangible assets with indefinite useful lives on an annual basis in the fourth fiscal quarter, or sooner if a triggering event occurs suggesting possible impairment of the values of these assets. There were no impairments recorded in the three months ended March 31, 2017 or 2016 as no impairment indicators existed. However, due to uncertainty in the industrial, technological, and competitive environments in which we operate, we might be required to exit or dispose of the assets acquired through our acquisitions, which could result in an impairment of goodwill and intangible assets.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assess the impairment of long-lived assets, such as property and equipment and definite-lived intangibles subject to amortization, annually or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 Assets held for sale are reported at the lower of the carrying amount or fair value, less the estimated costs to sell.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subject to income taxes in both the United States and in certain foreign jurisdictions. We estimate our current tax position together with our future tax consequences attributable to temporary differences resulting from differing treatment of items, such as deferred revenue, depreciation, and other reserves for tax and accounting purposes. These temporary differences result in deferred tax assets and liabilities. We must then assess the likelihood that our deferred tax assets will be recovered from future taxable income, prior year carryback, or future reversals of existing taxable temporary differences. To the extent we believe that recovery is not more likely than not, we establish a valuation allowance against these deferred tax assets. Significant judgment is required in determining our provision for income taxes, our deferred tax assets and liabilities, and any valuation allowance recorded against our deferred tax assets.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the extent we establish a valuation allowance in a period, we must include and expense the allowance within the tax provision in the consolidated statement of operations. In accordance with ASC Topic 740, “Accounting for Income Taxes”, we analyzed our valuation allowance at December 31, 2016 and determined that based upon available evidence it is more likely than not that certain of our deferred tax assets related to foreign net operating loss carryforwards and foreign intangible assets will not be realized and, accordingly, we have recorded a valuation allowance against these deferred tax assets in the amount of $1.4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Lower-of-Cost or Market Adjustments and Reserves for Excess and Obsolete Inventory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account for our inventory on a first-in, first-out basis, and make appropriate adjustments on a quarterly basis to write down the value of inventory to the lower-of-cost or market. In addition to the price of the product purchased, the cost of inventory includes our internal manufacturing costs, including warehousing, material purchasing, quality and product planning expenses.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perform a quarterly analysis of obsolete and slow-moving inventory to determine if any inventory needs to be written down. In general, we write down our excess and obsolete inventory by an amount that is equal to the difference between the cost of the inventory and its estimated market value if market value is less than cost, based upon assumptions about future product life-cycles, product demand, shelf life of the product, inter-changeability of the product and market conditions. Those items that are found to have a supply in excess of our estimated current demand are considered to be slow-moving or obsolete and classified as long-term. An appropriate reserve is made to write down the value of that inventory to its expected realizable value.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These charges are recorded in cost of goods sold. The reserve against slow-moving or obsolete inventory is increased or reduced based on several factors which, among other things, require us to make an estimate of a product’s life-cycle, potential demand and our ability to sell these products at estimated price levels. While we make considerable efforts to calculate reasonable estimates of these variables, actual results may vary. If there were to be a sudden and significant decrease in demand for our products, or if there were a higher incidence of inventory obsolescence because of changing technology and customer requirements, we could be required to increase our inventory allowances and our gross profit could be adversely affected.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2004, the FASB issued guidelines now contained under FASB ASC Topic 718, “Compensation – Stock Compensation”. ASC Topic 718 establishes standards for the accounting for transactions in which an entity exchanges its equity instruments for goods or services. Primarily, ASC Topic 718 focuses on accounting for transactions in which an entity obtains employee services in share-based payment transactions. It also addresses transactions in which an entity incurs liabilities in exchange for goods or services that are based on the fair value of the entity’s equity instruments or that may be settled by the issuance of those equity instruments.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ASC Topic 718, we measure the cost of employee services received in exchange for an award of equity instruments based on the grant date fair value of the award (with limited exceptions). That cost will be recognized over the period during which an employee is required to provide services in exchange for the awards – the requisite service period (usually the vesting period). No compensation cost is recognized for equity instruments for which employees do not render the requisite service. Therefore, if an employee does not ultimately render the requisite service, the costs associated with the unvested options will not be recognized cumulatively.</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ASC Topic 718, we recognize compensation cost net of forfeitures as they occur and recognize the associated compensation cost for those awards expected to vest on a straight-line basis over the requisite service period. We use judgment in determining the fair value of the share-based payments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the expected dividends of the awards, and an estimate of the amount of awards that are expected to be forfeited. If assumptions change in the application of ASC Topic 718 and its fair value recognition provisions in future periods, the stock-based compensation cost ultimately recorded under the guidelines of ASC Topic 718 may differ significantly from what was recorded in the current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2014, the FASB released Accounting Standards Update (ASU) No. 2014-09, Revenue from Contracts with Customers (Topic 606), requiring an entity to recognize the amount of revenue to which it expects to be entitled for the transfer of promised goods or services to customers. The updated standard will replace most existing revenue recognition guidance in U.S. GAAP when it becomes effective and permits the use of either a full retrospective or retrospective with cumulative effect transition method. The updated standard becomes effective for the Company on January 1, 2018. Early adoption is permitted. The Company has not yet selected a transition method and is currently evaluating the effect that the updated standard will have on the consolidated financial statements.</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February 2016, the FASB released Accounting Standards Update (ASU) No. 2016-02, Leases (Topic 842) to bring transparency to lessee balance sheets. The ASU will require organizations that lease assets (lessees) to recognize assets and liabilities on the balance sheet for the rights and obligations created by all leases with terms of more than 12 months. The standard will apply to both types of leases-capital (or finance) leases and operating leases. Previously, GAAP has required only capital leases to be recognized on lessee balance sheets. The standard is effective for fiscal years beginning after December 15, 2018 and interim periods within fiscal years beginning after December 15, 2018. Early application will be permitted for all organizations. The Company has not yet selected a transition method and is currently evaluating the effect that the updated standard will have on the consolidated financial statements.</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March 2016, the FASB released Accounting Standards Update No. 2016-09, Compensation - Stock Compensation: Improvements to Employee Shared-Based Payment Accounting. The standard is intended to simplify several areas of accounting for share-based compensation arrangements, including the income tax impact, classification on the statement of cash flows and forfeitures. ASU 2016-09 was effective for the Company on January 1, 2017. As a result of the adoption of ASU 2016-09, excess tax benefits or deficiencies related to stock-based compensation are now reflected in the Consolidated Statements of Income as a component of the provision for income taxes, whereas they previously were recognized in additional paid-in capital. In addition, our Consolidated Statements of Cash Flows will now present, on a prospective basis, excess tax benefits as an operating activity. Finally, we have elected to account for forfeitures as they occur, rather than estimate expected forfeitures.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August 2016, the FASB released Accounting Standards Update (ASU) No. 2016-15, Classification of Certain Cash Receipts and Cash Payments, which addresses eight specific cash flow issues with the objective of reducing the existing diversity in practice. ASU 2016-15 is effective for the Company beginning January 1, 2018 and we are currently evaluating the impact that ASU 2016-15 will have on our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An evaluation of the effectiveness of our disclosure controls and procedures (as defined in Rules 13a-15(e) and 15d-15(e) of the Exchange Act) as of March 31, 2017 was performed under the supervision and with the participation of our management, including our Chief Executive Officer and our Principal Financial and Accounting Officer. Based on this evaluation, our management, including our Chief Executive Officer and Principal Financial and Accounting Officer, concluded that our disclosure controls and procedures are effective as of March 31, 2017 to ensure that information required to be disclosed by us in reports we file or submit under the Exchange Act is recorded, processed, summarized and reported as specified in the SEC’s rules and forms.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quarter ended March 31, 2017 that materially affected, or that we believe is reasonably likely to materially affect, our internal control over financial reporting.</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April 25, 2017, the Company was awarded a new patent, U.S. Patent No. 9,635,186 (the “’186 Patent”), which relates to a system and method involving the combination of echo cancellation and beamforming microphone arrays. Also on April 25, 2017, the Company filed a lawsuit in the U.S. Federal District Court in the District of Utah against three parties—Shure, Inc. (“Shure”), Biamp Systems Corporation, and QSC Audio Products, LLC (collectively, “Defendants”), alleging that the Defendants were jointly and indirectly infringing the newly issued ‘186 Patent (the “Infringement Action”). On that same day, Shure filed a separate action in the U.S. Federal District Court in the Northern District of Illinois (the “Illinois Action”) requesting a declaratory judgment as to the invalidity or non-infringement with respect to the ’186 Patent. The Illinois Action also seeks the same declaratory judgment with respect to another Company patent, United States Patent No. 9,264,553 (the “’553 Patent”), and which has not been asserted by the Company against any defendant and has been submitted to the USPTO for reissue. The Company intends to vigorously enforce and defend its intellectual property rights in the Infringement Action and the Illinois Action.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material changes to the risk factors included in our Annual Report on Form 10-K for the fiscal year ended December 31, 2016.</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jc w:val="both"/>
        <w:ind w:firstLine="8"/>
        <w:spacing w:after="0" w:line="297" w:lineRule="auto"/>
        <w:tabs>
          <w:tab w:leader="none" w:pos="254"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May 2012, our Board of Directors authorized a stock repurchase program authorizing the Company to repurchase up to $2 million of our outstanding common stock. On July 30, 2012, the Board of Directors increased the repurchase amount to $3 million from the original $2 million. On February 20, 2013, the Board of Directors again increased the repurchase amount to $10 million from $3 million. On December 2, 2014, ClearOne, Inc. issued a press release announcing the declaration of future cash dividends by the Company’s Board of Directors and reported the discontinuance of this stock repurchase program. At the time of the discontinuance of this stock repurchase program, the Company had repurchased approximately $5.4 million of the Company’s stock.</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March 9, 2016, the Board of Directors of the Company authorized the repurchase of up to $10 million of the Company’s outstanding shares of common stock under a new stock repurchase program. In connection with the repurchase authorization, the Company was authorized to complete the repurchase through open market transactions or through an accelerated share repurchase program, in each case to be executed at management’s discretion based on business and market conditions, stock price, trading restrictions, acquisition activity and other factors. The repurchase program may be suspended or discontinued at any time without prior notice. The transactions effectuated to date occurred in open market purchases.</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March 1, 2017, the Board of Directors of the Company renewed and extended the repurchase program for up to an additional $10 million of common stock over the next twelve months. In connection with the repurchase extension authorization, the Company was authorized to complete the repurchase through open market transactions or through an accelerated share repurchase program, in each case to be executed at management’s discretion based on business and market conditions, stock price, trading restrictions, acquisition activity and other factors. The repurchase program may be suspended or discontinued at any time without prior notice. The transactions effectuated to date occurred in open market purchases.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2017 we acquired the following shares of common stock under the stock repurchase program:</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(d)</w:t>
            </w:r>
          </w:p>
        </w:tc>
      </w:tr>
      <w:tr>
        <w:trPr>
          <w:trHeight w:val="216"/>
        </w:trPr>
        <w:tc>
          <w:tcPr>
            <w:tcW w:w="2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(c)</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Approximate Dollar</w:t>
            </w:r>
          </w:p>
        </w:tc>
      </w:tr>
      <w:tr>
        <w:trPr>
          <w:trHeight w:val="216"/>
        </w:trPr>
        <w:tc>
          <w:tcPr>
            <w:tcW w:w="2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Total Number of</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Value of Shares that</w:t>
            </w:r>
          </w:p>
        </w:tc>
      </w:tr>
      <w:tr>
        <w:trPr>
          <w:trHeight w:val="216"/>
        </w:trPr>
        <w:tc>
          <w:tcPr>
            <w:tcW w:w="2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Shares Purchased</w:t>
            </w:r>
          </w:p>
        </w:tc>
        <w:tc>
          <w:tcPr>
            <w:tcW w:w="160" w:type="dxa"/>
            <w:vAlign w:val="bottom"/>
          </w:tcPr>
          <w:p>
            <w:pPr>
              <w:spacing w:after="0"/>
              <w:rPr>
                <w:sz w:val="18"/>
                <w:szCs w:val="18"/>
                <w:color w:val="auto"/>
              </w:rPr>
            </w:pPr>
          </w:p>
        </w:tc>
        <w:tc>
          <w:tcPr>
            <w:tcW w:w="19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May Yet Be Purchased</w:t>
            </w:r>
          </w:p>
        </w:tc>
      </w:tr>
      <w:tr>
        <w:trPr>
          <w:trHeight w:val="216"/>
        </w:trPr>
        <w:tc>
          <w:tcPr>
            <w:tcW w:w="2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(a)</w:t>
            </w:r>
          </w:p>
        </w:tc>
        <w:tc>
          <w:tcPr>
            <w:tcW w:w="240" w:type="dxa"/>
            <w:vAlign w:val="bottom"/>
          </w:tcPr>
          <w:p>
            <w:pPr>
              <w:spacing w:after="0"/>
              <w:rPr>
                <w:sz w:val="18"/>
                <w:szCs w:val="18"/>
                <w:color w:val="auto"/>
              </w:rPr>
            </w:pPr>
          </w:p>
        </w:tc>
        <w:tc>
          <w:tcPr>
            <w:tcW w:w="204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95"/>
              </w:rPr>
              <w:t>(b)</w:t>
            </w:r>
          </w:p>
        </w:tc>
        <w:tc>
          <w:tcPr>
            <w:tcW w:w="19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as Part of Publicly</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Under the Plans or</w:t>
            </w:r>
          </w:p>
        </w:tc>
      </w:tr>
      <w:tr>
        <w:trPr>
          <w:trHeight w:val="216"/>
        </w:trPr>
        <w:tc>
          <w:tcPr>
            <w:tcW w:w="2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Total Number of Shares</w:t>
            </w:r>
          </w:p>
        </w:tc>
        <w:tc>
          <w:tcPr>
            <w:tcW w:w="240" w:type="dxa"/>
            <w:vAlign w:val="bottom"/>
          </w:tcPr>
          <w:p>
            <w:pPr>
              <w:spacing w:after="0"/>
              <w:rPr>
                <w:sz w:val="18"/>
                <w:szCs w:val="18"/>
                <w:color w:val="auto"/>
              </w:rPr>
            </w:pPr>
          </w:p>
        </w:tc>
        <w:tc>
          <w:tcPr>
            <w:tcW w:w="204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8"/>
              </w:rPr>
              <w:t>Average Price</w:t>
            </w:r>
          </w:p>
        </w:tc>
        <w:tc>
          <w:tcPr>
            <w:tcW w:w="19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Announced Plans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Programs (in $</w:t>
            </w:r>
          </w:p>
        </w:tc>
      </w:tr>
      <w:tr>
        <w:trPr>
          <w:trHeight w:val="241"/>
        </w:trPr>
        <w:tc>
          <w:tcPr>
            <w:tcW w:w="276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2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Purchased</w:t>
            </w:r>
          </w:p>
        </w:tc>
        <w:tc>
          <w:tcPr>
            <w:tcW w:w="240" w:type="dxa"/>
            <w:vAlign w:val="bottom"/>
          </w:tcPr>
          <w:p>
            <w:pPr>
              <w:spacing w:after="0"/>
              <w:rPr>
                <w:sz w:val="20"/>
                <w:szCs w:val="20"/>
                <w:color w:val="auto"/>
              </w:rPr>
            </w:pPr>
          </w:p>
        </w:tc>
        <w:tc>
          <w:tcPr>
            <w:tcW w:w="204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0"/>
              </w:rPr>
              <w:t>Paid per Share</w:t>
            </w:r>
          </w:p>
        </w:tc>
        <w:tc>
          <w:tcPr>
            <w:tcW w:w="19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or Programs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millions)</w:t>
            </w:r>
          </w:p>
        </w:tc>
      </w:tr>
      <w:tr>
        <w:trPr>
          <w:trHeight w:val="216"/>
        </w:trPr>
        <w:tc>
          <w:tcPr>
            <w:tcW w:w="2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2017</w:t>
            </w:r>
          </w:p>
        </w:tc>
        <w:tc>
          <w:tcPr>
            <w:tcW w:w="34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35,794</w:t>
            </w: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3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35,794</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February 2017</w:t>
            </w:r>
          </w:p>
        </w:tc>
        <w:tc>
          <w:tcPr>
            <w:tcW w:w="2320" w:type="dxa"/>
            <w:vAlign w:val="bottom"/>
            <w:gridSpan w:val="2"/>
          </w:tcPr>
          <w:p>
            <w:pPr>
              <w:jc w:val="right"/>
              <w:ind w:right="360"/>
              <w:spacing w:after="0"/>
              <w:rPr>
                <w:sz w:val="20"/>
                <w:szCs w:val="20"/>
                <w:color w:val="auto"/>
              </w:rPr>
            </w:pPr>
            <w:r>
              <w:rPr>
                <w:rFonts w:ascii="Arial" w:cs="Arial" w:eastAsia="Arial" w:hAnsi="Arial"/>
                <w:sz w:val="18"/>
                <w:szCs w:val="18"/>
                <w:color w:val="auto"/>
              </w:rPr>
              <w:t>22,012</w:t>
            </w:r>
          </w:p>
        </w:tc>
        <w:tc>
          <w:tcPr>
            <w:tcW w:w="240" w:type="dxa"/>
            <w:vAlign w:val="bottom"/>
          </w:tcPr>
          <w:p>
            <w:pPr>
              <w:spacing w:after="0"/>
              <w:rPr>
                <w:sz w:val="18"/>
                <w:szCs w:val="18"/>
                <w:color w:val="auto"/>
              </w:rPr>
            </w:pPr>
          </w:p>
        </w:tc>
        <w:tc>
          <w:tcPr>
            <w:tcW w:w="2040" w:type="dxa"/>
            <w:vAlign w:val="bottom"/>
            <w:gridSpan w:val="2"/>
          </w:tcPr>
          <w:p>
            <w:pPr>
              <w:jc w:val="right"/>
              <w:ind w:right="320"/>
              <w:spacing w:after="0"/>
              <w:rPr>
                <w:sz w:val="20"/>
                <w:szCs w:val="20"/>
                <w:color w:val="auto"/>
              </w:rPr>
            </w:pPr>
            <w:r>
              <w:rPr>
                <w:rFonts w:ascii="Arial" w:cs="Arial" w:eastAsia="Arial" w:hAnsi="Arial"/>
                <w:sz w:val="18"/>
                <w:szCs w:val="18"/>
                <w:color w:val="auto"/>
              </w:rPr>
              <w:t>11.57</w:t>
            </w:r>
          </w:p>
        </w:tc>
        <w:tc>
          <w:tcPr>
            <w:tcW w:w="1980" w:type="dxa"/>
            <w:vAlign w:val="bottom"/>
            <w:gridSpan w:val="2"/>
          </w:tcPr>
          <w:p>
            <w:pPr>
              <w:jc w:val="right"/>
              <w:ind w:right="160"/>
              <w:spacing w:after="0"/>
              <w:rPr>
                <w:sz w:val="20"/>
                <w:szCs w:val="20"/>
                <w:color w:val="auto"/>
              </w:rPr>
            </w:pPr>
            <w:r>
              <w:rPr>
                <w:rFonts w:ascii="Arial" w:cs="Arial" w:eastAsia="Arial" w:hAnsi="Arial"/>
                <w:sz w:val="18"/>
                <w:szCs w:val="18"/>
                <w:color w:val="auto"/>
              </w:rPr>
              <w:t>22,012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r>
      <w:tr>
        <w:trPr>
          <w:trHeight w:val="250"/>
        </w:trPr>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2017</w:t>
            </w:r>
          </w:p>
        </w:tc>
        <w:tc>
          <w:tcPr>
            <w:tcW w:w="2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21,150</w:t>
            </w:r>
          </w:p>
        </w:tc>
        <w:tc>
          <w:tcPr>
            <w:tcW w:w="240" w:type="dxa"/>
            <w:vAlign w:val="bottom"/>
            <w:shd w:val="clear" w:color="auto" w:fill="CCEEFF"/>
          </w:tcPr>
          <w:p>
            <w:pPr>
              <w:spacing w:after="0"/>
              <w:rPr>
                <w:sz w:val="21"/>
                <w:szCs w:val="21"/>
                <w:color w:val="auto"/>
              </w:rPr>
            </w:pPr>
          </w:p>
        </w:tc>
        <w:tc>
          <w:tcPr>
            <w:tcW w:w="2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11.03</w:t>
            </w: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21,150</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r>
      <w:tr>
        <w:trPr>
          <w:trHeight w:val="217"/>
        </w:trPr>
        <w:tc>
          <w:tcPr>
            <w:tcW w:w="276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Total</w:t>
            </w: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78,956</w:t>
            </w:r>
          </w:p>
        </w:tc>
        <w:tc>
          <w:tcPr>
            <w:tcW w:w="36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11.75</w:t>
            </w:r>
          </w:p>
        </w:tc>
        <w:tc>
          <w:tcPr>
            <w:tcW w:w="320" w:type="dxa"/>
            <w:vAlign w:val="bottom"/>
            <w:tcBorders>
              <w:top w:val="single" w:sz="8" w:color="CCEEFF"/>
            </w:tcBorders>
          </w:tcPr>
          <w:p>
            <w:pPr>
              <w:spacing w:after="0"/>
              <w:rPr>
                <w:sz w:val="18"/>
                <w:szCs w:val="18"/>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78,956</w:t>
            </w: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0"/>
        </w:trPr>
        <w:tc>
          <w:tcPr>
            <w:tcW w:w="2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24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color w:val="auto"/>
              </w:rPr>
              <w:t>24</w:t>
            </w:r>
          </w:p>
        </w:tc>
        <w:tc>
          <w:tcPr>
            <w:tcW w:w="3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320" w:type="dxa"/>
            <w:vAlign w:val="bottom"/>
            <w:gridSpan w:val="2"/>
          </w:tcPr>
          <w:p>
            <w:pPr>
              <w:spacing w:after="0"/>
              <w:rPr>
                <w:sz w:val="20"/>
                <w:szCs w:val="20"/>
                <w:color w:val="auto"/>
              </w:rPr>
            </w:pPr>
            <w:r>
              <w:rPr>
                <w:rFonts w:ascii="Arial" w:cs="Arial" w:eastAsia="Arial" w:hAnsi="Arial"/>
                <w:sz w:val="18"/>
                <w:szCs w:val="18"/>
                <w:b w:val="1"/>
                <w:bCs w:val="1"/>
                <w:color w:val="auto"/>
              </w:rPr>
              <w:t>Title of Document</w:t>
            </w:r>
          </w:p>
        </w:tc>
      </w:tr>
      <w:tr>
        <w:trPr>
          <w:trHeight w:val="432"/>
        </w:trPr>
        <w:tc>
          <w:tcPr>
            <w:tcW w:w="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8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0"/>
              </w:rPr>
              <w:t>Section 302</w:t>
            </w:r>
          </w:p>
        </w:tc>
        <w:tc>
          <w:tcPr>
            <w:tcW w:w="9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Certification of Chief Executive Officer (filed herewith)</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302</w:t>
            </w:r>
          </w:p>
        </w:tc>
        <w:tc>
          <w:tcPr>
            <w:tcW w:w="9440" w:type="dxa"/>
            <w:vAlign w:val="bottom"/>
          </w:tcPr>
          <w:p>
            <w:pPr>
              <w:ind w:left="20"/>
              <w:spacing w:after="0"/>
              <w:rPr>
                <w:sz w:val="20"/>
                <w:szCs w:val="20"/>
                <w:color w:val="auto"/>
              </w:rPr>
            </w:pPr>
            <w:r>
              <w:rPr>
                <w:rFonts w:ascii="Arial" w:cs="Arial" w:eastAsia="Arial" w:hAnsi="Arial"/>
                <w:sz w:val="18"/>
                <w:szCs w:val="18"/>
                <w:color w:val="auto"/>
              </w:rPr>
              <w:t>Certification of Principal Financial Officer (filed herewith)</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906</w:t>
            </w:r>
          </w:p>
        </w:tc>
        <w:tc>
          <w:tcPr>
            <w:tcW w:w="9440" w:type="dxa"/>
            <w:vAlign w:val="bottom"/>
          </w:tcPr>
          <w:p>
            <w:pPr>
              <w:ind w:left="20"/>
              <w:spacing w:after="0"/>
              <w:rPr>
                <w:sz w:val="20"/>
                <w:szCs w:val="20"/>
                <w:color w:val="auto"/>
              </w:rPr>
            </w:pPr>
            <w:r>
              <w:rPr>
                <w:rFonts w:ascii="Arial" w:cs="Arial" w:eastAsia="Arial" w:hAnsi="Arial"/>
                <w:sz w:val="18"/>
                <w:szCs w:val="18"/>
                <w:color w:val="auto"/>
              </w:rPr>
              <w:t>Certification of Chief Executive Officer (filed herewith)</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906</w:t>
            </w:r>
          </w:p>
        </w:tc>
        <w:tc>
          <w:tcPr>
            <w:tcW w:w="9440" w:type="dxa"/>
            <w:vAlign w:val="bottom"/>
          </w:tcPr>
          <w:p>
            <w:pPr>
              <w:ind w:left="20"/>
              <w:spacing w:after="0"/>
              <w:rPr>
                <w:sz w:val="20"/>
                <w:szCs w:val="20"/>
                <w:color w:val="auto"/>
              </w:rPr>
            </w:pPr>
            <w:r>
              <w:rPr>
                <w:rFonts w:ascii="Arial" w:cs="Arial" w:eastAsia="Arial" w:hAnsi="Arial"/>
                <w:sz w:val="18"/>
                <w:szCs w:val="18"/>
                <w:color w:val="auto"/>
              </w:rPr>
              <w:t>Certification of Principal Financial Officer (filed herewith)</w:t>
            </w:r>
          </w:p>
        </w:tc>
      </w:tr>
      <w:tr>
        <w:trPr>
          <w:trHeight w:val="432"/>
        </w:trPr>
        <w:tc>
          <w:tcPr>
            <w:tcW w:w="11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320" w:type="dxa"/>
            <w:vAlign w:val="bottom"/>
            <w:gridSpan w:val="2"/>
          </w:tcPr>
          <w:p>
            <w:pPr>
              <w:spacing w:after="0"/>
              <w:rPr>
                <w:sz w:val="20"/>
                <w:szCs w:val="20"/>
                <w:color w:val="auto"/>
              </w:rPr>
            </w:pPr>
            <w:r>
              <w:rPr>
                <w:rFonts w:ascii="Arial" w:cs="Arial" w:eastAsia="Arial" w:hAnsi="Arial"/>
                <w:sz w:val="18"/>
                <w:szCs w:val="18"/>
                <w:color w:val="auto"/>
              </w:rPr>
              <w:t>XBRL Instance Document (filed herewith)</w:t>
            </w:r>
          </w:p>
        </w:tc>
      </w:tr>
      <w:tr>
        <w:trPr>
          <w:trHeight w:val="432"/>
        </w:trPr>
        <w:tc>
          <w:tcPr>
            <w:tcW w:w="11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320" w:type="dxa"/>
            <w:vAlign w:val="bottom"/>
            <w:gridSpan w:val="2"/>
          </w:tcPr>
          <w:p>
            <w:pPr>
              <w:spacing w:after="0"/>
              <w:rPr>
                <w:sz w:val="20"/>
                <w:szCs w:val="20"/>
                <w:color w:val="auto"/>
              </w:rPr>
            </w:pPr>
            <w:r>
              <w:rPr>
                <w:rFonts w:ascii="Arial" w:cs="Arial" w:eastAsia="Arial" w:hAnsi="Arial"/>
                <w:sz w:val="18"/>
                <w:szCs w:val="18"/>
                <w:color w:val="auto"/>
              </w:rPr>
              <w:t>XBRL Taxonomy Extension Schema (filed herewith)</w:t>
            </w:r>
          </w:p>
        </w:tc>
      </w:tr>
      <w:tr>
        <w:trPr>
          <w:trHeight w:val="432"/>
        </w:trPr>
        <w:tc>
          <w:tcPr>
            <w:tcW w:w="11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32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(filed herewith)</w:t>
            </w:r>
          </w:p>
        </w:tc>
      </w:tr>
      <w:tr>
        <w:trPr>
          <w:trHeight w:val="432"/>
        </w:trPr>
        <w:tc>
          <w:tcPr>
            <w:tcW w:w="11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320" w:type="dxa"/>
            <w:vAlign w:val="bottom"/>
            <w:gridSpan w:val="2"/>
          </w:tcPr>
          <w:p>
            <w:pPr>
              <w:spacing w:after="0"/>
              <w:rPr>
                <w:sz w:val="20"/>
                <w:szCs w:val="20"/>
                <w:color w:val="auto"/>
              </w:rPr>
            </w:pPr>
            <w:r>
              <w:rPr>
                <w:rFonts w:ascii="Arial" w:cs="Arial" w:eastAsia="Arial" w:hAnsi="Arial"/>
                <w:sz w:val="18"/>
                <w:szCs w:val="18"/>
                <w:color w:val="auto"/>
              </w:rPr>
              <w:t>XBRL Taxonomy Extension Definitions Linkbase (filed herewith)</w:t>
            </w:r>
          </w:p>
        </w:tc>
      </w:tr>
      <w:tr>
        <w:trPr>
          <w:trHeight w:val="432"/>
        </w:trPr>
        <w:tc>
          <w:tcPr>
            <w:tcW w:w="11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32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(filed herewith)</w:t>
            </w:r>
          </w:p>
        </w:tc>
      </w:tr>
      <w:tr>
        <w:trPr>
          <w:trHeight w:val="432"/>
        </w:trPr>
        <w:tc>
          <w:tcPr>
            <w:tcW w:w="11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32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(filed herewith)</w:t>
            </w:r>
          </w:p>
        </w:tc>
      </w:tr>
      <w:tr>
        <w:trPr>
          <w:trHeight w:val="439"/>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ind w:left="3680"/>
              <w:spacing w:after="0"/>
              <w:rPr>
                <w:sz w:val="20"/>
                <w:szCs w:val="20"/>
                <w:color w:val="auto"/>
              </w:rPr>
            </w:pPr>
            <w:r>
              <w:rPr>
                <w:rFonts w:ascii="Arial" w:cs="Arial" w:eastAsia="Arial" w:hAnsi="Arial"/>
                <w:sz w:val="18"/>
                <w:szCs w:val="18"/>
                <w:color w:val="auto"/>
              </w:rPr>
              <w:t>25</w:t>
            </w:r>
          </w:p>
        </w:tc>
      </w:tr>
    </w:tbl>
    <w:p>
      <w:pPr>
        <w:sectPr>
          <w:pgSz w:w="11900" w:h="16838" w:orient="portrait"/>
          <w:cols w:equalWidth="0" w:num="1">
            <w:col w:w="11420"/>
          </w:cols>
          <w:pgMar w:left="240" w:top="233"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ClearOne, Inc.,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180" w:type="dxa"/>
            <w:vAlign w:val="bottom"/>
          </w:tcPr>
          <w:p>
            <w:pPr>
              <w:ind w:left="572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Zeynep Hakimoglu</w:t>
            </w:r>
          </w:p>
        </w:tc>
      </w:tr>
      <w:tr>
        <w:trPr>
          <w:trHeight w:val="202"/>
        </w:trPr>
        <w:tc>
          <w:tcPr>
            <w:tcW w:w="6180" w:type="dxa"/>
            <w:vAlign w:val="bottom"/>
          </w:tcPr>
          <w:p>
            <w:pPr>
              <w:spacing w:after="0"/>
              <w:rPr>
                <w:sz w:val="17"/>
                <w:szCs w:val="17"/>
                <w:color w:val="auto"/>
              </w:rPr>
            </w:pPr>
          </w:p>
        </w:tc>
        <w:tc>
          <w:tcPr>
            <w:tcW w:w="5240" w:type="dxa"/>
            <w:vAlign w:val="bottom"/>
          </w:tcPr>
          <w:p>
            <w:pPr>
              <w:spacing w:after="0" w:line="201" w:lineRule="exact"/>
              <w:rPr>
                <w:sz w:val="20"/>
                <w:szCs w:val="20"/>
                <w:color w:val="auto"/>
              </w:rPr>
            </w:pPr>
            <w:r>
              <w:rPr>
                <w:rFonts w:ascii="Arial" w:cs="Arial" w:eastAsia="Arial" w:hAnsi="Arial"/>
                <w:sz w:val="18"/>
                <w:szCs w:val="18"/>
                <w:color w:val="auto"/>
              </w:rPr>
              <w:t>Zeynep Hakimoglu</w:t>
            </w:r>
          </w:p>
        </w:tc>
      </w:tr>
      <w:tr>
        <w:trPr>
          <w:trHeight w:val="216"/>
        </w:trPr>
        <w:tc>
          <w:tcPr>
            <w:tcW w:w="61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President, Chief Executive Officer and Chairman of the Board</w:t>
            </w: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May 10, 2017</w:t>
            </w:r>
          </w:p>
        </w:tc>
        <w:tc>
          <w:tcPr>
            <w:tcW w:w="524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53"/>
        </w:trPr>
        <w:tc>
          <w:tcPr>
            <w:tcW w:w="6180" w:type="dxa"/>
            <w:vAlign w:val="bottom"/>
          </w:tcPr>
          <w:p>
            <w:pPr>
              <w:ind w:left="572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Narsi Narayanan</w:t>
            </w:r>
          </w:p>
        </w:tc>
      </w:tr>
      <w:tr>
        <w:trPr>
          <w:trHeight w:val="202"/>
        </w:trPr>
        <w:tc>
          <w:tcPr>
            <w:tcW w:w="6180" w:type="dxa"/>
            <w:vAlign w:val="bottom"/>
          </w:tcPr>
          <w:p>
            <w:pPr>
              <w:spacing w:after="0"/>
              <w:rPr>
                <w:sz w:val="17"/>
                <w:szCs w:val="17"/>
                <w:color w:val="auto"/>
              </w:rPr>
            </w:pPr>
          </w:p>
        </w:tc>
        <w:tc>
          <w:tcPr>
            <w:tcW w:w="5240" w:type="dxa"/>
            <w:vAlign w:val="bottom"/>
          </w:tcPr>
          <w:p>
            <w:pPr>
              <w:spacing w:after="0" w:line="201" w:lineRule="exact"/>
              <w:rPr>
                <w:sz w:val="20"/>
                <w:szCs w:val="20"/>
                <w:color w:val="auto"/>
              </w:rPr>
            </w:pPr>
            <w:r>
              <w:rPr>
                <w:rFonts w:ascii="Arial" w:cs="Arial" w:eastAsia="Arial" w:hAnsi="Arial"/>
                <w:sz w:val="18"/>
                <w:szCs w:val="18"/>
                <w:color w:val="auto"/>
              </w:rPr>
              <w:t>Narsi Narayanan</w:t>
            </w:r>
          </w:p>
        </w:tc>
      </w:tr>
      <w:tr>
        <w:trPr>
          <w:trHeight w:val="216"/>
        </w:trPr>
        <w:tc>
          <w:tcPr>
            <w:tcW w:w="61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Senior Vice President of Finance</w:t>
            </w: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May 10, 2017</w:t>
            </w:r>
          </w:p>
        </w:tc>
        <w:tc>
          <w:tcPr>
            <w:tcW w:w="5240" w:type="dxa"/>
            <w:vAlign w:val="bottom"/>
          </w:tcPr>
          <w:p>
            <w:pPr>
              <w:spacing w:after="0"/>
              <w:rPr>
                <w:sz w:val="20"/>
                <w:szCs w:val="20"/>
                <w:color w:val="auto"/>
              </w:rPr>
            </w:pPr>
            <w:r>
              <w:rPr>
                <w:rFonts w:ascii="Arial" w:cs="Arial" w:eastAsia="Arial" w:hAnsi="Arial"/>
                <w:sz w:val="18"/>
                <w:szCs w:val="18"/>
                <w:i w:val="1"/>
                <w:iCs w:val="1"/>
                <w:color w:val="auto"/>
              </w:rPr>
              <w:t>(Principal Accounting and Principal Financial Officer)</w:t>
            </w:r>
          </w:p>
        </w:tc>
      </w:tr>
      <w:tr>
        <w:trPr>
          <w:trHeight w:val="439"/>
        </w:trPr>
        <w:tc>
          <w:tcPr>
            <w:tcW w:w="6180" w:type="dxa"/>
            <w:vAlign w:val="bottom"/>
            <w:tcBorders>
              <w:bottom w:val="single" w:sz="8" w:color="auto"/>
            </w:tcBorders>
          </w:tcPr>
          <w:p>
            <w:pPr>
              <w:ind w:left="5660"/>
              <w:spacing w:after="0"/>
              <w:rPr>
                <w:sz w:val="20"/>
                <w:szCs w:val="20"/>
                <w:color w:val="auto"/>
              </w:rPr>
            </w:pPr>
            <w:r>
              <w:rPr>
                <w:rFonts w:ascii="Arial" w:cs="Arial" w:eastAsia="Arial" w:hAnsi="Arial"/>
                <w:sz w:val="18"/>
                <w:szCs w:val="18"/>
                <w:color w:val="auto"/>
              </w:rPr>
              <w:t>26</w:t>
            </w: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27" w:name="page28"/>
    <w:bookmarkEnd w:id="2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CLEARONE, INC.</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Zeynep Hakimoglu, certify that:</w:t>
      </w:r>
    </w:p>
    <w:p>
      <w:pPr>
        <w:spacing w:after="0" w:line="225"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Inc. on Form 10-Q;</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180" w:type="dxa"/>
            <w:vAlign w:val="bottom"/>
          </w:tcPr>
          <w:p>
            <w:pPr>
              <w:ind w:left="572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Zeynep Hakimoglu</w:t>
            </w:r>
          </w:p>
        </w:tc>
      </w:tr>
      <w:tr>
        <w:trPr>
          <w:trHeight w:val="202"/>
        </w:trPr>
        <w:tc>
          <w:tcPr>
            <w:tcW w:w="6180" w:type="dxa"/>
            <w:vAlign w:val="bottom"/>
          </w:tcPr>
          <w:p>
            <w:pPr>
              <w:spacing w:after="0"/>
              <w:rPr>
                <w:sz w:val="17"/>
                <w:szCs w:val="17"/>
                <w:color w:val="auto"/>
              </w:rPr>
            </w:pPr>
          </w:p>
        </w:tc>
        <w:tc>
          <w:tcPr>
            <w:tcW w:w="5240" w:type="dxa"/>
            <w:vAlign w:val="bottom"/>
          </w:tcPr>
          <w:p>
            <w:pPr>
              <w:spacing w:after="0" w:line="201" w:lineRule="exact"/>
              <w:rPr>
                <w:sz w:val="20"/>
                <w:szCs w:val="20"/>
                <w:color w:val="auto"/>
              </w:rPr>
            </w:pPr>
            <w:r>
              <w:rPr>
                <w:rFonts w:ascii="Arial" w:cs="Arial" w:eastAsia="Arial" w:hAnsi="Arial"/>
                <w:sz w:val="18"/>
                <w:szCs w:val="18"/>
                <w:color w:val="auto"/>
              </w:rPr>
              <w:t>Zeynep Hakimoglu</w:t>
            </w:r>
          </w:p>
        </w:tc>
      </w:tr>
      <w:tr>
        <w:trPr>
          <w:trHeight w:val="216"/>
        </w:trPr>
        <w:tc>
          <w:tcPr>
            <w:tcW w:w="61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May 10, 2017</w:t>
            </w:r>
          </w:p>
        </w:tc>
        <w:tc>
          <w:tcPr>
            <w:tcW w:w="524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39"/>
        </w:trPr>
        <w:tc>
          <w:tcPr>
            <w:tcW w:w="618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29" w:name="page30"/>
    <w:bookmarkEnd w:id="2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CLEARONE, INC.</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Narsi Narayanan, certify that:</w:t>
      </w:r>
    </w:p>
    <w:p>
      <w:pPr>
        <w:spacing w:after="0" w:line="225"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Inc. on Form 10-Q;</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180" w:type="dxa"/>
            <w:vAlign w:val="bottom"/>
          </w:tcPr>
          <w:p>
            <w:pPr>
              <w:ind w:left="572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Narsi Narayanan</w:t>
            </w:r>
          </w:p>
        </w:tc>
      </w:tr>
      <w:tr>
        <w:trPr>
          <w:trHeight w:val="202"/>
        </w:trPr>
        <w:tc>
          <w:tcPr>
            <w:tcW w:w="6180" w:type="dxa"/>
            <w:vAlign w:val="bottom"/>
          </w:tcPr>
          <w:p>
            <w:pPr>
              <w:spacing w:after="0"/>
              <w:rPr>
                <w:sz w:val="17"/>
                <w:szCs w:val="17"/>
                <w:color w:val="auto"/>
              </w:rPr>
            </w:pPr>
          </w:p>
        </w:tc>
        <w:tc>
          <w:tcPr>
            <w:tcW w:w="5240" w:type="dxa"/>
            <w:vAlign w:val="bottom"/>
          </w:tcPr>
          <w:p>
            <w:pPr>
              <w:spacing w:after="0" w:line="201" w:lineRule="exact"/>
              <w:rPr>
                <w:sz w:val="20"/>
                <w:szCs w:val="20"/>
                <w:color w:val="auto"/>
              </w:rPr>
            </w:pPr>
            <w:r>
              <w:rPr>
                <w:rFonts w:ascii="Arial" w:cs="Arial" w:eastAsia="Arial" w:hAnsi="Arial"/>
                <w:sz w:val="18"/>
                <w:szCs w:val="18"/>
                <w:color w:val="auto"/>
              </w:rPr>
              <w:t>Narsi Narayanan</w:t>
            </w:r>
          </w:p>
        </w:tc>
      </w:tr>
      <w:tr>
        <w:trPr>
          <w:trHeight w:val="216"/>
        </w:trPr>
        <w:tc>
          <w:tcPr>
            <w:tcW w:w="61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Senior Vice President of Finance</w:t>
            </w: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May 10, 2017</w:t>
            </w:r>
          </w:p>
        </w:tc>
        <w:tc>
          <w:tcPr>
            <w:tcW w:w="5240" w:type="dxa"/>
            <w:vAlign w:val="bottom"/>
          </w:tcPr>
          <w:p>
            <w:pPr>
              <w:spacing w:after="0"/>
              <w:rPr>
                <w:sz w:val="20"/>
                <w:szCs w:val="20"/>
                <w:color w:val="auto"/>
              </w:rPr>
            </w:pPr>
            <w:r>
              <w:rPr>
                <w:rFonts w:ascii="Arial" w:cs="Arial" w:eastAsia="Arial" w:hAnsi="Arial"/>
                <w:sz w:val="18"/>
                <w:szCs w:val="18"/>
                <w:i w:val="1"/>
                <w:iCs w:val="1"/>
                <w:color w:val="auto"/>
              </w:rPr>
              <w:t>(Principal Accounting and Principal Financial Officer)</w:t>
            </w:r>
          </w:p>
        </w:tc>
      </w:tr>
      <w:tr>
        <w:trPr>
          <w:trHeight w:val="439"/>
        </w:trPr>
        <w:tc>
          <w:tcPr>
            <w:tcW w:w="618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31" w:name="page32"/>
    <w:bookmarkEnd w:id="3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CLEARONE, INC.</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Zeynep Hakimoglu, certify, to my best knowledge and belief, pursuant to 18 U.S.C. Section 1350, as adopted pursuant to Section 906 of the Sarbanes-Oxley Act of 2002, that the Quarterly Report of ClearOne, Inc. on Form 10-Q for the quarter ended March 31, 2017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180" w:type="dxa"/>
            <w:vAlign w:val="bottom"/>
          </w:tcPr>
          <w:p>
            <w:pPr>
              <w:ind w:left="572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Zeynep Hakimoglu</w:t>
            </w:r>
          </w:p>
        </w:tc>
      </w:tr>
      <w:tr>
        <w:trPr>
          <w:trHeight w:val="202"/>
        </w:trPr>
        <w:tc>
          <w:tcPr>
            <w:tcW w:w="6180" w:type="dxa"/>
            <w:vAlign w:val="bottom"/>
          </w:tcPr>
          <w:p>
            <w:pPr>
              <w:spacing w:after="0"/>
              <w:rPr>
                <w:sz w:val="17"/>
                <w:szCs w:val="17"/>
                <w:color w:val="auto"/>
              </w:rPr>
            </w:pPr>
          </w:p>
        </w:tc>
        <w:tc>
          <w:tcPr>
            <w:tcW w:w="5240" w:type="dxa"/>
            <w:vAlign w:val="bottom"/>
          </w:tcPr>
          <w:p>
            <w:pPr>
              <w:spacing w:after="0" w:line="201" w:lineRule="exact"/>
              <w:rPr>
                <w:sz w:val="20"/>
                <w:szCs w:val="20"/>
                <w:color w:val="auto"/>
              </w:rPr>
            </w:pPr>
            <w:r>
              <w:rPr>
                <w:rFonts w:ascii="Arial" w:cs="Arial" w:eastAsia="Arial" w:hAnsi="Arial"/>
                <w:sz w:val="18"/>
                <w:szCs w:val="18"/>
                <w:color w:val="auto"/>
              </w:rPr>
              <w:t>Zeynep Hakimoglu</w:t>
            </w:r>
          </w:p>
        </w:tc>
      </w:tr>
      <w:tr>
        <w:trPr>
          <w:trHeight w:val="216"/>
        </w:trPr>
        <w:tc>
          <w:tcPr>
            <w:tcW w:w="61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May 10, 2017</w:t>
            </w:r>
          </w:p>
        </w:tc>
        <w:tc>
          <w:tcPr>
            <w:tcW w:w="524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39"/>
        </w:trPr>
        <w:tc>
          <w:tcPr>
            <w:tcW w:w="618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33" w:name="page34"/>
    <w:bookmarkEnd w:id="3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CLEARONE, INC.</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Narsi Narayanan, certify, to my best knowledge and belief, pursuant to 18 U.S.C. Section 1350, as adopted pursuant to Section 906 of the Sarbanes-Oxley Act of 2002, that the Quarterly Report of ClearOne, Inc. on Form 10-Q for the quarter ended March 31, 2017,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180" w:type="dxa"/>
            <w:vAlign w:val="bottom"/>
          </w:tcPr>
          <w:p>
            <w:pPr>
              <w:ind w:left="572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Narsi Narayanan</w:t>
            </w:r>
          </w:p>
        </w:tc>
      </w:tr>
      <w:tr>
        <w:trPr>
          <w:trHeight w:val="202"/>
        </w:trPr>
        <w:tc>
          <w:tcPr>
            <w:tcW w:w="6180" w:type="dxa"/>
            <w:vAlign w:val="bottom"/>
          </w:tcPr>
          <w:p>
            <w:pPr>
              <w:spacing w:after="0"/>
              <w:rPr>
                <w:sz w:val="17"/>
                <w:szCs w:val="17"/>
                <w:color w:val="auto"/>
              </w:rPr>
            </w:pPr>
          </w:p>
        </w:tc>
        <w:tc>
          <w:tcPr>
            <w:tcW w:w="5240" w:type="dxa"/>
            <w:vAlign w:val="bottom"/>
          </w:tcPr>
          <w:p>
            <w:pPr>
              <w:spacing w:after="0" w:line="201" w:lineRule="exact"/>
              <w:rPr>
                <w:sz w:val="20"/>
                <w:szCs w:val="20"/>
                <w:color w:val="auto"/>
              </w:rPr>
            </w:pPr>
            <w:r>
              <w:rPr>
                <w:rFonts w:ascii="Arial" w:cs="Arial" w:eastAsia="Arial" w:hAnsi="Arial"/>
                <w:sz w:val="18"/>
                <w:szCs w:val="18"/>
                <w:color w:val="auto"/>
              </w:rPr>
              <w:t>Narsi Narayanan</w:t>
            </w:r>
          </w:p>
        </w:tc>
      </w:tr>
      <w:tr>
        <w:trPr>
          <w:trHeight w:val="216"/>
        </w:trPr>
        <w:tc>
          <w:tcPr>
            <w:tcW w:w="61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Senior Vice President of Finance</w:t>
            </w: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May 10, 2017</w:t>
            </w:r>
          </w:p>
        </w:tc>
        <w:tc>
          <w:tcPr>
            <w:tcW w:w="5240" w:type="dxa"/>
            <w:vAlign w:val="bottom"/>
          </w:tcPr>
          <w:p>
            <w:pPr>
              <w:spacing w:after="0"/>
              <w:rPr>
                <w:sz w:val="20"/>
                <w:szCs w:val="20"/>
                <w:color w:val="auto"/>
              </w:rPr>
            </w:pPr>
            <w:r>
              <w:rPr>
                <w:rFonts w:ascii="Arial" w:cs="Arial" w:eastAsia="Arial" w:hAnsi="Arial"/>
                <w:sz w:val="18"/>
                <w:szCs w:val="18"/>
                <w:i w:val="1"/>
                <w:iCs w:val="1"/>
                <w:color w:val="auto"/>
              </w:rPr>
              <w:t>(Principal Accounting and Principal Financial Officer)</w:t>
            </w:r>
          </w:p>
        </w:tc>
      </w:tr>
      <w:tr>
        <w:trPr>
          <w:trHeight w:val="439"/>
        </w:trPr>
        <w:tc>
          <w:tcPr>
            <w:tcW w:w="618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35" w:name="page36"/>
    <w:bookmarkEnd w:id="35"/>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Roman"/>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2019-12-29T06:28:49Z</dcterms:created>
  <dcterms:modified xsi:type="dcterms:W3CDTF">2019-12-29T06:28:49Z</dcterms:modified>
</cp:coreProperties>
</file>