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8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March 31, 2014</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5"/>
              </w:rPr>
              <w:t>Utah</w:t>
            </w:r>
          </w:p>
        </w:tc>
        <w:tc>
          <w:tcPr>
            <w:tcW w:w="578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78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jc w:val="center"/>
              <w:ind w:left="699"/>
              <w:spacing w:after="0"/>
              <w:rPr>
                <w:sz w:val="20"/>
                <w:szCs w:val="20"/>
                <w:color w:val="auto"/>
              </w:rPr>
            </w:pPr>
            <w:r>
              <w:rPr>
                <w:rFonts w:ascii="Arial" w:cs="Arial" w:eastAsia="Arial" w:hAnsi="Arial"/>
                <w:sz w:val="16"/>
                <w:szCs w:val="16"/>
                <w:color w:val="auto"/>
                <w:w w:val="93"/>
              </w:rPr>
              <w:t>(Address of principal executive offices)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620" w:type="dxa"/>
            <w:vAlign w:val="bottom"/>
          </w:tcPr>
          <w:p>
            <w:pPr>
              <w:spacing w:after="0"/>
              <w:rPr>
                <w:sz w:val="22"/>
                <w:szCs w:val="22"/>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477"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65" w:lineRule="exact"/>
        <w:rPr>
          <w:sz w:val="24"/>
          <w:szCs w:val="24"/>
          <w:color w:val="auto"/>
        </w:rPr>
      </w:pPr>
    </w:p>
    <w:p>
      <w:pPr>
        <w:sectPr>
          <w:pgSz w:w="11900" w:h="16838" w:orient="portrait"/>
          <w:cols w:equalWidth="0" w:num="2">
            <w:col w:w="6080" w:space="720"/>
            <w:col w:w="4600"/>
          </w:cols>
          <w:pgMar w:left="240" w:top="477"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20"/>
          </w:cols>
          <w:pgMar w:left="240" w:top="477" w:right="25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 ] No [x]</w:t>
      </w:r>
    </w:p>
    <w:p>
      <w:pPr>
        <w:spacing w:after="0" w:line="217"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May 9, 2014 was 9,260,635.</w:t>
      </w:r>
    </w:p>
    <w:p>
      <w:pPr>
        <w:sectPr>
          <w:pgSz w:w="11900" w:h="16838" w:orient="portrait"/>
          <w:cols w:equalWidth="0" w:num="1">
            <w:col w:w="11400"/>
          </w:cols>
          <w:pgMar w:left="240" w:top="477"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 FOR THE QUARTER ENDED MARCH 31, 2014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940" w:type="dxa"/>
            <w:vAlign w:val="bottom"/>
            <w:gridSpan w:val="7"/>
          </w:tcPr>
          <w:p>
            <w:pPr>
              <w:jc w:val="center"/>
              <w:ind w:right="318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2014 Unaudited and December 31, 2013</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2014 and 2013 Unaudited</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three months ended March 31, 2014 and 2013 Unaudited</w:t>
              </w:r>
            </w:hyperlink>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10260" w:type="dxa"/>
            <w:vAlign w:val="bottom"/>
            <w:gridSpan w:val="1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3.</w:t>
              </w:r>
            </w:hyperlink>
          </w:p>
        </w:tc>
        <w:tc>
          <w:tcPr>
            <w:tcW w:w="1026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920" w:type="dxa"/>
            <w:vAlign w:val="bottom"/>
            <w:tcBorders>
              <w:left w:val="single" w:sz="8" w:color="0000EE"/>
            </w:tcBorders>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4.</w:t>
              </w:r>
            </w:hyperlink>
          </w:p>
        </w:tc>
        <w:tc>
          <w:tcPr>
            <w:tcW w:w="1026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48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940" w:type="dxa"/>
            <w:vAlign w:val="bottom"/>
            <w:gridSpan w:val="7"/>
          </w:tcPr>
          <w:p>
            <w:pPr>
              <w:jc w:val="center"/>
              <w:ind w:right="3180"/>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38"/>
        </w:trPr>
        <w:tc>
          <w:tcPr>
            <w:tcW w:w="9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w:t>
              </w:r>
            </w:hyperlink>
          </w:p>
        </w:tc>
        <w:tc>
          <w:tcPr>
            <w:tcW w:w="102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936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r>
      <w:tr>
        <w:trPr>
          <w:trHeight w:val="439"/>
        </w:trPr>
        <w:tc>
          <w:tcPr>
            <w:tcW w:w="9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102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94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50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960" w:type="dxa"/>
            <w:vAlign w:val="bottom"/>
            <w:gridSpan w:val="1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March 31, 2014</w:t>
            </w:r>
          </w:p>
        </w:tc>
        <w:tc>
          <w:tcPr>
            <w:tcW w:w="240" w:type="dxa"/>
            <w:vAlign w:val="bottom"/>
          </w:tcPr>
          <w:p>
            <w:pPr>
              <w:spacing w:after="0"/>
              <w:rPr>
                <w:sz w:val="18"/>
                <w:szCs w:val="18"/>
                <w:color w:val="auto"/>
              </w:rPr>
            </w:pPr>
          </w:p>
        </w:tc>
        <w:tc>
          <w:tcPr>
            <w:tcW w:w="1820" w:type="dxa"/>
            <w:vAlign w:val="bottom"/>
          </w:tcPr>
          <w:p>
            <w:pPr>
              <w:jc w:val="right"/>
              <w:ind w:right="290"/>
              <w:spacing w:after="0"/>
              <w:rPr>
                <w:sz w:val="20"/>
                <w:szCs w:val="20"/>
                <w:color w:val="auto"/>
              </w:rPr>
            </w:pPr>
            <w:r>
              <w:rPr>
                <w:rFonts w:ascii="Arial" w:cs="Arial" w:eastAsia="Arial" w:hAnsi="Arial"/>
                <w:sz w:val="16"/>
                <w:szCs w:val="16"/>
                <w:b w:val="1"/>
                <w:bCs w:val="1"/>
                <w:color w:val="auto"/>
                <w:w w:val="98"/>
              </w:rPr>
              <w:t>December 31, 2013</w:t>
            </w:r>
          </w:p>
        </w:tc>
        <w:tc>
          <w:tcPr>
            <w:tcW w:w="0" w:type="dxa"/>
            <w:vAlign w:val="bottom"/>
          </w:tcPr>
          <w:p>
            <w:pPr>
              <w:spacing w:after="0"/>
              <w:rPr>
                <w:sz w:val="1"/>
                <w:szCs w:val="1"/>
                <w:color w:val="auto"/>
              </w:rPr>
            </w:pPr>
          </w:p>
        </w:tc>
      </w:tr>
      <w:tr>
        <w:trPr>
          <w:trHeight w:val="270"/>
        </w:trPr>
        <w:tc>
          <w:tcPr>
            <w:tcW w:w="7180" w:type="dxa"/>
            <w:vAlign w:val="bottom"/>
          </w:tcPr>
          <w:p>
            <w:pPr>
              <w:ind w:left="328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3"/>
                <w:szCs w:val="23"/>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7,649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17,192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Receivables, net of allowance for doubtful accounts of $102 and $129, respectively</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8,849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Distributor channel inventories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48,066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Long-term marketable securities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21,645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22,326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9,872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86,436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81,061</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product revenue</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8,649</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w w:val="91"/>
              </w:rPr>
              <w:t>Common stock, par value $0.001, 50,000,000 shares authorized, 9,309,529 and 8,986,080 shares</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340"/>
              <w:spacing w:after="0"/>
              <w:rPr>
                <w:sz w:val="20"/>
                <w:szCs w:val="20"/>
                <w:color w:val="auto"/>
              </w:rPr>
            </w:pPr>
            <w:r>
              <w:rPr>
                <w:rFonts w:ascii="Arial" w:cs="Arial" w:eastAsia="Arial" w:hAnsi="Arial"/>
                <w:sz w:val="18"/>
                <w:szCs w:val="18"/>
                <w:color w:val="auto"/>
              </w:rPr>
              <w:t>issued and outstanding</w:t>
            </w:r>
          </w:p>
        </w:tc>
        <w:tc>
          <w:tcPr>
            <w:tcW w:w="300" w:type="dxa"/>
            <w:vAlign w:val="bottom"/>
          </w:tcPr>
          <w:p>
            <w:pPr>
              <w:spacing w:after="0"/>
              <w:rPr>
                <w:sz w:val="20"/>
                <w:szCs w:val="20"/>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41,311</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28,992</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73,769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70,335</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86,436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81,061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3400" w:type="dxa"/>
            <w:vAlign w:val="bottom"/>
            <w:gridSpan w:val="4"/>
          </w:tcPr>
          <w:p>
            <w:pPr>
              <w:jc w:val="right"/>
              <w:ind w:right="91"/>
              <w:spacing w:after="0"/>
              <w:rPr>
                <w:sz w:val="20"/>
                <w:szCs w:val="20"/>
                <w:color w:val="auto"/>
              </w:rPr>
            </w:pPr>
            <w:r>
              <w:rPr>
                <w:rFonts w:ascii="Arial" w:cs="Arial" w:eastAsia="Arial" w:hAnsi="Arial"/>
                <w:sz w:val="16"/>
                <w:szCs w:val="16"/>
                <w:b w:val="1"/>
                <w:bCs w:val="1"/>
                <w:color w:val="auto"/>
              </w:rPr>
              <w:t>Three months ended March 31,</w:t>
            </w:r>
          </w:p>
        </w:tc>
        <w:tc>
          <w:tcPr>
            <w:tcW w:w="860" w:type="dxa"/>
            <w:vAlign w:val="bottom"/>
          </w:tcPr>
          <w:p>
            <w:pPr>
              <w:spacing w:after="0"/>
              <w:rPr>
                <w:sz w:val="18"/>
                <w:szCs w:val="18"/>
                <w:color w:val="auto"/>
              </w:rPr>
            </w:pPr>
          </w:p>
        </w:tc>
      </w:tr>
      <w:tr>
        <w:trPr>
          <w:trHeight w:val="33"/>
        </w:trPr>
        <w:tc>
          <w:tcPr>
            <w:tcW w:w="71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7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860" w:type="dxa"/>
            <w:vAlign w:val="bottom"/>
          </w:tcPr>
          <w:p>
            <w:pPr>
              <w:spacing w:after="0"/>
              <w:rPr>
                <w:sz w:val="18"/>
                <w:szCs w:val="18"/>
                <w:color w:val="auto"/>
              </w:rPr>
            </w:pPr>
          </w:p>
        </w:tc>
      </w:tr>
      <w:tr>
        <w:trPr>
          <w:trHeight w:val="33"/>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2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12,708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11,293</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4,294</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6,999</w:t>
            </w:r>
          </w:p>
        </w:tc>
      </w:tr>
      <w:tr>
        <w:trPr>
          <w:trHeight w:val="291"/>
        </w:trPr>
        <w:tc>
          <w:tcPr>
            <w:tcW w:w="71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77"/>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2,267</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1,797</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5,930</w:t>
            </w:r>
          </w:p>
        </w:tc>
      </w:tr>
      <w:tr>
        <w:trPr>
          <w:trHeight w:val="291"/>
        </w:trPr>
        <w:tc>
          <w:tcPr>
            <w:tcW w:w="71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r>
      <w:tr>
        <w:trPr>
          <w:trHeight w:val="20"/>
        </w:trPr>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122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220" w:type="dxa"/>
            <w:vAlign w:val="bottom"/>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7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9,082,546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9,152,859</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9,558,941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9,394,181</w:t>
            </w:r>
          </w:p>
        </w:tc>
      </w:tr>
      <w:tr>
        <w:trPr>
          <w:trHeight w:val="324"/>
        </w:trPr>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731</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 securities, net of tax</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bottom w:val="single" w:sz="8" w:color="auto"/>
            </w:tcBorders>
            <w:shd w:val="clear" w:color="auto" w:fill="CCEEFF"/>
          </w:tcPr>
          <w:p>
            <w:pPr>
              <w:jc w:val="right"/>
              <w:ind w:right="10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r>
      <w:tr>
        <w:trPr>
          <w:trHeight w:val="20"/>
        </w:trPr>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3400" w:type="dxa"/>
            <w:vAlign w:val="bottom"/>
            <w:gridSpan w:val="4"/>
          </w:tcPr>
          <w:p>
            <w:pPr>
              <w:jc w:val="right"/>
              <w:ind w:right="134"/>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Pr>
          <w:p>
            <w:pPr>
              <w:spacing w:after="0"/>
              <w:rPr>
                <w:sz w:val="18"/>
                <w:szCs w:val="18"/>
                <w:color w:val="auto"/>
              </w:rPr>
            </w:pPr>
          </w:p>
        </w:tc>
      </w:tr>
      <w:tr>
        <w:trPr>
          <w:trHeight w:val="33"/>
        </w:trPr>
        <w:tc>
          <w:tcPr>
            <w:tcW w:w="72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7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6"/>
                <w:szCs w:val="16"/>
                <w:b w:val="1"/>
                <w:bCs w:val="1"/>
                <w:color w:val="auto"/>
              </w:rPr>
              <w:t>2013</w:t>
            </w:r>
          </w:p>
        </w:tc>
        <w:tc>
          <w:tcPr>
            <w:tcW w:w="760" w:type="dxa"/>
            <w:vAlign w:val="bottom"/>
          </w:tcPr>
          <w:p>
            <w:pPr>
              <w:spacing w:after="0"/>
              <w:rPr>
                <w:sz w:val="20"/>
                <w:szCs w:val="20"/>
                <w:color w:val="auto"/>
              </w:rPr>
            </w:pPr>
          </w:p>
        </w:tc>
      </w:tr>
      <w:tr>
        <w:trPr>
          <w:trHeight w:val="33"/>
        </w:trPr>
        <w:tc>
          <w:tcPr>
            <w:tcW w:w="7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ind w:right="936"/>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26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731</w:t>
            </w:r>
          </w:p>
        </w:tc>
      </w:tr>
      <w:tr>
        <w:trPr>
          <w:trHeight w:val="27"/>
        </w:trPr>
        <w:tc>
          <w:tcPr>
            <w:tcW w:w="7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(used in) operations: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7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rent</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7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(recoveries of) doubtful accounts, net</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Inventory valuation reserve adjustments</w:t>
            </w: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assets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Tax benefit from exercise of stock options</w:t>
            </w: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434</w:t>
            </w:r>
          </w:p>
        </w:tc>
      </w:tr>
      <w:tr>
        <w:trPr>
          <w:trHeight w:val="27"/>
        </w:trPr>
        <w:tc>
          <w:tcPr>
            <w:tcW w:w="7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1,410</w:t>
            </w:r>
          </w:p>
        </w:tc>
      </w:tr>
      <w:tr>
        <w:trPr>
          <w:trHeight w:val="27"/>
        </w:trPr>
        <w:tc>
          <w:tcPr>
            <w:tcW w:w="7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(15,066)</w:t>
            </w:r>
          </w:p>
        </w:tc>
      </w:tr>
      <w:tr>
        <w:trPr>
          <w:trHeight w:val="27"/>
        </w:trPr>
        <w:tc>
          <w:tcPr>
            <w:tcW w:w="7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product revenue</w:t>
            </w:r>
          </w:p>
        </w:tc>
        <w:tc>
          <w:tcPr>
            <w:tcW w:w="1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(12,369)</w:t>
            </w:r>
          </w:p>
        </w:tc>
      </w:tr>
      <w:tr>
        <w:trPr>
          <w:trHeight w:val="27"/>
        </w:trPr>
        <w:tc>
          <w:tcPr>
            <w:tcW w:w="7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345"/>
        </w:trPr>
        <w:tc>
          <w:tcPr>
            <w:tcW w:w="7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 towards business acquisitions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7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Patents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7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flows from financing activities: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the exercise of stock options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Tax benefits from stock options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 registration costs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Treasury stock purchased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(used in) financing activities</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the beginning of the period</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24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0"/>
        </w:trPr>
        <w:tc>
          <w:tcPr>
            <w:tcW w:w="8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7"/>
        </w:trPr>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88"/>
        </w:trPr>
        <w:tc>
          <w:tcPr>
            <w:tcW w:w="8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(12,929)</w:t>
            </w:r>
          </w:p>
        </w:tc>
      </w:tr>
      <w:tr>
        <w:trPr>
          <w:trHeight w:val="270"/>
        </w:trPr>
        <w:tc>
          <w:tcPr>
            <w:tcW w:w="8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17,192</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55,509</w:t>
            </w:r>
          </w:p>
        </w:tc>
      </w:tr>
      <w:tr>
        <w:trPr>
          <w:trHeight w:val="27"/>
        </w:trPr>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7,649</w:t>
            </w:r>
          </w:p>
        </w:tc>
        <w:tc>
          <w:tcPr>
            <w:tcW w:w="120" w:type="dxa"/>
            <w:vAlign w:val="bottom"/>
          </w:tcPr>
          <w:p>
            <w:pPr>
              <w:spacing w:after="0"/>
              <w:rPr>
                <w:sz w:val="20"/>
                <w:szCs w:val="20"/>
                <w:color w:val="auto"/>
              </w:rPr>
            </w:pP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-1431290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-1088390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-736600</wp:posOffset>
            </wp:positionV>
            <wp:extent cx="7246620" cy="231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-334010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17145</wp:posOffset>
            </wp:positionV>
            <wp:extent cx="2641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-130175</wp:posOffset>
            </wp:positionV>
            <wp:extent cx="2641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600"/>
          </w:cols>
          <w:pgMar w:left="240" w:top="122"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tax related cash flow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7"/>
          </w:tcPr>
          <w:p>
            <w:pPr>
              <w:jc w:val="right"/>
              <w:ind w:right="260"/>
              <w:spacing w:after="0"/>
              <w:rPr>
                <w:sz w:val="20"/>
                <w:szCs w:val="20"/>
                <w:color w:val="auto"/>
              </w:rPr>
            </w:pPr>
            <w:r>
              <w:rPr>
                <w:rFonts w:ascii="Arial" w:cs="Arial" w:eastAsia="Arial" w:hAnsi="Arial"/>
                <w:sz w:val="16"/>
                <w:szCs w:val="16"/>
                <w:b w:val="1"/>
                <w:bCs w:val="1"/>
                <w:color w:val="auto"/>
              </w:rPr>
              <w:t>Three months ended March 31,</w:t>
            </w:r>
          </w:p>
        </w:tc>
        <w:tc>
          <w:tcPr>
            <w:tcW w:w="740" w:type="dxa"/>
            <w:vAlign w:val="bottom"/>
          </w:tcPr>
          <w:p>
            <w:pPr>
              <w:spacing w:after="0"/>
              <w:rPr>
                <w:sz w:val="18"/>
                <w:szCs w:val="18"/>
                <w:color w:val="auto"/>
              </w:rPr>
            </w:pPr>
          </w:p>
        </w:tc>
      </w:tr>
      <w:tr>
        <w:trPr>
          <w:trHeight w:val="33"/>
        </w:trPr>
        <w:tc>
          <w:tcPr>
            <w:tcW w:w="11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11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96"/>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2013</w:t>
            </w:r>
          </w:p>
        </w:tc>
        <w:tc>
          <w:tcPr>
            <w:tcW w:w="740" w:type="dxa"/>
            <w:vAlign w:val="bottom"/>
          </w:tcPr>
          <w:p>
            <w:pPr>
              <w:spacing w:after="0"/>
              <w:rPr>
                <w:sz w:val="20"/>
                <w:szCs w:val="20"/>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spacing w:after="0"/>
              <w:rPr>
                <w:sz w:val="21"/>
                <w:szCs w:val="21"/>
                <w:color w:val="auto"/>
              </w:rPr>
            </w:pPr>
          </w:p>
        </w:tc>
        <w:tc>
          <w:tcPr>
            <w:tcW w:w="1380" w:type="dxa"/>
            <w:vAlign w:val="bottom"/>
          </w:tcPr>
          <w:p>
            <w:pPr>
              <w:jc w:val="right"/>
              <w:ind w:right="117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15,346</w:t>
            </w:r>
          </w:p>
        </w:tc>
      </w:tr>
      <w:tr>
        <w:trPr>
          <w:trHeight w:val="459"/>
        </w:trPr>
        <w:tc>
          <w:tcPr>
            <w:tcW w:w="6940" w:type="dxa"/>
            <w:vAlign w:val="bottom"/>
            <w:gridSpan w:val="2"/>
          </w:tcPr>
          <w:p>
            <w:pPr>
              <w:spacing w:after="0"/>
              <w:rPr>
                <w:sz w:val="20"/>
                <w:szCs w:val="20"/>
                <w:color w:val="auto"/>
              </w:rPr>
            </w:pPr>
            <w:r>
              <w:rPr>
                <w:rFonts w:ascii="Arial" w:cs="Arial" w:eastAsia="Arial" w:hAnsi="Arial"/>
                <w:sz w:val="18"/>
                <w:szCs w:val="18"/>
                <w:color w:val="auto"/>
              </w:rPr>
              <w:t>The following is a summary of non-cash investing and financing activities: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2"/>
        </w:trPr>
        <w:tc>
          <w:tcPr>
            <w:tcW w:w="11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7"/>
          </w:tcPr>
          <w:p>
            <w:pPr>
              <w:jc w:val="right"/>
              <w:ind w:right="960"/>
              <w:spacing w:after="0"/>
              <w:rPr>
                <w:sz w:val="20"/>
                <w:szCs w:val="20"/>
                <w:color w:val="auto"/>
              </w:rPr>
            </w:pPr>
            <w:r>
              <w:rPr>
                <w:rFonts w:ascii="Arial" w:cs="Arial" w:eastAsia="Arial" w:hAnsi="Arial"/>
                <w:sz w:val="16"/>
                <w:szCs w:val="16"/>
                <w:b w:val="1"/>
                <w:bCs w:val="1"/>
                <w:color w:val="auto"/>
              </w:rPr>
              <w:t>Three months ended March 31,</w:t>
            </w:r>
          </w:p>
        </w:tc>
        <w:tc>
          <w:tcPr>
            <w:tcW w:w="740" w:type="dxa"/>
            <w:vAlign w:val="bottom"/>
          </w:tcPr>
          <w:p>
            <w:pPr>
              <w:spacing w:after="0"/>
              <w:rPr>
                <w:sz w:val="24"/>
                <w:szCs w:val="24"/>
                <w:color w:val="auto"/>
              </w:rPr>
            </w:pPr>
          </w:p>
        </w:tc>
      </w:tr>
      <w:tr>
        <w:trPr>
          <w:trHeight w:val="33"/>
        </w:trPr>
        <w:tc>
          <w:tcPr>
            <w:tcW w:w="11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1"/>
        </w:trPr>
        <w:tc>
          <w:tcPr>
            <w:tcW w:w="11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576"/>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1120" w:type="dxa"/>
            <w:vAlign w:val="bottom"/>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Issuance of common stock in connection with acquisition of 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ClearOne, Inc. and its subsidiaries (collectively, “ClearOne” or the “Company”) are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60"/>
        <w:spacing w:after="0" w:line="216"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These accompanying interim condensed consolidated financial statements for the three months ended March 31, 2014 and 2013,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March 31, 2014 and December 31, 2013, the results of operations for the three months ended March 31, 2014 and 2013, and the statements of cash flows for the three months ended March 31, 2014 and 2013. The results of operations for the three months ended March 31, 2014 and 2013 are not necessarily indicative of the results for a full-year period. These interim condensed consolidated financial statements should be read in conjunction with the financial statements included in our Annual Report on Form 10-K for the year ended December 31, 2013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2013. There have been no changes to these policies during the three months ended March 31, 2014 that are of significance or potential significance to the Company.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March 31, 2014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right"/>
              <w:ind w:right="452"/>
              <w:spacing w:after="0"/>
              <w:rPr>
                <w:sz w:val="20"/>
                <w:szCs w:val="20"/>
                <w:color w:val="auto"/>
              </w:rPr>
            </w:pPr>
            <w:r>
              <w:rPr>
                <w:rFonts w:ascii="Arial" w:cs="Arial" w:eastAsia="Arial" w:hAnsi="Arial"/>
                <w:sz w:val="16"/>
                <w:szCs w:val="16"/>
                <w:b w:val="1"/>
                <w:bCs w:val="1"/>
                <w:color w:val="auto"/>
                <w:w w:val="99"/>
              </w:rPr>
              <w:t>December 31, 2013</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year</w:t>
            </w:r>
          </w:p>
        </w:tc>
        <w:tc>
          <w:tcPr>
            <w:tcW w:w="4400" w:type="dxa"/>
            <w:vAlign w:val="bottom"/>
            <w:tcBorders>
              <w:bottom w:val="single" w:sz="8" w:color="CCEEFF"/>
            </w:tcBorders>
            <w:gridSpan w:val="2"/>
            <w:shd w:val="clear" w:color="auto" w:fill="CCEEFF"/>
          </w:tcPr>
          <w:p>
            <w:pPr>
              <w:jc w:val="right"/>
              <w:ind w:right="139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Warranty accruals/additions</w:t>
            </w:r>
          </w:p>
        </w:tc>
        <w:tc>
          <w:tcPr>
            <w:tcW w:w="2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Warranty usage</w:t>
            </w:r>
          </w:p>
        </w:tc>
        <w:tc>
          <w:tcPr>
            <w:tcW w:w="26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68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139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80" w:type="dxa"/>
            <w:vAlign w:val="bottom"/>
            <w:vMerge w:val="restart"/>
          </w:tcPr>
          <w:p>
            <w:pPr>
              <w:jc w:val="right"/>
              <w:ind w:right="850"/>
              <w:spacing w:after="0"/>
              <w:rPr>
                <w:sz w:val="20"/>
                <w:szCs w:val="20"/>
                <w:color w:val="auto"/>
              </w:rPr>
            </w:pPr>
            <w:r>
              <w:rPr>
                <w:rFonts w:ascii="Arial" w:cs="Arial" w:eastAsia="Arial" w:hAnsi="Arial"/>
                <w:sz w:val="18"/>
                <w:szCs w:val="18"/>
                <w:color w:val="auto"/>
              </w:rPr>
              <w:t>5</w:t>
            </w:r>
          </w:p>
        </w:tc>
        <w:tc>
          <w:tcPr>
            <w:tcW w:w="1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3420" w:type="dxa"/>
            <w:vAlign w:val="bottom"/>
            <w:gridSpan w:val="4"/>
          </w:tcPr>
          <w:p>
            <w:pPr>
              <w:jc w:val="right"/>
              <w:ind w:right="92"/>
              <w:spacing w:after="0"/>
              <w:rPr>
                <w:sz w:val="20"/>
                <w:szCs w:val="20"/>
                <w:color w:val="auto"/>
              </w:rPr>
            </w:pPr>
            <w:r>
              <w:rPr>
                <w:rFonts w:ascii="Arial" w:cs="Arial" w:eastAsia="Arial" w:hAnsi="Arial"/>
                <w:sz w:val="16"/>
                <w:szCs w:val="16"/>
                <w:b w:val="1"/>
                <w:bCs w:val="1"/>
                <w:color w:val="auto"/>
              </w:rPr>
              <w:t>Three months ended March 31,</w:t>
            </w:r>
          </w:p>
        </w:tc>
        <w:tc>
          <w:tcPr>
            <w:tcW w:w="860" w:type="dxa"/>
            <w:vAlign w:val="bottom"/>
          </w:tcPr>
          <w:p>
            <w:pPr>
              <w:spacing w:after="0"/>
              <w:rPr>
                <w:sz w:val="18"/>
                <w:szCs w:val="18"/>
                <w:color w:val="auto"/>
              </w:rPr>
            </w:pPr>
          </w:p>
        </w:tc>
      </w:tr>
      <w:tr>
        <w:trPr>
          <w:trHeight w:val="33"/>
        </w:trPr>
        <w:tc>
          <w:tcPr>
            <w:tcW w:w="7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860" w:type="dxa"/>
            <w:vAlign w:val="bottom"/>
          </w:tcPr>
          <w:p>
            <w:pPr>
              <w:spacing w:after="0"/>
              <w:rPr>
                <w:sz w:val="20"/>
                <w:szCs w:val="20"/>
                <w:color w:val="auto"/>
              </w:rPr>
            </w:pPr>
          </w:p>
        </w:tc>
      </w:tr>
      <w:tr>
        <w:trPr>
          <w:trHeight w:val="33"/>
        </w:trPr>
        <w:tc>
          <w:tcPr>
            <w:tcW w:w="7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26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731</w:t>
            </w:r>
          </w:p>
        </w:tc>
      </w:tr>
      <w:tr>
        <w:trPr>
          <w:trHeight w:val="27"/>
        </w:trPr>
        <w:tc>
          <w:tcPr>
            <w:tcW w:w="7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1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9,082,546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9,152,859</w:t>
            </w:r>
          </w:p>
        </w:tc>
      </w:tr>
      <w:tr>
        <w:trPr>
          <w:trHeight w:val="27"/>
        </w:trPr>
        <w:tc>
          <w:tcPr>
            <w:tcW w:w="7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Dilutive common stock equivalents using treasury stock method</w:t>
            </w:r>
          </w:p>
        </w:tc>
        <w:tc>
          <w:tcPr>
            <w:tcW w:w="1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476,395</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241,322</w:t>
            </w:r>
          </w:p>
        </w:tc>
      </w:tr>
      <w:tr>
        <w:trPr>
          <w:trHeight w:val="297"/>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12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9,558,941</w:t>
            </w:r>
          </w:p>
        </w:tc>
        <w:tc>
          <w:tcPr>
            <w:tcW w:w="10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9,394,181</w:t>
            </w:r>
          </w:p>
        </w:tc>
      </w:tr>
      <w:tr>
        <w:trPr>
          <w:trHeight w:val="311"/>
        </w:trPr>
        <w:tc>
          <w:tcPr>
            <w:tcW w:w="7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26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7"/>
        </w:trPr>
        <w:tc>
          <w:tcPr>
            <w:tcW w:w="7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324"/>
        </w:trPr>
        <w:tc>
          <w:tcPr>
            <w:tcW w:w="7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1,044,208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1,128,483</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1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116,000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208,957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w:t>
      </w:r>
    </w:p>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March 7, 2014, the Company completed the acquisition of Sabine, Inc. ("Sabine") through a stock purchase agreement ("SPA"). Sabine manufactures, designs, and sells Sacom professional wireless microphone systems for live and installed audio. It also makes FBX Feedback Exterminator for reliable automatic feedback control. With the addition of Sabine, ClearOne will have reliable and exclusive access to the wireless microphones that are a critical component of ClearOne’s complete microphone portfolio.</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the SPA, the Company (i) paid initial consideration of $8,129 in cash, which is subject to a final working capital adjustment, (ii) accrued for possible additional earn-out payments over the next three years, estimated to be $573,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17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estimated fair values of assets acquired and liabilities assumed are provisional and are based on the information that was available as of the acquisition date to estimate the fair value of assets acquired and liabilities assumed. The Company believes that such information provides a reasonable basis for estimating the fair values of assets acquired and liabilities assumed, but the Company is waiting for additional information necessary to finalize those fair values.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intangible assets and possible allocation to goodwill, retroactive to the period in which the acquisition occurred. Therefore, the provisional measurements of fair value reflected are subject to change and such changes could be significant.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consideration paid for the acquisition:</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9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Consideration</w:t>
            </w: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8,129</w:t>
            </w:r>
          </w:p>
        </w:tc>
      </w:tr>
      <w:tr>
        <w:trPr>
          <w:trHeight w:val="261"/>
        </w:trPr>
        <w:tc>
          <w:tcPr>
            <w:tcW w:w="9360" w:type="dxa"/>
            <w:vAlign w:val="bottom"/>
          </w:tcPr>
          <w:p>
            <w:pPr>
              <w:ind w:left="40"/>
              <w:spacing w:after="0"/>
              <w:rPr>
                <w:sz w:val="20"/>
                <w:szCs w:val="20"/>
                <w:color w:val="auto"/>
              </w:rPr>
            </w:pPr>
            <w:r>
              <w:rPr>
                <w:rFonts w:ascii="Arial" w:cs="Arial" w:eastAsia="Arial" w:hAnsi="Arial"/>
                <w:sz w:val="20"/>
                <w:szCs w:val="20"/>
                <w:color w:val="auto"/>
              </w:rPr>
              <w:t>Common stock</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1,679</w:t>
            </w:r>
          </w:p>
        </w:tc>
      </w:tr>
      <w:tr>
        <w:trPr>
          <w:trHeight w:val="23"/>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Contingent consideration</w:t>
            </w: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r>
      <w:tr>
        <w:trPr>
          <w:trHeight w:val="259"/>
        </w:trPr>
        <w:tc>
          <w:tcPr>
            <w:tcW w:w="9360" w:type="dxa"/>
            <w:vAlign w:val="bottom"/>
          </w:tcPr>
          <w:p>
            <w:pPr>
              <w:ind w:left="4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10,381</w:t>
            </w:r>
          </w:p>
        </w:tc>
      </w:tr>
      <w:tr>
        <w:trPr>
          <w:trHeight w:val="20"/>
        </w:trPr>
        <w:tc>
          <w:tcPr>
            <w:tcW w:w="9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identified assets and liabilities acquired was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Stock registration costs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10,381</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accounts receivable acquired is $298 which is net of an allowance for doubtful accounts of $2.</w:t>
      </w:r>
    </w:p>
    <w:p>
      <w:pPr>
        <w:spacing w:after="0" w:line="225"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The goodwill of $6,399 related to the acquisition of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$6,399 related to the acquisition of Sabine is deductible for tax purposes.</w:t>
      </w:r>
    </w:p>
    <w:p>
      <w:pPr>
        <w:spacing w:after="0" w:line="166"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The Company incurred $341 towards acquisition related expenses, all of which are categorized under General and administrative expenses in the Consolidated Statement of Operations for the period ended March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860" w:hanging="20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and net loss from the Sabine business from March 8, 2014 to March 31, 2014 was $84 and $163 respectively.</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and earnings of the combined entity as though the business combination occurred as of January 1, 2013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Earnings</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earnings per common share</w:t>
            </w:r>
          </w:p>
        </w:tc>
        <w:tc>
          <w:tcPr>
            <w:tcW w:w="1320" w:type="dxa"/>
            <w:vAlign w:val="bottom"/>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7"/>
        </w:trPr>
        <w:tc>
          <w:tcPr>
            <w:tcW w:w="7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60" w:firstLine="656"/>
        <w:spacing w:after="0" w:line="277" w:lineRule="auto"/>
        <w:tabs>
          <w:tab w:leader="none" w:pos="8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were no material, nonrecurring pro forma adjustments directly attributable to the acquisition included in this Supplemental Pro Forma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10. Subsequent Events for information regarding the Spontania acquisition.</w:t>
      </w:r>
    </w:p>
    <w:p>
      <w:pPr>
        <w:spacing w:after="0" w:line="22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4"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2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March 31, 2014 and December 31, 2013 were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2014</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62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19,737</w:t>
            </w:r>
          </w:p>
        </w:tc>
        <w:tc>
          <w:tcPr>
            <w:tcW w:w="0" w:type="dxa"/>
            <w:vAlign w:val="bottom"/>
          </w:tcPr>
          <w:p>
            <w:pPr>
              <w:spacing w:after="0"/>
              <w:rPr>
                <w:sz w:val="1"/>
                <w:szCs w:val="1"/>
                <w:color w:val="auto"/>
              </w:rPr>
            </w:pPr>
          </w:p>
        </w:tc>
      </w:tr>
      <w:tr>
        <w:trPr>
          <w:trHeight w:val="243"/>
        </w:trPr>
        <w:tc>
          <w:tcPr>
            <w:tcW w:w="5620" w:type="dxa"/>
            <w:vAlign w:val="bottom"/>
          </w:tcPr>
          <w:p>
            <w:pPr>
              <w:ind w:left="120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6,620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26,225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26,379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2013</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62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18,857</w:t>
            </w:r>
          </w:p>
        </w:tc>
        <w:tc>
          <w:tcPr>
            <w:tcW w:w="0" w:type="dxa"/>
            <w:vAlign w:val="bottom"/>
          </w:tcPr>
          <w:p>
            <w:pPr>
              <w:spacing w:after="0"/>
              <w:rPr>
                <w:sz w:val="1"/>
                <w:szCs w:val="1"/>
                <w:color w:val="auto"/>
              </w:rPr>
            </w:pPr>
          </w:p>
        </w:tc>
      </w:tr>
      <w:tr>
        <w:trPr>
          <w:trHeight w:val="243"/>
        </w:trPr>
        <w:tc>
          <w:tcPr>
            <w:tcW w:w="5620" w:type="dxa"/>
            <w:vAlign w:val="bottom"/>
          </w:tcPr>
          <w:p>
            <w:pPr>
              <w:ind w:left="120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6,658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25,490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March 31, 2014: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right"/>
              <w:ind w:right="513"/>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2014</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840"/>
              <w:spacing w:after="0"/>
              <w:rPr>
                <w:sz w:val="20"/>
                <w:szCs w:val="20"/>
                <w:color w:val="auto"/>
              </w:rPr>
            </w:pPr>
            <w:r>
              <w:rPr>
                <w:rFonts w:ascii="Arial" w:cs="Arial" w:eastAsia="Arial" w:hAnsi="Arial"/>
                <w:sz w:val="18"/>
                <w:szCs w:val="18"/>
                <w:color w:val="auto"/>
              </w:rPr>
              <w:t>Due within one year</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4,724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Due after one year through five years</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19,927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20,036</w:t>
            </w:r>
          </w:p>
        </w:tc>
        <w:tc>
          <w:tcPr>
            <w:tcW w:w="0" w:type="dxa"/>
            <w:vAlign w:val="bottom"/>
          </w:tcPr>
          <w:p>
            <w:pPr>
              <w:spacing w:after="0"/>
              <w:rPr>
                <w:sz w:val="1"/>
                <w:szCs w:val="1"/>
                <w:color w:val="auto"/>
              </w:rPr>
            </w:pPr>
          </w:p>
        </w:tc>
      </w:tr>
      <w:tr>
        <w:trPr>
          <w:trHeight w:val="243"/>
        </w:trPr>
        <w:tc>
          <w:tcPr>
            <w:tcW w:w="5460" w:type="dxa"/>
            <w:vAlign w:val="bottom"/>
          </w:tcPr>
          <w:p>
            <w:pPr>
              <w:ind w:left="840"/>
              <w:spacing w:after="0"/>
              <w:rPr>
                <w:sz w:val="20"/>
                <w:szCs w:val="20"/>
                <w:color w:val="auto"/>
              </w:rPr>
            </w:pPr>
            <w:r>
              <w:rPr>
                <w:rFonts w:ascii="Arial" w:cs="Arial" w:eastAsia="Arial" w:hAnsi="Arial"/>
                <w:sz w:val="18"/>
                <w:szCs w:val="18"/>
                <w:color w:val="auto"/>
              </w:rPr>
              <w:t>Due after five years through ten years</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available-for-sale securities</w:t>
            </w: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26,225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26,379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Intangible Assets</w:t>
            </w: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20" w:type="dxa"/>
            <w:vAlign w:val="bottom"/>
            <w:gridSpan w:val="3"/>
          </w:tcPr>
          <w:p>
            <w:pPr>
              <w:spacing w:after="0"/>
              <w:rPr>
                <w:sz w:val="20"/>
                <w:szCs w:val="20"/>
                <w:color w:val="auto"/>
              </w:rPr>
            </w:pPr>
            <w:r>
              <w:rPr>
                <w:rFonts w:ascii="Arial" w:cs="Arial" w:eastAsia="Arial" w:hAnsi="Arial"/>
                <w:sz w:val="18"/>
                <w:szCs w:val="18"/>
                <w:color w:val="auto"/>
                <w:w w:val="97"/>
              </w:rPr>
              <w:t>Intangible assets as of March 31, 2014 and December 31, 2013 consisted of the following:</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46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Estimated useful</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lives</w:t>
            </w:r>
          </w:p>
        </w:tc>
        <w:tc>
          <w:tcPr>
            <w:tcW w:w="380" w:type="dxa"/>
            <w:vAlign w:val="bottom"/>
          </w:tcPr>
          <w:p>
            <w:pPr>
              <w:spacing w:after="0"/>
              <w:rPr>
                <w:sz w:val="18"/>
                <w:szCs w:val="18"/>
                <w:color w:val="auto"/>
              </w:rPr>
            </w:pPr>
          </w:p>
        </w:tc>
        <w:tc>
          <w:tcPr>
            <w:tcW w:w="200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March 31, 2014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333"/>
              <w:spacing w:after="0"/>
              <w:rPr>
                <w:sz w:val="20"/>
                <w:szCs w:val="20"/>
                <w:color w:val="auto"/>
              </w:rPr>
            </w:pPr>
            <w:r>
              <w:rPr>
                <w:rFonts w:ascii="Arial" w:cs="Arial" w:eastAsia="Arial" w:hAnsi="Arial"/>
                <w:sz w:val="16"/>
                <w:szCs w:val="16"/>
                <w:b w:val="1"/>
                <w:bCs w:val="1"/>
                <w:color w:val="auto"/>
                <w:w w:val="95"/>
              </w:rPr>
              <w:t>December 31, 2013</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7 years</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 years</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15 years</w:t>
            </w: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Other</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5 years</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March 31, 2014 and March 31, 2013 was as follows:</w:t>
      </w:r>
    </w:p>
    <w:p>
      <w:pPr>
        <w:spacing w:after="0" w:line="185"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37465</wp:posOffset>
            </wp:positionV>
            <wp:extent cx="2795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80" w:lineRule="exact"/>
        <w:rPr>
          <w:sz w:val="20"/>
          <w:szCs w:val="20"/>
          <w:color w:val="auto"/>
        </w:rPr>
      </w:pPr>
    </w:p>
    <w:p>
      <w:pPr>
        <w:ind w:left="7920"/>
        <w:spacing w:after="0"/>
        <w:tabs>
          <w:tab w:leader="none" w:pos="1016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140" w:val="left"/>
          <w:tab w:leader="none" w:pos="8760" w:val="left"/>
          <w:tab w:leader="none" w:pos="9400" w:val="left"/>
          <w:tab w:leader="none" w:pos="11020" w:val="left"/>
        </w:tabs>
        <w:rPr>
          <w:sz w:val="20"/>
          <w:szCs w:val="20"/>
          <w:color w:val="auto"/>
        </w:rPr>
      </w:pPr>
      <w:r>
        <w:rPr>
          <w:rFonts w:ascii="Arial" w:cs="Arial" w:eastAsia="Arial" w:hAnsi="Arial"/>
          <w:sz w:val="18"/>
          <w:szCs w:val="18"/>
          <w:color w:val="auto"/>
        </w:rPr>
        <w:t>Amortization of intangible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143</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0" w:type="dxa"/>
            <w:vAlign w:val="bottom"/>
            <w:gridSpan w:val="2"/>
          </w:tcPr>
          <w:p>
            <w:pPr>
              <w:jc w:val="center"/>
              <w:ind w:left="1470"/>
              <w:spacing w:after="0"/>
              <w:rPr>
                <w:sz w:val="20"/>
                <w:szCs w:val="20"/>
                <w:color w:val="auto"/>
              </w:rPr>
            </w:pPr>
            <w:r>
              <w:rPr>
                <w:rFonts w:ascii="Arial" w:cs="Arial" w:eastAsia="Arial" w:hAnsi="Arial"/>
                <w:sz w:val="18"/>
                <w:szCs w:val="18"/>
                <w:b w:val="1"/>
                <w:bCs w:val="1"/>
                <w:color w:val="auto"/>
              </w:rPr>
              <w:t>CLEARONE, INC.</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0" w:type="dxa"/>
            <w:vAlign w:val="bottom"/>
            <w:gridSpan w:val="2"/>
          </w:tcPr>
          <w:p>
            <w:pPr>
              <w:jc w:val="center"/>
              <w:ind w:left="1510"/>
              <w:spacing w:after="0"/>
              <w:rPr>
                <w:sz w:val="20"/>
                <w:szCs w:val="20"/>
                <w:color w:val="auto"/>
              </w:rPr>
            </w:pPr>
            <w:r>
              <w:rPr>
                <w:rFonts w:ascii="Arial" w:cs="Arial" w:eastAsia="Arial" w:hAnsi="Arial"/>
                <w:sz w:val="18"/>
                <w:szCs w:val="18"/>
                <w:b w:val="1"/>
                <w:bCs w:val="1"/>
                <w:color w:val="auto"/>
                <w:w w:val="89"/>
              </w:rPr>
              <w:t>(Unaudited – Dollars in thousands)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7440" w:type="dxa"/>
            <w:vAlign w:val="bottom"/>
            <w:gridSpan w:val="5"/>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4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4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2014 (remainder)</w:t>
            </w:r>
          </w:p>
        </w:tc>
        <w:tc>
          <w:tcPr>
            <w:tcW w:w="4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4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5.  Inventories</w:t>
            </w:r>
          </w:p>
        </w:tc>
        <w:tc>
          <w:tcPr>
            <w:tcW w:w="4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40" w:type="dxa"/>
            <w:vAlign w:val="bottom"/>
            <w:gridSpan w:val="3"/>
            <w:vMerge w:val="continue"/>
          </w:tcPr>
          <w:p>
            <w:pPr>
              <w:spacing w:after="0"/>
              <w:rPr>
                <w:sz w:val="24"/>
                <w:szCs w:val="24"/>
                <w:color w:val="auto"/>
              </w:rPr>
            </w:pPr>
          </w:p>
        </w:tc>
        <w:tc>
          <w:tcPr>
            <w:tcW w:w="4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5"/>
          </w:tcPr>
          <w:p>
            <w:pPr>
              <w:spacing w:after="0"/>
              <w:rPr>
                <w:sz w:val="20"/>
                <w:szCs w:val="20"/>
                <w:color w:val="auto"/>
              </w:rPr>
            </w:pPr>
            <w:r>
              <w:rPr>
                <w:rFonts w:ascii="Arial" w:cs="Arial" w:eastAsia="Arial" w:hAnsi="Arial"/>
                <w:sz w:val="18"/>
                <w:szCs w:val="18"/>
                <w:color w:val="auto"/>
                <w:w w:val="92"/>
              </w:rPr>
              <w:t>Inventories, net of reserves, as of March 31, 2014 and December 31, 2013 consisted of the following:</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2014</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jc w:val="right"/>
              <w:ind w:right="331"/>
              <w:spacing w:after="0"/>
              <w:rPr>
                <w:sz w:val="20"/>
                <w:szCs w:val="20"/>
                <w:color w:val="auto"/>
              </w:rPr>
            </w:pPr>
            <w:r>
              <w:rPr>
                <w:rFonts w:ascii="Arial" w:cs="Arial" w:eastAsia="Arial" w:hAnsi="Arial"/>
                <w:sz w:val="16"/>
                <w:szCs w:val="16"/>
                <w:b w:val="1"/>
                <w:bCs w:val="1"/>
                <w:color w:val="auto"/>
                <w:w w:val="95"/>
              </w:rPr>
              <w:t>December 31, 2013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5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4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08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45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45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5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4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$1,578 and $1,520 as of March 31, 2014 and December 31, 2013, respectively. Consigned inventory represents inventory at distributors and other customers where revenue recognition criteria have not yet been achieved.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months ended March 31, 2014 and 2013, respectively.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20" w:type="dxa"/>
            <w:vAlign w:val="bottom"/>
            <w:gridSpan w:val="6"/>
          </w:tcPr>
          <w:p>
            <w:pPr>
              <w:jc w:val="right"/>
              <w:ind w:right="374"/>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120" w:type="dxa"/>
            <w:vAlign w:val="bottom"/>
          </w:tcPr>
          <w:p>
            <w:pPr>
              <w:spacing w:after="0"/>
              <w:rPr>
                <w:sz w:val="20"/>
                <w:szCs w:val="20"/>
                <w:color w:val="auto"/>
              </w:rPr>
            </w:pPr>
          </w:p>
        </w:tc>
        <w:tc>
          <w:tcPr>
            <w:tcW w:w="15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ind w:right="174"/>
              <w:spacing w:after="0"/>
              <w:rPr>
                <w:sz w:val="20"/>
                <w:szCs w:val="20"/>
                <w:color w:val="auto"/>
              </w:rPr>
            </w:pPr>
            <w:r>
              <w:rPr>
                <w:rFonts w:ascii="Arial" w:cs="Arial" w:eastAsia="Arial" w:hAnsi="Arial"/>
                <w:sz w:val="16"/>
                <w:szCs w:val="16"/>
                <w:b w:val="1"/>
                <w:bCs w:val="1"/>
                <w:color w:val="auto"/>
              </w:rPr>
              <w:t>2013</w:t>
            </w:r>
          </w:p>
        </w:tc>
        <w:tc>
          <w:tcPr>
            <w:tcW w:w="600" w:type="dxa"/>
            <w:vAlign w:val="bottom"/>
          </w:tcPr>
          <w:p>
            <w:pPr>
              <w:spacing w:after="0"/>
              <w:rPr>
                <w:sz w:val="20"/>
                <w:szCs w:val="20"/>
                <w:color w:val="auto"/>
              </w:rPr>
            </w:pPr>
          </w:p>
        </w:tc>
      </w:tr>
      <w:tr>
        <w:trPr>
          <w:trHeight w:val="33"/>
        </w:trPr>
        <w:tc>
          <w:tcPr>
            <w:tcW w:w="7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on valuation of inventory and write-off of obsolete inventory</w:t>
            </w:r>
          </w:p>
        </w:tc>
        <w:tc>
          <w:tcPr>
            <w:tcW w:w="1520" w:type="dxa"/>
            <w:vAlign w:val="bottom"/>
            <w:tcBorders>
              <w:bottom w:val="single" w:sz="8" w:color="CCEEFF"/>
            </w:tcBorders>
            <w:gridSpan w:val="2"/>
            <w:shd w:val="clear" w:color="auto" w:fill="CCEEFF"/>
          </w:tcPr>
          <w:p>
            <w:pPr>
              <w:jc w:val="right"/>
              <w:ind w:right="119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7120" w:type="dxa"/>
            <w:vAlign w:val="bottom"/>
          </w:tcPr>
          <w:p>
            <w:pPr>
              <w:spacing w:after="0"/>
              <w:rPr>
                <w:sz w:val="20"/>
                <w:szCs w:val="20"/>
                <w:color w:val="auto"/>
              </w:rPr>
            </w:pPr>
            <w:r>
              <w:rPr>
                <w:rFonts w:ascii="Arial" w:cs="Arial" w:eastAsia="Arial" w:hAnsi="Arial"/>
                <w:sz w:val="18"/>
                <w:szCs w:val="18"/>
                <w:b w:val="1"/>
                <w:bCs w:val="1"/>
                <w:color w:val="auto"/>
              </w:rPr>
              <w:t>6.  Share-based Compensation</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32"/>
        </w:trPr>
        <w:tc>
          <w:tcPr>
            <w:tcW w:w="7120" w:type="dxa"/>
            <w:vAlign w:val="bottom"/>
          </w:tcPr>
          <w:p>
            <w:pPr>
              <w:spacing w:after="0"/>
              <w:rPr>
                <w:sz w:val="20"/>
                <w:szCs w:val="20"/>
                <w:color w:val="auto"/>
              </w:rPr>
            </w:pPr>
            <w:r>
              <w:rPr>
                <w:rFonts w:ascii="Arial" w:cs="Arial" w:eastAsia="Arial" w:hAnsi="Arial"/>
                <w:sz w:val="18"/>
                <w:szCs w:val="18"/>
                <w:color w:val="auto"/>
              </w:rPr>
              <w:t>Share-based compensation expense has been recorded as follows:</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72"/>
        </w:trPr>
        <w:tc>
          <w:tcPr>
            <w:tcW w:w="7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6"/>
          </w:tcPr>
          <w:p>
            <w:pPr>
              <w:jc w:val="right"/>
              <w:ind w:right="314"/>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24"/>
                <w:szCs w:val="24"/>
                <w:color w:val="auto"/>
              </w:rPr>
            </w:pPr>
          </w:p>
        </w:tc>
      </w:tr>
      <w:tr>
        <w:trPr>
          <w:trHeight w:val="33"/>
        </w:trPr>
        <w:tc>
          <w:tcPr>
            <w:tcW w:w="7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120" w:type="dxa"/>
            <w:vAlign w:val="bottom"/>
          </w:tcPr>
          <w:p>
            <w:pPr>
              <w:spacing w:after="0"/>
              <w:rPr>
                <w:sz w:val="20"/>
                <w:szCs w:val="20"/>
                <w:color w:val="auto"/>
              </w:rPr>
            </w:pPr>
          </w:p>
        </w:tc>
        <w:tc>
          <w:tcPr>
            <w:tcW w:w="15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ind w:right="174"/>
              <w:spacing w:after="0"/>
              <w:rPr>
                <w:sz w:val="20"/>
                <w:szCs w:val="20"/>
                <w:color w:val="auto"/>
              </w:rPr>
            </w:pPr>
            <w:r>
              <w:rPr>
                <w:rFonts w:ascii="Arial" w:cs="Arial" w:eastAsia="Arial" w:hAnsi="Arial"/>
                <w:sz w:val="16"/>
                <w:szCs w:val="16"/>
                <w:b w:val="1"/>
                <w:bCs w:val="1"/>
                <w:color w:val="auto"/>
              </w:rPr>
              <w:t>2013</w:t>
            </w:r>
          </w:p>
        </w:tc>
        <w:tc>
          <w:tcPr>
            <w:tcW w:w="600" w:type="dxa"/>
            <w:vAlign w:val="bottom"/>
          </w:tcPr>
          <w:p>
            <w:pPr>
              <w:spacing w:after="0"/>
              <w:rPr>
                <w:sz w:val="20"/>
                <w:szCs w:val="20"/>
                <w:color w:val="auto"/>
              </w:rPr>
            </w:pPr>
          </w:p>
        </w:tc>
      </w:tr>
      <w:tr>
        <w:trPr>
          <w:trHeight w:val="33"/>
        </w:trPr>
        <w:tc>
          <w:tcPr>
            <w:tcW w:w="7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520" w:type="dxa"/>
            <w:vAlign w:val="bottom"/>
            <w:tcBorders>
              <w:bottom w:val="single" w:sz="8" w:color="CCEEFF"/>
            </w:tcBorders>
            <w:gridSpan w:val="2"/>
            <w:shd w:val="clear" w:color="auto" w:fill="CCEEFF"/>
          </w:tcPr>
          <w:p>
            <w:pPr>
              <w:jc w:val="right"/>
              <w:ind w:right="123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5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7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7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123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5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31, 2014, the total remaining unrecognized compensation cost related to non-vested stock options, net of forfeitures, was approximately $641, which will be recognized over a weighted average period of 2.31 years.</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shareholders’ equity during the three months ended March 31, 2014 and 2013,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8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rPr>
              <w:t>Three months ended March 31,</w:t>
            </w:r>
          </w:p>
        </w:tc>
        <w:tc>
          <w:tcPr>
            <w:tcW w:w="74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6"/>
                <w:szCs w:val="16"/>
                <w:b w:val="1"/>
                <w:bCs w:val="1"/>
                <w:color w:val="auto"/>
              </w:rPr>
              <w:t>2014</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6"/>
                <w:szCs w:val="16"/>
                <w:b w:val="1"/>
                <w:bCs w:val="1"/>
                <w:color w:val="auto"/>
              </w:rPr>
              <w:t>2013</w:t>
            </w:r>
          </w:p>
        </w:tc>
        <w:tc>
          <w:tcPr>
            <w:tcW w:w="74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period</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70,335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66,668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731</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1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stock option exercise</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for acquisitions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Unrealized gain or loss on investments, net of tax</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the period</w:t>
            </w:r>
          </w:p>
        </w:tc>
        <w:tc>
          <w:tcPr>
            <w:tcW w:w="1320" w:type="dxa"/>
            <w:vAlign w:val="bottom"/>
            <w:tcBorders>
              <w:bottom w:val="single" w:sz="8" w:color="auto"/>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73,769</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66,960</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0"/>
          <w:szCs w:val="20"/>
          <w:b w:val="1"/>
          <w:bCs w:val="1"/>
          <w:color w:val="auto"/>
        </w:rPr>
      </w:pPr>
      <w:r>
        <w:rPr>
          <w:rFonts w:ascii="Arial" w:cs="Arial" w:eastAsia="Arial" w:hAnsi="Arial"/>
          <w:sz w:val="18"/>
          <w:szCs w:val="18"/>
          <w:b w:val="1"/>
          <w:bCs w:val="1"/>
          <w:color w:val="auto"/>
        </w:rPr>
        <w:t>Fair Value Measurements</w:t>
      </w:r>
    </w:p>
    <w:p>
      <w:pPr>
        <w:spacing w:after="0" w:line="30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substantial majority of the Company’s financial instruments are valued using quoted prices in active markets or based on other observable inputs. The following table sets forth the fair value of the financial instruments re-measured by the Company as of March 31, 2014 and December 31, 2013: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2014</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200" w:type="dxa"/>
            <w:vAlign w:val="bottom"/>
          </w:tcPr>
          <w:p>
            <w:pPr>
              <w:jc w:val="right"/>
              <w:ind w:right="99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19,737</w:t>
            </w: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19,737</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6,642</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6,642</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26,379</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26,379</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75"/>
        </w:trPr>
        <w:tc>
          <w:tcPr>
            <w:tcW w:w="470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2013</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200" w:type="dxa"/>
            <w:vAlign w:val="bottom"/>
          </w:tcPr>
          <w:p>
            <w:pPr>
              <w:jc w:val="right"/>
              <w:ind w:right="99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18,857</w:t>
            </w: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18,857</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6,669</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25,526</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25,526</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Company's forecasted effective tax rate at March 31, 2014 is 35.0%, a 1.7% increase from the 33.3% effective tax rate recorded at December 31, 2013. The forecasted effective tax rate of 35.0% excludes jurisdictions for which no benefit from forecasted current year losses is anticipated. Including losses from such jurisdictions results in a forecasted effective tax rate of 43.2%. Our forecasted effective tax rate could fluctuate significantly on a quarterly basis and could change, to the extent that earnings in countries with tax rates that differ from that of the U.S. differ, from amounts anticipated at March 31, 2014.</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discrete benefit of $82, the effective tax rate for the quarter ended March 31, 2014 is 41.9%. The discrete benefit is primarily attributable to tax benefits of share-based compensation.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announced December 20, 2013 ClearOne, Inc. entered into an agreement to acquire the Spontania business of Spain-based Dialcom Networks, S.L., which was a software-based video collaboration product line. The Spontania purchase closed on April 1, 2014. The aggregate purchase price under the terms of the transaction was approximately €3.66 million in cash (approximately US $5.0 million), after certain closing adjustments. ClearOne did not assume any debt or cash. The cash purchase price was paid out of cash on hand.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press releases and reports filed with the SEC, including our Annual Report on Form 10-K for the year ended December 31, 2013.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2013.</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both large and small businesses. We occupy the number one global market share position, with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19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Leverage the video conferencing, streaming and digital signage technologies we have acquired over the years to enter new growth markets;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Capitalize on the increasing adoption of unified communications and introduce new products through information technology channels;</w:t>
      </w:r>
    </w:p>
    <w:p>
      <w:pPr>
        <w:spacing w:after="0" w:line="23"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continue to improve our existing high-quality products and develop new products for the burgeoning conferencing and collaboration and multimedia streaming markets and focus on strategic initiatives to achieve our business goals.</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revenues were $12.7 million and $11.3 million during the three months ended March 31, 2014 and 2013, respectively. The increase in revenues was due to increased sales of microphone products and professional audio products. Our gross profit increased by $703 thousand during the three months ended March 31, 2014 compared to the three months ended March 31, 2013. Net income decreased by $241 thousand during the three months ended March 31, 2014 compared to the three months ended March 31, 2013. Net income for the three months ended March 31, 2014 decreased primarily due to acquisition expenses related to Sabine and Spontania acquisitions. Results also reflect increased tax expense for this quarter as Congress did not extend certain R&amp;D tax credits.</w:t>
      </w:r>
    </w:p>
    <w:p>
      <w:pPr>
        <w:spacing w:after="0" w:line="158"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expect continued growth in revenue from microphone products and new products. However the prospects of growth and its magnitude in both revenues and profits in the near future would depend on the strength of the global economy and the penetration level of our new products, including products added through acquisitions. We continue to closely monitor the economic situation caused by the US government's budget cuts and global economic events.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2014, and 2013</w:t>
      </w:r>
    </w:p>
    <w:p>
      <w:pPr>
        <w:spacing w:after="0" w:line="225" w:lineRule="exact"/>
        <w:rPr>
          <w:sz w:val="20"/>
          <w:szCs w:val="20"/>
          <w:color w:val="auto"/>
        </w:rPr>
      </w:pPr>
    </w:p>
    <w:p>
      <w:pPr>
        <w:jc w:val="both"/>
        <w:ind w:right="22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months ended March 31, 2014 and 2013, respectively, together with the percentage of total revenue which each such item represents: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Three months ended March 31,</w:t>
            </w:r>
          </w:p>
        </w:tc>
        <w:tc>
          <w:tcPr>
            <w:tcW w:w="1560" w:type="dxa"/>
            <w:vAlign w:val="bottom"/>
            <w:tcBorders>
              <w:bottom w:val="single" w:sz="8" w:color="auto"/>
            </w:tcBorders>
          </w:tcPr>
          <w:p>
            <w:pPr>
              <w:spacing w:after="0"/>
              <w:rPr>
                <w:sz w:val="16"/>
                <w:szCs w:val="16"/>
                <w:color w:val="auto"/>
              </w:rPr>
            </w:pPr>
          </w:p>
        </w:tc>
      </w:tr>
      <w:tr>
        <w:trPr>
          <w:trHeight w:val="264"/>
        </w:trPr>
        <w:tc>
          <w:tcPr>
            <w:tcW w:w="50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 Revenue</w:t>
            </w:r>
          </w:p>
        </w:tc>
        <w:tc>
          <w:tcPr>
            <w:tcW w:w="360" w:type="dxa"/>
            <w:vAlign w:val="bottom"/>
          </w:tcPr>
          <w:p>
            <w:pPr>
              <w:spacing w:after="0"/>
              <w:rPr>
                <w:sz w:val="22"/>
                <w:szCs w:val="22"/>
                <w:color w:val="auto"/>
              </w:rPr>
            </w:pPr>
          </w:p>
        </w:tc>
        <w:tc>
          <w:tcPr>
            <w:tcW w:w="1120" w:type="dxa"/>
            <w:vAlign w:val="bottom"/>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560" w:type="dxa"/>
            <w:vAlign w:val="bottom"/>
          </w:tcPr>
          <w:p>
            <w:pPr>
              <w:jc w:val="right"/>
              <w:ind w:right="280"/>
              <w:spacing w:after="0"/>
              <w:rPr>
                <w:sz w:val="20"/>
                <w:szCs w:val="20"/>
                <w:color w:val="auto"/>
              </w:rPr>
            </w:pPr>
            <w:r>
              <w:rPr>
                <w:rFonts w:ascii="Arial" w:cs="Arial" w:eastAsia="Arial" w:hAnsi="Arial"/>
                <w:sz w:val="14"/>
                <w:szCs w:val="14"/>
                <w:b w:val="1"/>
                <w:bCs w:val="1"/>
                <w:color w:val="auto"/>
              </w:rPr>
              <w:t>% of Revenue</w:t>
            </w:r>
          </w:p>
        </w:tc>
      </w:tr>
      <w:tr>
        <w:trPr>
          <w:trHeight w:val="236"/>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880" w:type="dxa"/>
            <w:vAlign w:val="bottom"/>
            <w:tcBorders>
              <w:top w:val="single" w:sz="8" w:color="auto"/>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12,708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8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5,006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4,294</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3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6,999</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33"/>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product development</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8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3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income</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1,069</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8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3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before income taxes</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1,055</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8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3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Revenue for the three months ended March 31, 2014 was approximately $12.7 million, an increase of approximately 13% over the three months ended March 31, 2013. The increase in revenue was due to increased demand in North America and EMEA (Europe, Middle East, and Africa). The increase is mainly attributable to growth in demand for our microphone products and other professional audio products partially offset by decline in unified communications and video products revenue.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change in deferred revenue during the three months ended March 31, 2014 and 2013 was a net decrease in deferred revenue of $51 thousand and a net increase in deferred revenue of $565 thousand, respectively. See “Critical Accounting Policies and Estimates” under “Revenue and Associated Allowance for Revenue Adjustments and Doubtful Accounts” below for a detailed discussion of deferred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Costs of Goods Sold and Gross Profit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gross profit margin (GPM), which is gross profit as a percentage of revenue, was 61% and 62% for the three months ended March 31, 2014 and 2013, respectively. The 1% decrease in gross margin was primarily due to an increase in obsolescence related charges.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Operating Expenses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Operating expenses for the three months ended March 31, 2014 increased by approximately $1.0 million to $6.9 million compared to $5.9 million for the three months ended March 31, 2013.</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S&amp;M expenses of approximately $2.7 million for the three months ended March 31, 2014 increased $469 thousand, or 21%, when compared to S&amp;M expenses of approximately $2.3 million for the three months ended March 31, 2013 due to increases in commission and bonus payments to employees and independent sales agents, increased headcount, and increased marketing expenses.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R&amp;D expenses of approximately $2.2 million for the three months ended March 31, 2014 increased by $375 thousand, or 20%, when compared to R&amp;D expenses of approximately $1.9 million for the three months ended March 31, 2013. R&amp;D expenses increased due to increased R&amp;D project related cost.</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costs, and corporate administrative costs, including finance, information technology and human resources.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G&amp;A expenses of approximately $2.0 million for the three months ended March 31, 2014 increased by $167 thousand, or 9%, when compared to G&amp;A expenses of approximately $1.8 million for the three months ended March 31, 2013. G&amp;A expenses increased due to acquisition related costs, and increases in amortization of intangibles, bad debts expense, audit and accounting fees and legal fees.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continue to incur legal expenses due to various legal proceedings explained in detail in our Form 10-K for the year ended December 31, 2013.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Provision for income taxes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March 31, 2014, we accrued income taxes at the forecasted effective tax rate of 35.0% as compared to the forecasted effective tax rate of 33.4% used during the three months ended March 31, 2013. The 1.6% increase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line="11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forecasted effective tax rate was primarily due to the non-availability of Federal R&amp;D tax credits, since Congress has not extended this benefit yet for 2014. In addition, a discrete tax benefit of $82 is primarily attributable to tax benefits of share-based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2014, our cash and cash equivalents were approximately $7.6 million, a decrease of approximately $9.6 million compared to cash and cash equivalents of approximately $17.2 million as of December 31, 2013.</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cash provided by operating activities was $3.6 million during the three months ended March 31, 2014, an increase in cash flow of approximately $15.9 million compared to $12.4 million of cash used in operating activities during the three months ended March 31, 2013. The increase in cash flow was primarily due to reduced payment of income taxes in the first quarter of 2014 with the remaining differences due to the timing of receipts and payments of working capital, which include accounts receivable, accounts payable, accrued expenses, inventories, and prepaid expenses and other assets. In the first quarter of 2013 we paid income taxes related to arbitration settlement proceeds received in the last quarter of 2012.</w:t>
      </w:r>
    </w:p>
    <w:p>
      <w:pPr>
        <w:spacing w:after="0" w:line="17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Net cash used in investing activities was approximately $14.2 million during the three months ended March 31, 2014, a comparative net outflow of cash of approximately $14.1 million when compared to $62 thousand of cash used in investing activities during the three months ended March 31, 2013. Net cash used in investing activities during the three months ended March 31, 2014 included payments relating to the acquisition of the business of Sabine for $8.1 million and payments relating to the acquiring the Spontania product line of $5.0 million.</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Net cash provided by financing activities was approximately $1.1 million during the three months ended March 31, 2014, a comparative net inflow of cash of approximately $1.6 million when compared to $498 thousand of cash used in investing activities during the three months ended March 31, 2013. Financing activities in the first quarter of 2014 primarily consisted of cash inflows of about $1.0 million from the exercise of stock options, while financing activities in the same period in 2013 consisted mostly of cash outflows of about $498 thousand related to repurchase of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our working capital was $34.2 million as compared to $39.4 million as of December 31, 2013.</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current cash balance,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recent acquisitions and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finance the repurchase of our outstanding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Our significant accounting policies are described in Note 2 of the Notes to the Consolidated Financial Statements included in our Annual Report on Form 10-K for the year ended December 31, 2013 and Note 1 to the Condensed Consolidated Financial Statements included herein. We believe the policies described below identify our most critical accounting policies, which are the policies that are both important to the representation of our financial condition and results and require our most difficult,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subjective or complex judgments, often as a result of the need to make estimates about the effect of matters that are inherently uncertain.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 and Associated Allowances for Revenue Adjustments and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a right of return on product sales to major distributors under a product rotation program. Under this seldom 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w:t>
      </w:r>
    </w:p>
    <w:p>
      <w:pPr>
        <w:sectPr>
          <w:pgSz w:w="11900" w:h="16948" w:orient="portrait"/>
          <w:cols w:equalWidth="0" w:num="1">
            <w:col w:w="11420"/>
          </w:cols>
          <w:pgMar w:left="240" w:top="125"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physical inventory verifications and analytical reviews, would help us identify and prevent any material errors in such reports.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 as of March 31, 2014 and December 31,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2014</w:t>
            </w:r>
          </w:p>
        </w:tc>
        <w:tc>
          <w:tcPr>
            <w:tcW w:w="260" w:type="dxa"/>
            <w:vAlign w:val="bottom"/>
          </w:tcPr>
          <w:p>
            <w:pPr>
              <w:spacing w:after="0"/>
              <w:rPr>
                <w:sz w:val="18"/>
                <w:szCs w:val="18"/>
                <w:color w:val="auto"/>
              </w:rPr>
            </w:pPr>
          </w:p>
        </w:tc>
        <w:tc>
          <w:tcPr>
            <w:tcW w:w="1800" w:type="dxa"/>
            <w:vAlign w:val="bottom"/>
          </w:tcPr>
          <w:p>
            <w:pPr>
              <w:jc w:val="right"/>
              <w:ind w:right="292"/>
              <w:spacing w:after="0"/>
              <w:rPr>
                <w:sz w:val="20"/>
                <w:szCs w:val="20"/>
                <w:color w:val="auto"/>
              </w:rPr>
            </w:pPr>
            <w:r>
              <w:rPr>
                <w:rFonts w:ascii="Arial" w:cs="Arial" w:eastAsia="Arial" w:hAnsi="Arial"/>
                <w:sz w:val="16"/>
                <w:szCs w:val="16"/>
                <w:b w:val="1"/>
                <w:bCs w:val="1"/>
                <w:color w:val="auto"/>
                <w:w w:val="97"/>
              </w:rPr>
              <w:t>December 31, 2013</w:t>
            </w: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1,520</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Goodwill and Intangible Assets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There were no impairments recorded in 2014 or 2013 as no impairment indicators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existed. However, due to uncertainty in the industrial, technological, and competitive environments in which we operate, we might be required to exit or dispose of the assets acquired through our acquisitions, which could result in an impairment of goodwill and intangible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Long-Lived Assets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Accounting for Income Taxes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2013 and determined that based upon available evidence it is more likely than not that certain of our deferred tax assets related to capital loss carryovers and state research and development credits will not be realized and, accordingly, we have recorded a valuation allowance against these deferred tax assets in the amount of $378 thousand.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Lower-of-Cost or Market Adjustments and Reserves for Excess and Obsolete Inventory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Share-Based Compensation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liabilities in exchange for goods or services that are based on the fair value of the entity’s equity instruments or that may be settled by the issuance of those equity instruments.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March 31, 2014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March 31, 2014 to ensure that information required to be disclosed by us in reports we file or submit under the Exchange Act is recorded, processed, summarized and reported as specified in the SEC’s rules and forms.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2014 that materially affected, or that we believe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is an update to the status of the legal proceedings and commitments and contingencies reported in our Form 10-K for the year ended December 31, 2013 under Part I, Item 3. Legal Proceedings and Note 8 - Commitments and Contingencies of the Notes to Consolidated Financial Statements (Part II, Item 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Former Officer Indemnification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July 2007 and January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 In December 2003, we entered into indemnification agreements with each former officer, requiring payment of all reasonable attorneys’ fees and costs incurred in defending against the charges in certain circumstances consistent with and subject to limitations imposed by our bylaws and applicable law. In total, we paid approximately $3,390,000 in attorneys’ fees and costs to defend against the charges. In February 2009, Flood was convicted on nine counts and Strohm was convicted on one count. In June 2010, Flood was sentenced to four years in prison and three years of probation and Strohm was sentenced to two years of probation plus 150 hours of community service. Flood’s and Strohm’s respective appeals have been exhausted and their convictions were affirmed by the Tenth Circuit Court of Appeals in Denver.</w:t>
      </w:r>
    </w:p>
    <w:p>
      <w:pPr>
        <w:spacing w:after="0" w:line="162" w:lineRule="exact"/>
        <w:rPr>
          <w:sz w:val="20"/>
          <w:szCs w:val="20"/>
          <w:color w:val="auto"/>
        </w:rPr>
      </w:pPr>
    </w:p>
    <w:p>
      <w:pPr>
        <w:jc w:val="both"/>
        <w:ind w:right="240"/>
        <w:spacing w:after="0" w:line="303" w:lineRule="auto"/>
        <w:rPr>
          <w:sz w:val="20"/>
          <w:szCs w:val="20"/>
          <w:color w:val="auto"/>
        </w:rPr>
      </w:pPr>
      <w:r>
        <w:rPr>
          <w:rFonts w:ascii="Arial" w:cs="Arial" w:eastAsia="Arial" w:hAnsi="Arial"/>
          <w:sz w:val="16"/>
          <w:szCs w:val="16"/>
          <w:b w:val="1"/>
          <w:bCs w:val="1"/>
          <w:color w:val="auto"/>
        </w:rPr>
        <w:t>Flood</w:t>
      </w:r>
      <w:r>
        <w:rPr>
          <w:rFonts w:ascii="Arial" w:cs="Arial" w:eastAsia="Arial" w:hAnsi="Arial"/>
          <w:sz w:val="16"/>
          <w:szCs w:val="16"/>
          <w:color w:val="auto"/>
        </w:rPr>
        <w:t>: In August 2008, Flood filed a lawsuit in Federal District Court for the District of Utah, seeking to compel us to pay her attorneys’ fees and costs to</w:t>
      </w:r>
      <w:r>
        <w:rPr>
          <w:rFonts w:ascii="Arial" w:cs="Arial" w:eastAsia="Arial" w:hAnsi="Arial"/>
          <w:sz w:val="16"/>
          <w:szCs w:val="16"/>
          <w:b w:val="1"/>
          <w:bCs w:val="1"/>
          <w:color w:val="auto"/>
        </w:rPr>
        <w:t xml:space="preserve"> </w:t>
      </w:r>
      <w:r>
        <w:rPr>
          <w:rFonts w:ascii="Arial" w:cs="Arial" w:eastAsia="Arial" w:hAnsi="Arial"/>
          <w:sz w:val="16"/>
          <w:szCs w:val="16"/>
          <w:color w:val="auto"/>
        </w:rPr>
        <w:t>defend against the criminal charges. The District Court issued a preliminary injunction in January 2009 requiring us to pay Flood’s criminal legal fees and costs through trial. Pursuant to the Court’s order, ClearOne paid approximately $373,000 to Flood’s attorneys and approximately $248,000 into the Court’s escrow. In July 2009, ClearOne asserted counterclaims against Flood and sought to recover $3,390,000 plus interest, costs and attorneys' fees.</w:t>
      </w:r>
    </w:p>
    <w:p>
      <w:pPr>
        <w:spacing w:after="0" w:line="15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Tenth Circuit issued a ruling in August 2010 vacating the District Court’s preliminary injunction on the grounds that it rested on a legally erroneous interpretation of Flood’s indemnification agreement. ClearOne filed a motion in the District Court seeking return of the monies paid by ClearOne pursuant to the Court’s order. The District Court granted ClearOne’s motion in January 2012 for return of the $248,000 held in the Court’s escrow, but denied the motion with respect to the $373,000 paid to Flood’s attorneys.</w:t>
      </w:r>
    </w:p>
    <w:p>
      <w:pPr>
        <w:spacing w:after="0" w:line="1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or about March 1, 2013, Flood filed for personal bankruptcy in the U.S. Bankruptcy Court for the Eastern District of Virginia. On March 19, 2013, the District Court issued an order staying the Utah case. Currently pending before the bankruptcy court are ClearOne’s and Flood’s cross-motions for summary judgment on the issue of the dischargeability in bankruptcy of Flood’s debt to ClearOne for the criminal defense fees advanced on her behalf.</w:t>
      </w:r>
    </w:p>
    <w:p>
      <w:pPr>
        <w:spacing w:after="0" w:line="143" w:lineRule="exact"/>
        <w:rPr>
          <w:sz w:val="20"/>
          <w:szCs w:val="20"/>
          <w:color w:val="auto"/>
        </w:rPr>
      </w:pPr>
    </w:p>
    <w:p>
      <w:pPr>
        <w:jc w:val="both"/>
        <w:ind w:right="160"/>
        <w:spacing w:after="0" w:line="314" w:lineRule="auto"/>
        <w:rPr>
          <w:sz w:val="20"/>
          <w:szCs w:val="20"/>
          <w:color w:val="auto"/>
        </w:rPr>
      </w:pPr>
      <w:r>
        <w:rPr>
          <w:rFonts w:ascii="Arial" w:cs="Arial" w:eastAsia="Arial" w:hAnsi="Arial"/>
          <w:sz w:val="16"/>
          <w:szCs w:val="16"/>
          <w:b w:val="1"/>
          <w:bCs w:val="1"/>
          <w:color w:val="auto"/>
        </w:rPr>
        <w:t>Strohm</w:t>
      </w:r>
      <w:r>
        <w:rPr>
          <w:rFonts w:ascii="Arial" w:cs="Arial" w:eastAsia="Arial" w:hAnsi="Arial"/>
          <w:sz w:val="16"/>
          <w:szCs w:val="16"/>
          <w:color w:val="auto"/>
        </w:rPr>
        <w:t>: Strohm and her counsel (“Dorsey”) filed a lawsuit in August 2008 in the Third Judicial District Court in Salt Lake City, Utah seeking to compel us</w:t>
      </w:r>
      <w:r>
        <w:rPr>
          <w:rFonts w:ascii="Arial" w:cs="Arial" w:eastAsia="Arial" w:hAnsi="Arial"/>
          <w:sz w:val="16"/>
          <w:szCs w:val="16"/>
          <w:b w:val="1"/>
          <w:bCs w:val="1"/>
          <w:color w:val="auto"/>
        </w:rPr>
        <w:t xml:space="preserve"> </w:t>
      </w:r>
      <w:r>
        <w:rPr>
          <w:rFonts w:ascii="Arial" w:cs="Arial" w:eastAsia="Arial" w:hAnsi="Arial"/>
          <w:sz w:val="16"/>
          <w:szCs w:val="16"/>
          <w:color w:val="auto"/>
        </w:rPr>
        <w:t>to pay Strohm’s attorneys’ fees and costs to defend her against the criminal charges, plus interest, and for attorneys’ fees in connection with the civil action. ClearOne asserted counterclaims against Strohm in August 2009 seeking to recover $3,296,000 plus interest, costs and attorneys' fees.</w:t>
      </w:r>
    </w:p>
    <w:p>
      <w:pPr>
        <w:spacing w:after="0" w:line="14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District Court entered Judgment against ClearOne in June 2011 for $973,000 in pre-verdict fees and expenses in the criminal case, which amount was paid by ClearOne to Dorsey on February 1, 2011, plus $362,000 in interest at 18% through February 1, 2011. The Judgment also included $865,000 in civil case fees and expenses plus interest. ClearOne posted a cash bond to cover the civil case fees and interest amounts pending appeal by both sides.</w:t>
      </w:r>
    </w:p>
    <w:p>
      <w:pPr>
        <w:spacing w:after="0" w:line="14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On April 9, 2013, the Utah Supreme Court ruled that Dorsey is not entitled to recover attorney’s fees in connection with its civil action against ClearOne, but that Strohm is entitled to recover post-verdict criminal fees incurred in connection with Strohm’s sentencing and appeal. On November 27, 2013, the parties entered into a settlement agreement providing that $401,000 from the cash bond be returned to ClearOne and the lawsuit was dismissed.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17"/>
                <w:szCs w:val="17"/>
                <w:color w:val="auto"/>
              </w:rPr>
            </w:pPr>
          </w:p>
        </w:tc>
        <w:tc>
          <w:tcPr>
            <w:tcW w:w="9560" w:type="dxa"/>
            <w:vAlign w:val="bottom"/>
            <w:gridSpan w:val="3"/>
          </w:tcPr>
          <w:p>
            <w:pPr>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w w:val="90"/>
              </w:rPr>
              <w:t>Framework Agreement between ClearOne, Inc. and Dialcom Networks S.L., dated December 20, 2013 (incorporated by reference to</w:t>
            </w:r>
          </w:p>
        </w:tc>
      </w:tr>
      <w:tr>
        <w:trPr>
          <w:trHeight w:val="230"/>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Exhibit 10.1 of the Company's Form 8-K filed on April 7, 2014)</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w w:val="91"/>
              </w:rPr>
              <w:t>Amendment to Framework Agreement between ClearOne, Inc. and Dialcom Networks S.L., dated March 31, 2014 (incorporated by</w:t>
            </w:r>
          </w:p>
        </w:tc>
      </w:tr>
      <w:tr>
        <w:trPr>
          <w:trHeight w:val="230"/>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reference to Exhibit 10.2 of the Company's Form 8-K filed on April 7, 2014)</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Purchase Agreement between ClearOne, Inc. and Dialcom Networks S.L., dated March 31, 2014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868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8680" w:type="dxa"/>
            <w:vAlign w:val="bottom"/>
            <w:gridSpan w:val="2"/>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868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8680" w:type="dxa"/>
            <w:vAlign w:val="bottom"/>
            <w:gridSpan w:val="2"/>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72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XBRL Instance Document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72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72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72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72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72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891"/>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80" w:type="dxa"/>
            <w:vAlign w:val="bottom"/>
            <w:gridSpan w:val="2"/>
          </w:tcPr>
          <w:p>
            <w:pPr>
              <w:ind w:left="310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00"/>
          </w:cols>
          <w:pgMar w:left="240" w:top="121" w:right="4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00"/>
          </w:cols>
          <w:pgMar w:left="240" w:top="121" w:right="1059"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PURCHASE AGREEMENT</w:t>
      </w:r>
    </w:p>
    <w:p>
      <w:pPr>
        <w:spacing w:after="0" w:line="200" w:lineRule="exact"/>
        <w:rPr>
          <w:sz w:val="20"/>
          <w:szCs w:val="20"/>
          <w:color w:val="auto"/>
        </w:rPr>
      </w:pPr>
    </w:p>
    <w:p>
      <w:pPr>
        <w:spacing w:after="0" w:line="238"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CLEARONE, INC.</w:t>
      </w:r>
    </w:p>
    <w:p>
      <w:pPr>
        <w:spacing w:after="0" w:line="200" w:lineRule="exact"/>
        <w:rPr>
          <w:sz w:val="20"/>
          <w:szCs w:val="20"/>
          <w:color w:val="auto"/>
        </w:rPr>
      </w:pPr>
    </w:p>
    <w:p>
      <w:pPr>
        <w:spacing w:after="0" w:line="238"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26"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DIALCOM NETWORKS S.L.</w:t>
      </w:r>
    </w:p>
    <w:p>
      <w:pPr>
        <w:spacing w:after="0" w:line="200" w:lineRule="exact"/>
        <w:rPr>
          <w:sz w:val="20"/>
          <w:szCs w:val="20"/>
          <w:color w:val="auto"/>
        </w:rPr>
      </w:pPr>
    </w:p>
    <w:p>
      <w:pPr>
        <w:spacing w:after="0" w:line="232"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M</w:t>
      </w:r>
      <w:r>
        <w:rPr>
          <w:rFonts w:ascii="Arial" w:cs="Arial" w:eastAsia="Arial" w:hAnsi="Arial"/>
          <w:sz w:val="20"/>
          <w:szCs w:val="20"/>
          <w:color w:val="auto"/>
        </w:rPr>
        <w:t>arch 31</w:t>
      </w:r>
      <w:r>
        <w:rPr>
          <w:rFonts w:ascii="Arial" w:cs="Arial" w:eastAsia="Arial" w:hAnsi="Arial"/>
          <w:sz w:val="25"/>
          <w:szCs w:val="25"/>
          <w:color w:val="auto"/>
          <w:vertAlign w:val="superscript"/>
        </w:rPr>
        <w:t>st</w:t>
      </w:r>
      <w:r>
        <w:rPr>
          <w:rFonts w:ascii="Arial" w:cs="Arial" w:eastAsia="Arial" w:hAnsi="Arial"/>
          <w:sz w:val="20"/>
          <w:szCs w:val="20"/>
          <w:color w:val="auto"/>
        </w:rPr>
        <w:t>, 2014</w:t>
      </w:r>
    </w:p>
    <w:p>
      <w:pPr>
        <w:sectPr>
          <w:pgSz w:w="11900" w:h="16838" w:orient="portrait"/>
          <w:cols w:equalWidth="0" w:num="1">
            <w:col w:w="10220"/>
          </w:cols>
          <w:pgMar w:left="1440" w:top="576" w:right="239" w:bottom="1440" w:gutter="0" w:footer="0" w:header="0"/>
        </w:sectPr>
      </w:pPr>
    </w:p>
    <w:bookmarkStart w:id="24" w:name="page25"/>
    <w:bookmarkEnd w:id="24"/>
    <w:p>
      <w:pPr>
        <w:jc w:val="both"/>
        <w:spacing w:after="0" w:line="246" w:lineRule="auto"/>
        <w:rPr>
          <w:sz w:val="20"/>
          <w:szCs w:val="20"/>
          <w:color w:val="auto"/>
        </w:rPr>
      </w:pPr>
      <w:r>
        <w:rPr>
          <w:rFonts w:ascii="Arial" w:cs="Arial" w:eastAsia="Arial" w:hAnsi="Arial"/>
          <w:sz w:val="20"/>
          <w:szCs w:val="20"/>
          <w:color w:val="auto"/>
        </w:rPr>
        <w:t>THIS PURCHASE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in Madrid, on March [31], 2014, by and between ClearOne, Inc., a corporation registered in the State of Utah, United States, represented by Zeyneb Hakimoglu acting as empowered attorney, (the “</w:t>
      </w:r>
      <w:r>
        <w:rPr>
          <w:rFonts w:ascii="Arial" w:cs="Arial" w:eastAsia="Arial" w:hAnsi="Arial"/>
          <w:sz w:val="20"/>
          <w:szCs w:val="20"/>
          <w:b w:val="1"/>
          <w:bCs w:val="1"/>
          <w:color w:val="auto"/>
        </w:rPr>
        <w:t>Purchaser</w:t>
      </w:r>
      <w:r>
        <w:rPr>
          <w:rFonts w:ascii="Arial" w:cs="Arial" w:eastAsia="Arial" w:hAnsi="Arial"/>
          <w:sz w:val="20"/>
          <w:szCs w:val="20"/>
          <w:color w:val="auto"/>
        </w:rPr>
        <w:t>”), and Dialcom Networks S.L., a Spanish private limited company, registered with the Zaragoza Trade registry under page Z-30936, and represented by Enrique Domínguez García acting as empowered attorney (the “</w:t>
      </w:r>
      <w:r>
        <w:rPr>
          <w:rFonts w:ascii="Arial" w:cs="Arial" w:eastAsia="Arial" w:hAnsi="Arial"/>
          <w:sz w:val="20"/>
          <w:szCs w:val="20"/>
          <w:b w:val="1"/>
          <w:bCs w:val="1"/>
          <w:color w:val="auto"/>
        </w:rPr>
        <w:t>Seller</w:t>
      </w:r>
      <w:r>
        <w:rPr>
          <w:rFonts w:ascii="Arial" w:cs="Arial" w:eastAsia="Arial" w:hAnsi="Arial"/>
          <w:sz w:val="20"/>
          <w:szCs w:val="20"/>
          <w:color w:val="auto"/>
        </w:rPr>
        <w:t>”). Purchaser and Seller are referred to collectively herein as the “</w:t>
      </w:r>
      <w:r>
        <w:rPr>
          <w:rFonts w:ascii="Arial" w:cs="Arial" w:eastAsia="Arial" w:hAnsi="Arial"/>
          <w:sz w:val="20"/>
          <w:szCs w:val="20"/>
          <w:b w:val="1"/>
          <w:bCs w:val="1"/>
          <w:color w:val="auto"/>
        </w:rPr>
        <w:t>Parties</w:t>
      </w:r>
      <w:r>
        <w:rPr>
          <w:rFonts w:ascii="Arial" w:cs="Arial" w:eastAsia="Arial" w:hAnsi="Arial"/>
          <w:sz w:val="20"/>
          <w:szCs w:val="20"/>
          <w:color w:val="auto"/>
        </w:rPr>
        <w:t>” and individually as a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WHEREAS</w:t>
      </w:r>
    </w:p>
    <w:p>
      <w:pPr>
        <w:spacing w:after="0" w:line="216" w:lineRule="exact"/>
        <w:rPr>
          <w:sz w:val="20"/>
          <w:szCs w:val="20"/>
          <w:color w:val="auto"/>
        </w:rPr>
      </w:pPr>
    </w:p>
    <w:p>
      <w:pPr>
        <w:jc w:val="both"/>
        <w:ind w:left="660" w:hanging="634"/>
        <w:spacing w:after="0" w:line="227" w:lineRule="auto"/>
        <w:tabs>
          <w:tab w:leader="none" w:pos="640" w:val="left"/>
        </w:tabs>
        <w:rPr>
          <w:sz w:val="20"/>
          <w:szCs w:val="20"/>
          <w:color w:val="auto"/>
        </w:rPr>
      </w:pPr>
      <w:r>
        <w:rPr>
          <w:rFonts w:ascii="Arial" w:cs="Arial" w:eastAsia="Arial" w:hAnsi="Arial"/>
          <w:sz w:val="20"/>
          <w:szCs w:val="20"/>
          <w:b w:val="1"/>
          <w:bCs w:val="1"/>
          <w:color w:val="auto"/>
        </w:rPr>
        <w:t>I.-</w:t>
      </w:r>
      <w:r>
        <w:rPr>
          <w:sz w:val="20"/>
          <w:szCs w:val="20"/>
          <w:color w:val="auto"/>
        </w:rPr>
        <w:tab/>
      </w:r>
      <w:r>
        <w:rPr>
          <w:rFonts w:ascii="Arial" w:cs="Arial" w:eastAsia="Arial" w:hAnsi="Arial"/>
          <w:sz w:val="20"/>
          <w:szCs w:val="20"/>
          <w:color w:val="auto"/>
        </w:rPr>
        <w:t>On December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2013, the parties signed a Framework Agreement regulating the purchase of the so-called </w:t>
      </w:r>
      <w:r>
        <w:rPr>
          <w:rFonts w:ascii="Arial" w:cs="Arial" w:eastAsia="Arial" w:hAnsi="Arial"/>
          <w:sz w:val="20"/>
          <w:szCs w:val="20"/>
          <w:i w:val="1"/>
          <w:iCs w:val="1"/>
          <w:color w:val="auto"/>
        </w:rPr>
        <w:t>“Spontania Business”</w:t>
      </w:r>
      <w:r>
        <w:rPr>
          <w:rFonts w:ascii="Arial" w:cs="Arial" w:eastAsia="Arial" w:hAnsi="Arial"/>
          <w:sz w:val="20"/>
          <w:szCs w:val="20"/>
          <w:color w:val="auto"/>
        </w:rPr>
        <w:t>, by means of which they agreed to a procedure that was to be concluded with the spin-off and sale of the newly incorporated company “CLEARONE SPAIN,S.L.”.</w:t>
      </w:r>
    </w:p>
    <w:p>
      <w:pPr>
        <w:spacing w:after="0" w:line="198" w:lineRule="exact"/>
        <w:rPr>
          <w:sz w:val="20"/>
          <w:szCs w:val="20"/>
          <w:color w:val="auto"/>
        </w:rPr>
      </w:pPr>
    </w:p>
    <w:p>
      <w:pPr>
        <w:jc w:val="both"/>
        <w:ind w:left="660" w:hanging="634"/>
        <w:spacing w:after="0" w:line="249" w:lineRule="auto"/>
        <w:tabs>
          <w:tab w:leader="none" w:pos="640" w:val="left"/>
        </w:tabs>
        <w:rPr>
          <w:sz w:val="20"/>
          <w:szCs w:val="20"/>
          <w:color w:val="auto"/>
        </w:rPr>
      </w:pPr>
      <w:r>
        <w:rPr>
          <w:rFonts w:ascii="Arial" w:cs="Arial" w:eastAsia="Arial" w:hAnsi="Arial"/>
          <w:sz w:val="20"/>
          <w:szCs w:val="20"/>
          <w:b w:val="1"/>
          <w:bCs w:val="1"/>
          <w:color w:val="auto"/>
        </w:rPr>
        <w:t>II.-</w:t>
      </w:r>
      <w:r>
        <w:rPr>
          <w:sz w:val="20"/>
          <w:szCs w:val="20"/>
          <w:color w:val="auto"/>
        </w:rPr>
        <w:tab/>
      </w:r>
      <w:r>
        <w:rPr>
          <w:rFonts w:ascii="Arial" w:cs="Arial" w:eastAsia="Arial" w:hAnsi="Arial"/>
          <w:sz w:val="18"/>
          <w:szCs w:val="18"/>
          <w:color w:val="auto"/>
        </w:rPr>
        <w:t>Furthermore, on January 16</w:t>
      </w:r>
      <w:r>
        <w:rPr>
          <w:rFonts w:ascii="Arial" w:cs="Arial" w:eastAsia="Arial" w:hAnsi="Arial"/>
          <w:sz w:val="23"/>
          <w:szCs w:val="23"/>
          <w:color w:val="auto"/>
          <w:vertAlign w:val="superscript"/>
        </w:rPr>
        <w:t>th</w:t>
      </w:r>
      <w:r>
        <w:rPr>
          <w:rFonts w:ascii="Arial" w:cs="Arial" w:eastAsia="Arial" w:hAnsi="Arial"/>
          <w:sz w:val="18"/>
          <w:szCs w:val="18"/>
          <w:color w:val="auto"/>
        </w:rPr>
        <w:t>, 2014 Dialcom Networks and ClearOne Inc. signed a loan agreement for an amount of 365,000€ plus a 0.46% monthly interest rate, hereinafter “</w:t>
      </w:r>
      <w:r>
        <w:rPr>
          <w:rFonts w:ascii="Arial" w:cs="Arial" w:eastAsia="Arial" w:hAnsi="Arial"/>
          <w:sz w:val="18"/>
          <w:szCs w:val="18"/>
          <w:b w:val="1"/>
          <w:bCs w:val="1"/>
          <w:color w:val="auto"/>
        </w:rPr>
        <w:t>the Owed Loan Amount</w:t>
      </w:r>
      <w:r>
        <w:rPr>
          <w:rFonts w:ascii="Arial" w:cs="Arial" w:eastAsia="Arial" w:hAnsi="Arial"/>
          <w:sz w:val="18"/>
          <w:szCs w:val="18"/>
          <w:color w:val="auto"/>
        </w:rPr>
        <w:t>”, in order to cover the operating costs of the Spontania Business.</w:t>
      </w:r>
    </w:p>
    <w:p>
      <w:pPr>
        <w:spacing w:after="0" w:line="192"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 xml:space="preserve">Said agreement was passed into a public deed before the Madrid Notary Mr. Angel Almoguera Gómez, with number 208 of his records, being the Framework Agreement a part of the same, hereinafter </w:t>
      </w:r>
      <w:r>
        <w:rPr>
          <w:rFonts w:ascii="Arial" w:cs="Arial" w:eastAsia="Arial" w:hAnsi="Arial"/>
          <w:sz w:val="20"/>
          <w:szCs w:val="20"/>
          <w:b w:val="1"/>
          <w:bCs w:val="1"/>
          <w:color w:val="auto"/>
        </w:rPr>
        <w:t>“the Loan Agreement”</w:t>
      </w:r>
      <w:r>
        <w:rPr>
          <w:rFonts w:ascii="Arial" w:cs="Arial" w:eastAsia="Arial" w:hAnsi="Arial"/>
          <w:sz w:val="20"/>
          <w:szCs w:val="20"/>
          <w:color w:val="auto"/>
        </w:rPr>
        <w:t>. Moreover, it was agreed by the Parties that the referred amount was to be deducted from the final purchase price.</w:t>
      </w:r>
    </w:p>
    <w:p>
      <w:pPr>
        <w:spacing w:after="0" w:line="180" w:lineRule="exact"/>
        <w:rPr>
          <w:sz w:val="20"/>
          <w:szCs w:val="20"/>
          <w:color w:val="auto"/>
        </w:rPr>
      </w:pPr>
    </w:p>
    <w:p>
      <w:pPr>
        <w:jc w:val="both"/>
        <w:ind w:left="660" w:hanging="634"/>
        <w:spacing w:after="0" w:line="259" w:lineRule="auto"/>
        <w:tabs>
          <w:tab w:leader="none" w:pos="640" w:val="left"/>
        </w:tabs>
        <w:rPr>
          <w:sz w:val="20"/>
          <w:szCs w:val="20"/>
          <w:color w:val="auto"/>
        </w:rPr>
      </w:pPr>
      <w:r>
        <w:rPr>
          <w:rFonts w:ascii="Arial" w:cs="Arial" w:eastAsia="Arial" w:hAnsi="Arial"/>
          <w:sz w:val="20"/>
          <w:szCs w:val="20"/>
          <w:b w:val="1"/>
          <w:bCs w:val="1"/>
          <w:color w:val="auto"/>
        </w:rPr>
        <w:t>III.-</w:t>
      </w:r>
      <w:r>
        <w:rPr>
          <w:sz w:val="20"/>
          <w:szCs w:val="20"/>
          <w:color w:val="auto"/>
        </w:rPr>
        <w:tab/>
      </w:r>
      <w:r>
        <w:rPr>
          <w:rFonts w:ascii="Arial" w:cs="Arial" w:eastAsia="Arial" w:hAnsi="Arial"/>
          <w:sz w:val="18"/>
          <w:szCs w:val="18"/>
          <w:color w:val="auto"/>
        </w:rPr>
        <w:t>On March 3</w:t>
      </w:r>
      <w:r>
        <w:rPr>
          <w:rFonts w:ascii="Arial" w:cs="Arial" w:eastAsia="Arial" w:hAnsi="Arial"/>
          <w:sz w:val="23"/>
          <w:szCs w:val="23"/>
          <w:color w:val="auto"/>
          <w:vertAlign w:val="superscript"/>
        </w:rPr>
        <w:t>rd</w:t>
      </w:r>
      <w:r>
        <w:rPr>
          <w:rFonts w:ascii="Arial" w:cs="Arial" w:eastAsia="Arial" w:hAnsi="Arial"/>
          <w:sz w:val="18"/>
          <w:szCs w:val="18"/>
          <w:color w:val="auto"/>
        </w:rPr>
        <w:t>, 2014 the company Dialcom Networks, S.L. granted the spin-off deed before the Madrid Notary Mr. Angel Almoguera Gómez, with number 1090 of his records. As a result of the same, DIALCOM NETWORKS, S.L. is the owner of 3,650,000 shares, numbered from 1 to 3,650,000 both inclusive, 100% of the shares, hereinafter “</w:t>
      </w:r>
      <w:r>
        <w:rPr>
          <w:rFonts w:ascii="Arial" w:cs="Arial" w:eastAsia="Arial" w:hAnsi="Arial"/>
          <w:sz w:val="18"/>
          <w:szCs w:val="18"/>
          <w:b w:val="1"/>
          <w:bCs w:val="1"/>
          <w:color w:val="auto"/>
        </w:rPr>
        <w:t>the Shares</w:t>
      </w:r>
      <w:r>
        <w:rPr>
          <w:rFonts w:ascii="Arial" w:cs="Arial" w:eastAsia="Arial" w:hAnsi="Arial"/>
          <w:sz w:val="18"/>
          <w:szCs w:val="18"/>
          <w:color w:val="auto"/>
        </w:rPr>
        <w:t xml:space="preserve">”, of CLEARONE SPAIN, S.L., a Spanish private limited company, registered with the Zaragoza Trade registry under page Z-56348, hereinafter </w:t>
      </w:r>
      <w:r>
        <w:rPr>
          <w:rFonts w:ascii="Arial" w:cs="Arial" w:eastAsia="Arial" w:hAnsi="Arial"/>
          <w:sz w:val="18"/>
          <w:szCs w:val="18"/>
          <w:b w:val="1"/>
          <w:bCs w:val="1"/>
          <w:color w:val="auto"/>
        </w:rPr>
        <w:t>“the Company”.</w:t>
      </w:r>
    </w:p>
    <w:p>
      <w:pPr>
        <w:spacing w:after="0" w:line="179"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18"/>
          <w:szCs w:val="18"/>
          <w:color w:val="auto"/>
        </w:rPr>
        <w:t>The spin off was registered with the Zaragoza trade registry on March 4 2014 causing the first inscription of the Company’s page</w:t>
      </w:r>
      <w:r>
        <w:rPr>
          <w:rFonts w:ascii="Arial" w:cs="Arial" w:eastAsia="Arial" w:hAnsi="Arial"/>
          <w:sz w:val="18"/>
          <w:szCs w:val="18"/>
          <w:b w:val="1"/>
          <w:bCs w:val="1"/>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Taking into consideration all the aforementioned, the Parties being in agreement, they enter into the present Share Purchase Agreement in accordance with the following: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CLAUSES</w:t>
      </w:r>
    </w:p>
    <w:p>
      <w:pPr>
        <w:spacing w:after="0" w:line="21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Purpose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Seller transfers to the Purchaser, who acquires, the Shares in the Company representing one hundred percent of the share capital thereof, free of encumbrances, charges and third-party rights.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9"/>
          <w:szCs w:val="19"/>
          <w:b w:val="1"/>
          <w:bCs w:val="1"/>
          <w:color w:val="auto"/>
        </w:rPr>
        <w:t>Title</w:t>
      </w:r>
    </w:p>
    <w:p>
      <w:pPr>
        <w:spacing w:after="0" w:line="22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Seller proves ownership of the Shares being transferred by means of exhibiting the aforementioned Dialcom Networks, S.L. spin-off public deed granted on March 3</w:t>
      </w:r>
      <w:r>
        <w:rPr>
          <w:rFonts w:ascii="Arial" w:cs="Arial" w:eastAsia="Arial" w:hAnsi="Arial"/>
          <w:sz w:val="25"/>
          <w:szCs w:val="25"/>
          <w:color w:val="auto"/>
          <w:vertAlign w:val="superscript"/>
        </w:rPr>
        <w:t>rd</w:t>
      </w:r>
      <w:r>
        <w:rPr>
          <w:rFonts w:ascii="Arial" w:cs="Arial" w:eastAsia="Arial" w:hAnsi="Arial"/>
          <w:sz w:val="20"/>
          <w:szCs w:val="20"/>
          <w:color w:val="auto"/>
        </w:rPr>
        <w:t>, 2014 before the Madrid Notary Mr. Angel Almoguera Gómez, with number 1.090 of his records, duly registered with the Zaragoza Trade Registry in which Seller is assigned title to the Shares.</w:t>
      </w:r>
    </w:p>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Purchase Price</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accordance with Clause 2.3 of the Framework Agreement, the purchase price for the Shares is 3,650,000 € plus the Interim Operating Expense Amount (as adjusted pursuant to Clause 2.3(a)) minus (i) the accrued and unpaid payrolls of the Company´s Employees and (ii) the amount of any revenue invoiced by the Seller with respect to the Spontania</w:t>
      </w:r>
    </w:p>
    <w:p>
      <w:pPr>
        <w:sectPr>
          <w:pgSz w:w="11900" w:h="16838" w:orient="portrait"/>
          <w:cols w:equalWidth="0" w:num="1">
            <w:col w:w="11420"/>
          </w:cols>
          <w:pgMar w:left="240" w:top="576" w:right="239" w:bottom="1440" w:gutter="0" w:footer="0" w:header="0"/>
        </w:sectPr>
      </w:pPr>
    </w:p>
    <w:bookmarkStart w:id="25" w:name="page26"/>
    <w:bookmarkEnd w:id="25"/>
    <w:p>
      <w:pPr>
        <w:spacing w:after="0" w:line="260" w:lineRule="auto"/>
        <w:rPr>
          <w:sz w:val="20"/>
          <w:szCs w:val="20"/>
          <w:color w:val="auto"/>
        </w:rPr>
      </w:pPr>
      <w:r>
        <w:rPr>
          <w:rFonts w:ascii="Arial" w:cs="Arial" w:eastAsia="Arial" w:hAnsi="Arial"/>
          <w:sz w:val="20"/>
          <w:szCs w:val="20"/>
          <w:color w:val="auto"/>
        </w:rPr>
        <w:t xml:space="preserve">Business between the date of signing of the Framework Agreement and the date of signing of the present document. Said amounts are detailed as </w:t>
      </w:r>
      <w:r>
        <w:rPr>
          <w:rFonts w:ascii="Arial" w:cs="Arial" w:eastAsia="Arial" w:hAnsi="Arial"/>
          <w:sz w:val="20"/>
          <w:szCs w:val="20"/>
          <w:b w:val="1"/>
          <w:bCs w:val="1"/>
          <w:color w:val="auto"/>
        </w:rPr>
        <w:t>Annex 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Therefore, the final Purchase Price for the sale of the Shares amounts to </w:t>
      </w:r>
      <w:r>
        <w:rPr>
          <w:rFonts w:ascii="Arial" w:cs="Arial" w:eastAsia="Arial" w:hAnsi="Arial"/>
          <w:sz w:val="19"/>
          <w:szCs w:val="19"/>
          <w:b w:val="1"/>
          <w:bCs w:val="1"/>
          <w:color w:val="auto"/>
        </w:rPr>
        <w:t>€ 3,661,541.58</w:t>
      </w:r>
      <w:r>
        <w:rPr>
          <w:rFonts w:ascii="Arial" w:cs="Arial" w:eastAsia="Arial" w:hAnsi="Arial"/>
          <w:sz w:val="19"/>
          <w:szCs w:val="19"/>
          <w:color w:val="auto"/>
        </w:rPr>
        <w:t xml:space="preserve"> which is equivalent to 1.003 € per share.</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Closing Deliveries</w:t>
      </w:r>
    </w:p>
    <w:p>
      <w:pPr>
        <w:spacing w:after="0" w:line="21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color w:val="auto"/>
        </w:rPr>
        <w:t xml:space="preserve">As established in 2.6 (a) of the Framework Agreement, all Seller Closing Deliveries are included herewith as </w:t>
      </w:r>
      <w:r>
        <w:rPr>
          <w:rFonts w:ascii="Arial" w:cs="Arial" w:eastAsia="Arial" w:hAnsi="Arial"/>
          <w:sz w:val="18"/>
          <w:szCs w:val="18"/>
          <w:b w:val="1"/>
          <w:bCs w:val="1"/>
          <w:color w:val="auto"/>
        </w:rPr>
        <w:t>Annex 2</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Regarding the non-compete agreements to be signed by certain shareholders of Dialcom, the Parties agree as established in Annex 2.7 of this Agreement</w:t>
      </w:r>
    </w:p>
    <w:p>
      <w:pPr>
        <w:spacing w:after="0" w:line="171"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color w:val="auto"/>
        </w:rPr>
        <w:t xml:space="preserve">In turn, as established in 2.6 (b) of the Framework Agreement, all Purchaser Closing Deliveries are included herewith as </w:t>
      </w:r>
      <w:r>
        <w:rPr>
          <w:rFonts w:ascii="Arial" w:cs="Arial" w:eastAsia="Arial" w:hAnsi="Arial"/>
          <w:sz w:val="16"/>
          <w:szCs w:val="16"/>
          <w:b w:val="1"/>
          <w:bCs w:val="1"/>
          <w:color w:val="auto"/>
        </w:rPr>
        <w:t>Annex 3</w:t>
      </w:r>
      <w:r>
        <w:rPr>
          <w:rFonts w:ascii="Arial" w:cs="Arial" w:eastAsia="Arial" w:hAnsi="Arial"/>
          <w:sz w:val="16"/>
          <w:szCs w:val="16"/>
          <w:color w:val="auto"/>
        </w:rPr>
        <w:t>.</w:t>
      </w:r>
    </w:p>
    <w:p>
      <w:pPr>
        <w:spacing w:after="0" w:line="216"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Payment Of Purchase Price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established Purchase Price is paid by the Purchaser as follows:</w:t>
      </w:r>
    </w:p>
    <w:p>
      <w:pPr>
        <w:spacing w:after="0" w:line="210" w:lineRule="exact"/>
        <w:rPr>
          <w:sz w:val="20"/>
          <w:szCs w:val="20"/>
          <w:color w:val="auto"/>
        </w:rPr>
      </w:pPr>
    </w:p>
    <w:p>
      <w:pPr>
        <w:jc w:val="both"/>
        <w:ind w:left="980" w:hanging="648"/>
        <w:spacing w:after="0" w:line="27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8"/>
          <w:szCs w:val="18"/>
          <w:u w:val="single" w:color="auto"/>
          <w:color w:val="auto"/>
        </w:rPr>
        <w:t>Identified Creditor Payments.</w:t>
      </w:r>
      <w:r>
        <w:rPr>
          <w:rFonts w:ascii="Arial" w:cs="Arial" w:eastAsia="Arial" w:hAnsi="Arial"/>
          <w:sz w:val="18"/>
          <w:szCs w:val="18"/>
          <w:color w:val="auto"/>
        </w:rPr>
        <w:t xml:space="preserve"> The Seller hereby declares that the creditors listed in </w:t>
      </w:r>
      <w:r>
        <w:rPr>
          <w:rFonts w:ascii="Arial" w:cs="Arial" w:eastAsia="Arial" w:hAnsi="Arial"/>
          <w:sz w:val="18"/>
          <w:szCs w:val="18"/>
          <w:b w:val="1"/>
          <w:bCs w:val="1"/>
          <w:color w:val="auto"/>
        </w:rPr>
        <w:t>Annex 4,</w:t>
      </w:r>
      <w:r>
        <w:rPr>
          <w:rFonts w:ascii="Arial" w:cs="Arial" w:eastAsia="Arial" w:hAnsi="Arial"/>
          <w:sz w:val="18"/>
          <w:szCs w:val="18"/>
          <w:color w:val="auto"/>
        </w:rPr>
        <w:t xml:space="preserve"> are all the Company´s and/or the Seller´s currently existing creditors, including the Tax Authorities, Social Security, public administrations, financial institutions and, in general, any third party (excluding accrued and unpaid payrolls of the Company´s Employees). To that respect, the Seller provides duly signed releases, included hereto as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by means of which said creditors declare that all existing debts with the Seller and/or the Company will be settled once they receive the amounts established in the same.</w:t>
      </w:r>
    </w:p>
    <w:p>
      <w:pPr>
        <w:spacing w:after="0" w:line="1" w:lineRule="exact"/>
        <w:rPr>
          <w:rFonts w:ascii="Arial" w:cs="Arial" w:eastAsia="Arial" w:hAnsi="Arial"/>
          <w:sz w:val="16"/>
          <w:szCs w:val="16"/>
          <w:color w:val="auto"/>
        </w:rPr>
      </w:pPr>
    </w:p>
    <w:p>
      <w:pPr>
        <w:ind w:left="980"/>
        <w:spacing w:after="0" w:line="244" w:lineRule="auto"/>
        <w:rPr>
          <w:rFonts w:ascii="Arial" w:cs="Arial" w:eastAsia="Arial" w:hAnsi="Arial"/>
          <w:sz w:val="16"/>
          <w:szCs w:val="16"/>
          <w:color w:val="auto"/>
        </w:rPr>
      </w:pPr>
      <w:r>
        <w:rPr>
          <w:rFonts w:ascii="Arial" w:cs="Arial" w:eastAsia="Arial" w:hAnsi="Arial"/>
          <w:sz w:val="20"/>
          <w:szCs w:val="20"/>
          <w:color w:val="auto"/>
        </w:rPr>
        <w:t xml:space="preserve">As for the debts CDTI and INNPACTO hold against the Seller, the Agreement signed by the Parties amending the Framework Agreement, included hereto as </w:t>
      </w:r>
      <w:r>
        <w:rPr>
          <w:rFonts w:ascii="Arial" w:cs="Arial" w:eastAsia="Arial" w:hAnsi="Arial"/>
          <w:sz w:val="20"/>
          <w:szCs w:val="20"/>
          <w:b w:val="1"/>
          <w:bCs w:val="1"/>
          <w:color w:val="auto"/>
        </w:rPr>
        <w:t>Annex 6</w:t>
      </w:r>
      <w:r>
        <w:rPr>
          <w:rFonts w:ascii="Arial" w:cs="Arial" w:eastAsia="Arial" w:hAnsi="Arial"/>
          <w:sz w:val="20"/>
          <w:szCs w:val="20"/>
          <w:color w:val="auto"/>
        </w:rPr>
        <w:t>, will be applicable.</w:t>
      </w:r>
    </w:p>
    <w:p>
      <w:pPr>
        <w:spacing w:after="0" w:line="145" w:lineRule="exact"/>
        <w:rPr>
          <w:rFonts w:ascii="Arial" w:cs="Arial" w:eastAsia="Arial" w:hAnsi="Arial"/>
          <w:sz w:val="16"/>
          <w:szCs w:val="16"/>
          <w:color w:val="auto"/>
        </w:rPr>
      </w:pPr>
    </w:p>
    <w:p>
      <w:pPr>
        <w:ind w:left="980"/>
        <w:spacing w:after="0" w:line="323" w:lineRule="auto"/>
        <w:rPr>
          <w:rFonts w:ascii="Arial" w:cs="Arial" w:eastAsia="Arial" w:hAnsi="Arial"/>
          <w:sz w:val="16"/>
          <w:szCs w:val="16"/>
          <w:color w:val="auto"/>
        </w:rPr>
      </w:pPr>
      <w:r>
        <w:rPr>
          <w:rFonts w:ascii="Arial" w:cs="Arial" w:eastAsia="Arial" w:hAnsi="Arial"/>
          <w:sz w:val="18"/>
          <w:szCs w:val="18"/>
          <w:color w:val="auto"/>
        </w:rPr>
        <w:t xml:space="preserve">Thus, in accordance with clause 2.3 (b) of the Framework Agreement, the Purchaser deducts the amount of </w:t>
      </w:r>
      <w:r>
        <w:rPr>
          <w:rFonts w:ascii="Arial" w:cs="Arial" w:eastAsia="Arial" w:hAnsi="Arial"/>
          <w:sz w:val="18"/>
          <w:szCs w:val="18"/>
          <w:b w:val="1"/>
          <w:bCs w:val="1"/>
          <w:color w:val="auto"/>
        </w:rPr>
        <w:t>€ 933,910.34</w:t>
      </w:r>
      <w:r>
        <w:rPr>
          <w:rFonts w:ascii="Arial" w:cs="Arial" w:eastAsia="Arial" w:hAnsi="Arial"/>
          <w:sz w:val="18"/>
          <w:szCs w:val="18"/>
          <w:color w:val="auto"/>
        </w:rPr>
        <w:t xml:space="preserve"> from the purchase price that will be paid directly to the referred creditors via a wire transfer to their respective bank accounts.</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980" w:hanging="648"/>
        <w:spacing w:after="0" w:line="26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20"/>
          <w:szCs w:val="20"/>
          <w:u w:val="single" w:color="auto"/>
          <w:color w:val="auto"/>
        </w:rPr>
        <w:t>Owed Loan Amount.</w:t>
      </w:r>
      <w:r>
        <w:rPr>
          <w:rFonts w:ascii="Arial" w:cs="Arial" w:eastAsia="Arial" w:hAnsi="Arial"/>
          <w:sz w:val="20"/>
          <w:szCs w:val="20"/>
          <w:color w:val="auto"/>
        </w:rPr>
        <w:t xml:space="preserve"> In accordance with the conditions established in the Loan Agreement, the Owed Loan Amount is </w:t>
      </w:r>
      <w:r>
        <w:rPr>
          <w:rFonts w:ascii="Arial" w:cs="Arial" w:eastAsia="Arial" w:hAnsi="Arial"/>
          <w:sz w:val="20"/>
          <w:szCs w:val="20"/>
          <w:b w:val="1"/>
          <w:bCs w:val="1"/>
          <w:color w:val="auto"/>
        </w:rPr>
        <w:t>€ 368,358</w:t>
      </w:r>
      <w:r>
        <w:rPr>
          <w:rFonts w:ascii="Arial" w:cs="Arial" w:eastAsia="Arial" w:hAnsi="Arial"/>
          <w:sz w:val="20"/>
          <w:szCs w:val="20"/>
          <w:color w:val="auto"/>
        </w:rPr>
        <w:t xml:space="preserve"> as described in </w:t>
      </w:r>
      <w:r>
        <w:rPr>
          <w:rFonts w:ascii="Arial" w:cs="Arial" w:eastAsia="Arial" w:hAnsi="Arial"/>
          <w:sz w:val="20"/>
          <w:szCs w:val="20"/>
          <w:b w:val="1"/>
          <w:bCs w:val="1"/>
          <w:color w:val="auto"/>
        </w:rPr>
        <w:t>Annex 7.</w:t>
      </w:r>
      <w:r>
        <w:rPr>
          <w:rFonts w:ascii="Arial" w:cs="Arial" w:eastAsia="Arial" w:hAnsi="Arial"/>
          <w:sz w:val="20"/>
          <w:szCs w:val="20"/>
          <w:color w:val="auto"/>
        </w:rPr>
        <w:t xml:space="preserve"> Said amount is further deducted from the Purchase Price.</w:t>
      </w:r>
    </w:p>
    <w:p>
      <w:pPr>
        <w:spacing w:after="0" w:line="345" w:lineRule="exact"/>
        <w:rPr>
          <w:rFonts w:ascii="Arial" w:cs="Arial" w:eastAsia="Arial" w:hAnsi="Arial"/>
          <w:sz w:val="18"/>
          <w:szCs w:val="18"/>
          <w:color w:val="auto"/>
        </w:rPr>
      </w:pPr>
    </w:p>
    <w:p>
      <w:pPr>
        <w:jc w:val="both"/>
        <w:ind w:left="980" w:hanging="648"/>
        <w:spacing w:after="0" w:line="24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20"/>
          <w:szCs w:val="20"/>
          <w:u w:val="single" w:color="auto"/>
          <w:color w:val="auto"/>
        </w:rPr>
        <w:t>Escrow.</w:t>
      </w:r>
      <w:r>
        <w:rPr>
          <w:rFonts w:ascii="Arial" w:cs="Arial" w:eastAsia="Arial" w:hAnsi="Arial"/>
          <w:sz w:val="20"/>
          <w:szCs w:val="20"/>
          <w:color w:val="auto"/>
        </w:rPr>
        <w:t xml:space="preserve"> As established in Clause 2.4, an escrow agreement is signed by the Parties and the Spanish bank BBVA, S.A., included herewith as </w:t>
      </w:r>
      <w:r>
        <w:rPr>
          <w:rFonts w:ascii="Arial" w:cs="Arial" w:eastAsia="Arial" w:hAnsi="Arial"/>
          <w:sz w:val="20"/>
          <w:szCs w:val="20"/>
          <w:b w:val="1"/>
          <w:bCs w:val="1"/>
          <w:color w:val="auto"/>
        </w:rPr>
        <w:t>Annex 8</w:t>
      </w:r>
      <w:r>
        <w:rPr>
          <w:rFonts w:ascii="Arial" w:cs="Arial" w:eastAsia="Arial" w:hAnsi="Arial"/>
          <w:sz w:val="20"/>
          <w:szCs w:val="20"/>
          <w:color w:val="auto"/>
        </w:rPr>
        <w:t xml:space="preserve">, by means of which the Purchaser deducts from the Purchase Price and deposits via a wire transfer to the Escrow Account an amount of </w:t>
      </w:r>
      <w:r>
        <w:rPr>
          <w:rFonts w:ascii="Arial" w:cs="Arial" w:eastAsia="Arial" w:hAnsi="Arial"/>
          <w:sz w:val="20"/>
          <w:szCs w:val="20"/>
          <w:b w:val="1"/>
          <w:bCs w:val="1"/>
          <w:color w:val="auto"/>
        </w:rPr>
        <w:t>547,500€.</w:t>
      </w:r>
    </w:p>
    <w:p>
      <w:pPr>
        <w:ind w:left="980" w:hanging="648"/>
        <w:spacing w:after="0" w:line="25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9"/>
          <w:szCs w:val="19"/>
          <w:u w:val="single" w:color="auto"/>
          <w:color w:val="auto"/>
        </w:rPr>
        <w:t>Opposed Creditors.</w:t>
      </w:r>
      <w:r>
        <w:rPr>
          <w:rFonts w:ascii="Arial" w:cs="Arial" w:eastAsia="Arial" w:hAnsi="Arial"/>
          <w:sz w:val="19"/>
          <w:szCs w:val="19"/>
          <w:color w:val="auto"/>
        </w:rPr>
        <w:t xml:space="preserve"> The Seller declares and warrants that the only creditors initially opposing to the spin-off of DIALCOM NETWORKS, S.L. were BANKINTER S.A. and Elena Álvarez Martín-Ballestero who duly waived their opposition to the same. To that respect, the Purchaser deducts from the Purchase Price the respective amounts of € </w:t>
      </w:r>
      <w:r>
        <w:rPr>
          <w:rFonts w:ascii="Arial" w:cs="Arial" w:eastAsia="Arial" w:hAnsi="Arial"/>
          <w:sz w:val="19"/>
          <w:szCs w:val="19"/>
          <w:b w:val="1"/>
          <w:bCs w:val="1"/>
          <w:color w:val="auto"/>
        </w:rPr>
        <w:t>237,000</w:t>
      </w:r>
      <w:r>
        <w:rPr>
          <w:rFonts w:ascii="Arial" w:cs="Arial" w:eastAsia="Arial" w:hAnsi="Arial"/>
          <w:sz w:val="19"/>
          <w:szCs w:val="19"/>
          <w:color w:val="auto"/>
        </w:rPr>
        <w:t xml:space="preserve"> and € </w:t>
      </w:r>
      <w:r>
        <w:rPr>
          <w:rFonts w:ascii="Arial" w:cs="Arial" w:eastAsia="Arial" w:hAnsi="Arial"/>
          <w:sz w:val="19"/>
          <w:szCs w:val="19"/>
          <w:b w:val="1"/>
          <w:bCs w:val="1"/>
          <w:color w:val="auto"/>
        </w:rPr>
        <w:t>66,393.7</w:t>
      </w:r>
      <w:r>
        <w:rPr>
          <w:rFonts w:ascii="Arial" w:cs="Arial" w:eastAsia="Arial" w:hAnsi="Arial"/>
          <w:sz w:val="19"/>
          <w:szCs w:val="19"/>
          <w:color w:val="auto"/>
        </w:rPr>
        <w:t xml:space="preserve"> in order to settle the existing debts with said creditors via appropriate wire transfers to their respective bank accounts.</w:t>
      </w:r>
    </w:p>
    <w:p>
      <w:pPr>
        <w:sectPr>
          <w:pgSz w:w="11900" w:h="16838" w:orient="portrait"/>
          <w:cols w:equalWidth="0" w:num="1">
            <w:col w:w="11420"/>
          </w:cols>
          <w:pgMar w:left="240" w:top="582" w:right="239" w:bottom="1440" w:gutter="0" w:footer="0" w:header="0"/>
        </w:sectPr>
      </w:pPr>
    </w:p>
    <w:bookmarkStart w:id="26" w:name="page27"/>
    <w:bookmarkEnd w:id="26"/>
    <w:p>
      <w:pPr>
        <w:jc w:val="both"/>
        <w:ind w:left="980" w:hanging="648"/>
        <w:spacing w:after="0" w:line="306" w:lineRule="auto"/>
        <w:tabs>
          <w:tab w:leader="none" w:pos="980" w:val="left"/>
        </w:tabs>
        <w:numPr>
          <w:ilvl w:val="0"/>
          <w:numId w:val="13"/>
        </w:numPr>
        <w:rPr>
          <w:rFonts w:ascii="Arial" w:cs="Arial" w:eastAsia="Arial" w:hAnsi="Arial"/>
          <w:sz w:val="15"/>
          <w:szCs w:val="15"/>
          <w:color w:val="auto"/>
        </w:rPr>
      </w:pPr>
      <w:r>
        <w:rPr>
          <w:rFonts w:ascii="Arial" w:cs="Arial" w:eastAsia="Arial" w:hAnsi="Arial"/>
          <w:sz w:val="16"/>
          <w:szCs w:val="16"/>
          <w:u w:val="single" w:color="auto"/>
          <w:color w:val="auto"/>
        </w:rPr>
        <w:t>Remaining amount.</w:t>
      </w:r>
      <w:r>
        <w:rPr>
          <w:rFonts w:ascii="Arial" w:cs="Arial" w:eastAsia="Arial" w:hAnsi="Arial"/>
          <w:sz w:val="16"/>
          <w:szCs w:val="16"/>
          <w:color w:val="auto"/>
        </w:rPr>
        <w:t xml:space="preserve"> Taking into consideration the deductions from the Purchase Price established in points (i) to (iv) of the present clause, the Purchaser shall pay the remaining amount, that is to say </w:t>
      </w:r>
      <w:r>
        <w:rPr>
          <w:rFonts w:ascii="Arial" w:cs="Arial" w:eastAsia="Arial" w:hAnsi="Arial"/>
          <w:sz w:val="16"/>
          <w:szCs w:val="16"/>
          <w:b w:val="1"/>
          <w:bCs w:val="1"/>
          <w:color w:val="auto"/>
        </w:rPr>
        <w:t>€ 1,508,379.54</w:t>
      </w:r>
      <w:r>
        <w:rPr>
          <w:rFonts w:ascii="Arial" w:cs="Arial" w:eastAsia="Arial" w:hAnsi="Arial"/>
          <w:sz w:val="16"/>
          <w:szCs w:val="16"/>
          <w:color w:val="auto"/>
        </w:rPr>
        <w:t xml:space="preserve">, via a wire transfer, to the Seller’s bank account. The Seller acknowledges receipt for the above-mentioned amount. A copy of said wire transfer order is attached hereto as </w:t>
      </w:r>
      <w:r>
        <w:rPr>
          <w:rFonts w:ascii="Arial" w:cs="Arial" w:eastAsia="Arial" w:hAnsi="Arial"/>
          <w:sz w:val="16"/>
          <w:szCs w:val="16"/>
          <w:b w:val="1"/>
          <w:bCs w:val="1"/>
          <w:color w:val="auto"/>
        </w:rPr>
        <w:t>Annex</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9</w:t>
      </w:r>
      <w:r>
        <w:rPr>
          <w:rFonts w:ascii="Arial" w:cs="Arial" w:eastAsia="Arial" w:hAnsi="Arial"/>
          <w:sz w:val="20"/>
          <w:szCs w:val="20"/>
          <w:color w:val="auto"/>
        </w:rPr>
        <w:t>.</w:t>
      </w:r>
    </w:p>
    <w:p>
      <w:pPr>
        <w:spacing w:after="0"/>
        <w:tabs>
          <w:tab w:leader="none" w:pos="4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Force Of The Framework Agreement</w:t>
      </w:r>
    </w:p>
    <w:p>
      <w:pPr>
        <w:spacing w:after="0" w:line="47" w:lineRule="exact"/>
        <w:rPr>
          <w:sz w:val="20"/>
          <w:szCs w:val="20"/>
          <w:color w:val="auto"/>
        </w:rPr>
      </w:pPr>
    </w:p>
    <w:p>
      <w:pPr>
        <w:ind w:left="660" w:hanging="4"/>
        <w:spacing w:after="0" w:line="379" w:lineRule="auto"/>
        <w:tabs>
          <w:tab w:leader="none" w:pos="1443" w:val="left"/>
        </w:tabs>
        <w:numPr>
          <w:ilvl w:val="0"/>
          <w:numId w:val="14"/>
        </w:numPr>
        <w:rPr>
          <w:rFonts w:ascii="Arial" w:cs="Arial" w:eastAsia="Arial" w:hAnsi="Arial"/>
          <w:sz w:val="18"/>
          <w:szCs w:val="18"/>
          <w:color w:val="auto"/>
        </w:rPr>
      </w:pPr>
      <w:r>
        <w:rPr>
          <w:rFonts w:ascii="Arial" w:cs="Arial" w:eastAsia="Arial" w:hAnsi="Arial"/>
          <w:sz w:val="22"/>
          <w:szCs w:val="22"/>
          <w:color w:val="auto"/>
        </w:rPr>
        <w:t>The parties declare the Framework Agreement fully in force without this document nor the passing of the same into a public deed, being an amendment thereof.</w:t>
      </w:r>
    </w:p>
    <w:p>
      <w:pPr>
        <w:spacing w:after="0" w:line="30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Notices</w:t>
      </w:r>
    </w:p>
    <w:p>
      <w:pPr>
        <w:spacing w:after="0" w:line="11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For the notices that the parties have to make in relation to the present deed, the parties declare that the contents of clause 10.7 of the Framework Agreement shall be applicable.</w:t>
      </w:r>
    </w:p>
    <w:p>
      <w:pPr>
        <w:spacing w:after="0" w:line="200" w:lineRule="exact"/>
        <w:rPr>
          <w:sz w:val="20"/>
          <w:szCs w:val="20"/>
          <w:color w:val="auto"/>
        </w:rPr>
      </w:pPr>
    </w:p>
    <w:p>
      <w:pPr>
        <w:spacing w:after="0" w:line="29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6"/>
          <w:szCs w:val="16"/>
          <w:b w:val="1"/>
          <w:bCs w:val="1"/>
          <w:color w:val="auto"/>
        </w:rPr>
        <w:t>Expenses And Taxes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fees of the public notary incurred as a consequence of the granting of the present instrument shall be paid for equally by the Parties.</w:t>
      </w:r>
    </w:p>
    <w:p>
      <w:pPr>
        <w:spacing w:after="0" w:line="200" w:lineRule="exact"/>
        <w:rPr>
          <w:sz w:val="20"/>
          <w:szCs w:val="20"/>
          <w:color w:val="auto"/>
        </w:rPr>
      </w:pP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8"/>
          <w:szCs w:val="18"/>
          <w:b w:val="1"/>
          <w:bCs w:val="1"/>
          <w:color w:val="auto"/>
        </w:rPr>
        <w:t>Applicable Law And Jurisdiction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applicable law and forum, the parties expressly submit to the provisions of clause 10.8 of the Framework Agreement.</w:t>
      </w:r>
    </w:p>
    <w:p>
      <w:pPr>
        <w:spacing w:after="0" w:line="200" w:lineRule="exact"/>
        <w:rPr>
          <w:sz w:val="20"/>
          <w:szCs w:val="20"/>
          <w:color w:val="auto"/>
        </w:rPr>
      </w:pPr>
    </w:p>
    <w:p>
      <w:pPr>
        <w:spacing w:after="0" w:line="24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Foreign Transactions</w:t>
      </w:r>
    </w:p>
    <w:p>
      <w:pPr>
        <w:spacing w:after="0" w:line="114"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It is stated that the transfer formalized herein constitutes a foreign investment in Spain which shall be notified to the General Directorate of Trade and Investments by means of the appropriate D1-A form which will be delivered to the Notary passing this document into a public deed.</w:t>
      </w:r>
    </w:p>
    <w:p>
      <w:pPr>
        <w:sectPr>
          <w:pgSz w:w="11900" w:h="16838" w:orient="portrait"/>
          <w:cols w:equalWidth="0" w:num="1">
            <w:col w:w="11420"/>
          </w:cols>
          <w:pgMar w:left="240" w:top="582" w:right="23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t>IN WITNESS WHEREOF, the Parties on and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By</w:t>
      </w:r>
    </w:p>
    <w:p>
      <w:pPr>
        <w:ind w:left="5840"/>
        <w:spacing w:after="0" w:line="238" w:lineRule="auto"/>
        <w:rPr>
          <w:sz w:val="20"/>
          <w:szCs w:val="20"/>
          <w:color w:val="auto"/>
        </w:rPr>
      </w:pPr>
      <w:r>
        <w:rPr>
          <w:rFonts w:ascii="Arial" w:cs="Arial" w:eastAsia="Arial" w:hAnsi="Arial"/>
          <w:sz w:val="22"/>
          <w:szCs w:val="22"/>
          <w:color w:val="auto"/>
        </w:rPr>
        <w:t>Name: Zeynep Hakimoglu</w:t>
      </w:r>
    </w:p>
    <w:p>
      <w:pPr>
        <w:ind w:left="5840"/>
        <w:spacing w:after="0"/>
        <w:rPr>
          <w:sz w:val="20"/>
          <w:szCs w:val="20"/>
          <w:color w:val="auto"/>
        </w:rPr>
      </w:pPr>
      <w:r>
        <w:rPr>
          <w:rFonts w:ascii="Arial" w:cs="Arial" w:eastAsia="Arial" w:hAnsi="Arial"/>
          <w:sz w:val="22"/>
          <w:szCs w:val="22"/>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Dialcom Networks S.L.</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9"/>
          <w:szCs w:val="19"/>
          <w:color w:val="auto"/>
        </w:rPr>
        <w:t>Name:Enrique Domínguez García</w:t>
      </w:r>
    </w:p>
    <w:p>
      <w:pPr>
        <w:spacing w:after="0" w:line="25"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Title: President &amp; CEO</w:t>
      </w:r>
    </w:p>
    <w:p>
      <w:pPr>
        <w:sectPr>
          <w:pgSz w:w="11900" w:h="16838" w:orient="portrait"/>
          <w:cols w:equalWidth="0" w:num="1">
            <w:col w:w="10219"/>
          </w:cols>
          <w:pgMar w:left="240" w:top="582"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56"/>
        </w:trPr>
        <w:tc>
          <w:tcPr>
            <w:tcW w:w="4160" w:type="dxa"/>
            <w:vAlign w:val="bottom"/>
          </w:tcPr>
          <w:p>
            <w:pPr>
              <w:spacing w:after="0"/>
              <w:rPr>
                <w:sz w:val="22"/>
                <w:szCs w:val="22"/>
                <w:color w:val="auto"/>
              </w:rPr>
            </w:pPr>
          </w:p>
        </w:tc>
        <w:tc>
          <w:tcPr>
            <w:tcW w:w="3480" w:type="dxa"/>
            <w:vAlign w:val="bottom"/>
          </w:tcPr>
          <w:p>
            <w:pPr>
              <w:ind w:left="1100"/>
              <w:spacing w:after="0"/>
              <w:rPr>
                <w:sz w:val="20"/>
                <w:szCs w:val="20"/>
                <w:color w:val="auto"/>
              </w:rPr>
            </w:pPr>
            <w:r>
              <w:rPr>
                <w:rFonts w:ascii="Arial" w:cs="Arial" w:eastAsia="Arial" w:hAnsi="Arial"/>
                <w:sz w:val="20"/>
                <w:szCs w:val="20"/>
                <w:b w:val="1"/>
                <w:bCs w:val="1"/>
                <w:color w:val="auto"/>
              </w:rPr>
              <w:t>ANNEX 1</w:t>
            </w:r>
          </w:p>
        </w:tc>
      </w:tr>
      <w:tr>
        <w:trPr>
          <w:trHeight w:val="878"/>
        </w:trPr>
        <w:tc>
          <w:tcPr>
            <w:tcW w:w="4160" w:type="dxa"/>
            <w:vAlign w:val="bottom"/>
          </w:tcPr>
          <w:p>
            <w:pPr>
              <w:spacing w:after="0"/>
              <w:rPr>
                <w:sz w:val="20"/>
                <w:szCs w:val="20"/>
                <w:color w:val="auto"/>
              </w:rPr>
            </w:pPr>
            <w:r>
              <w:rPr>
                <w:rFonts w:ascii="Arial" w:cs="Arial" w:eastAsia="Arial" w:hAnsi="Arial"/>
                <w:sz w:val="20"/>
                <w:szCs w:val="20"/>
                <w:b w:val="1"/>
                <w:bCs w:val="1"/>
                <w:color w:val="auto"/>
              </w:rPr>
              <w:t>Initial purchase figure</w:t>
            </w:r>
          </w:p>
        </w:tc>
        <w:tc>
          <w:tcPr>
            <w:tcW w:w="3480" w:type="dxa"/>
            <w:vAlign w:val="bottom"/>
          </w:tcPr>
          <w:p>
            <w:pPr>
              <w:ind w:left="2340"/>
              <w:spacing w:after="0"/>
              <w:rPr>
                <w:sz w:val="20"/>
                <w:szCs w:val="20"/>
                <w:color w:val="auto"/>
              </w:rPr>
            </w:pPr>
            <w:r>
              <w:rPr>
                <w:rFonts w:ascii="Arial" w:cs="Arial" w:eastAsia="Arial" w:hAnsi="Arial"/>
                <w:sz w:val="20"/>
                <w:szCs w:val="20"/>
                <w:color w:val="auto"/>
              </w:rPr>
              <w:t>€ 3,650,000</w:t>
            </w:r>
          </w:p>
        </w:tc>
      </w:tr>
      <w:tr>
        <w:trPr>
          <w:trHeight w:val="446"/>
        </w:trPr>
        <w:tc>
          <w:tcPr>
            <w:tcW w:w="4160" w:type="dxa"/>
            <w:vAlign w:val="bottom"/>
          </w:tcPr>
          <w:p>
            <w:pPr>
              <w:spacing w:after="0"/>
              <w:rPr>
                <w:sz w:val="20"/>
                <w:szCs w:val="20"/>
                <w:color w:val="auto"/>
              </w:rPr>
            </w:pPr>
            <w:r>
              <w:rPr>
                <w:rFonts w:ascii="Arial" w:cs="Arial" w:eastAsia="Arial" w:hAnsi="Arial"/>
                <w:sz w:val="20"/>
                <w:szCs w:val="20"/>
                <w:b w:val="1"/>
                <w:bCs w:val="1"/>
                <w:color w:val="auto"/>
              </w:rPr>
              <w:t>Interim Operating Expense Amount</w:t>
            </w:r>
          </w:p>
        </w:tc>
        <w:tc>
          <w:tcPr>
            <w:tcW w:w="3480" w:type="dxa"/>
            <w:vAlign w:val="bottom"/>
          </w:tcPr>
          <w:p>
            <w:pPr>
              <w:ind w:left="2340"/>
              <w:spacing w:after="0"/>
              <w:rPr>
                <w:sz w:val="20"/>
                <w:szCs w:val="20"/>
                <w:color w:val="auto"/>
              </w:rPr>
            </w:pPr>
            <w:r>
              <w:rPr>
                <w:rFonts w:ascii="Arial" w:cs="Arial" w:eastAsia="Arial" w:hAnsi="Arial"/>
                <w:sz w:val="20"/>
                <w:szCs w:val="20"/>
                <w:color w:val="auto"/>
              </w:rPr>
              <w:t>€ 240,000</w:t>
            </w:r>
          </w:p>
        </w:tc>
      </w:tr>
      <w:tr>
        <w:trPr>
          <w:trHeight w:val="446"/>
        </w:trPr>
        <w:tc>
          <w:tcPr>
            <w:tcW w:w="4160" w:type="dxa"/>
            <w:vAlign w:val="bottom"/>
          </w:tcPr>
          <w:p>
            <w:pPr>
              <w:spacing w:after="0"/>
              <w:rPr>
                <w:sz w:val="20"/>
                <w:szCs w:val="20"/>
                <w:color w:val="auto"/>
              </w:rPr>
            </w:pPr>
            <w:r>
              <w:rPr>
                <w:rFonts w:ascii="Arial" w:cs="Arial" w:eastAsia="Arial" w:hAnsi="Arial"/>
                <w:sz w:val="20"/>
                <w:szCs w:val="20"/>
                <w:b w:val="1"/>
                <w:bCs w:val="1"/>
                <w:color w:val="auto"/>
              </w:rPr>
              <w:t>Unpaid Payrolls</w:t>
            </w:r>
          </w:p>
        </w:tc>
        <w:tc>
          <w:tcPr>
            <w:tcW w:w="3480" w:type="dxa"/>
            <w:vAlign w:val="bottom"/>
          </w:tcPr>
          <w:p>
            <w:pPr>
              <w:ind w:left="2340"/>
              <w:spacing w:after="0"/>
              <w:rPr>
                <w:sz w:val="20"/>
                <w:szCs w:val="20"/>
                <w:color w:val="auto"/>
              </w:rPr>
            </w:pPr>
            <w:r>
              <w:rPr>
                <w:rFonts w:ascii="Arial" w:cs="Arial" w:eastAsia="Arial" w:hAnsi="Arial"/>
                <w:sz w:val="20"/>
                <w:szCs w:val="20"/>
                <w:color w:val="auto"/>
              </w:rPr>
              <w:t>€ 26,886.06</w:t>
            </w:r>
          </w:p>
        </w:tc>
      </w:tr>
      <w:tr>
        <w:trPr>
          <w:trHeight w:val="446"/>
        </w:trPr>
        <w:tc>
          <w:tcPr>
            <w:tcW w:w="4160" w:type="dxa"/>
            <w:vAlign w:val="bottom"/>
          </w:tcPr>
          <w:p>
            <w:pPr>
              <w:spacing w:after="0"/>
              <w:rPr>
                <w:sz w:val="20"/>
                <w:szCs w:val="20"/>
                <w:color w:val="auto"/>
              </w:rPr>
            </w:pPr>
            <w:r>
              <w:rPr>
                <w:rFonts w:ascii="Arial" w:cs="Arial" w:eastAsia="Arial" w:hAnsi="Arial"/>
                <w:sz w:val="20"/>
                <w:szCs w:val="20"/>
                <w:b w:val="1"/>
                <w:bCs w:val="1"/>
                <w:color w:val="auto"/>
              </w:rPr>
              <w:t>Revenue invoiced</w:t>
            </w:r>
          </w:p>
        </w:tc>
        <w:tc>
          <w:tcPr>
            <w:tcW w:w="3480" w:type="dxa"/>
            <w:vAlign w:val="bottom"/>
          </w:tcPr>
          <w:p>
            <w:pPr>
              <w:ind w:left="2340"/>
              <w:spacing w:after="0"/>
              <w:rPr>
                <w:sz w:val="20"/>
                <w:szCs w:val="20"/>
                <w:color w:val="auto"/>
              </w:rPr>
            </w:pPr>
            <w:r>
              <w:rPr>
                <w:rFonts w:ascii="Arial" w:cs="Arial" w:eastAsia="Arial" w:hAnsi="Arial"/>
                <w:sz w:val="20"/>
                <w:szCs w:val="20"/>
                <w:color w:val="auto"/>
                <w:w w:val="95"/>
              </w:rPr>
              <w:t>€ 201,572.36</w:t>
            </w:r>
          </w:p>
        </w:tc>
      </w:tr>
      <w:tr>
        <w:trPr>
          <w:trHeight w:val="1094"/>
        </w:trPr>
        <w:tc>
          <w:tcPr>
            <w:tcW w:w="4160" w:type="dxa"/>
            <w:vAlign w:val="bottom"/>
          </w:tcPr>
          <w:p>
            <w:pPr>
              <w:spacing w:after="0"/>
              <w:rPr>
                <w:sz w:val="20"/>
                <w:szCs w:val="20"/>
                <w:color w:val="auto"/>
              </w:rPr>
            </w:pPr>
            <w:r>
              <w:rPr>
                <w:rFonts w:ascii="Arial" w:cs="Arial" w:eastAsia="Arial" w:hAnsi="Arial"/>
                <w:sz w:val="20"/>
                <w:szCs w:val="20"/>
                <w:b w:val="1"/>
                <w:bCs w:val="1"/>
                <w:color w:val="auto"/>
              </w:rPr>
              <w:t>Purchase price</w:t>
            </w:r>
          </w:p>
        </w:tc>
        <w:tc>
          <w:tcPr>
            <w:tcW w:w="3480" w:type="dxa"/>
            <w:vAlign w:val="bottom"/>
          </w:tcPr>
          <w:p>
            <w:pPr>
              <w:ind w:left="2340"/>
              <w:spacing w:after="0"/>
              <w:rPr>
                <w:sz w:val="20"/>
                <w:szCs w:val="20"/>
                <w:color w:val="auto"/>
              </w:rPr>
            </w:pPr>
            <w:r>
              <w:rPr>
                <w:rFonts w:ascii="Arial" w:cs="Arial" w:eastAsia="Arial" w:hAnsi="Arial"/>
                <w:sz w:val="20"/>
                <w:szCs w:val="20"/>
                <w:b w:val="1"/>
                <w:bCs w:val="1"/>
                <w:color w:val="auto"/>
                <w:w w:val="87"/>
              </w:rPr>
              <w:t>€3,661,541.58</w:t>
            </w:r>
          </w:p>
        </w:tc>
      </w:tr>
    </w:tbl>
    <w:p>
      <w:pPr>
        <w:sectPr>
          <w:pgSz w:w="11900" w:h="16838" w:orient="portrait"/>
          <w:cols w:equalWidth="0" w:num="1">
            <w:col w:w="10199"/>
          </w:cols>
          <w:pgMar w:left="260" w:top="576"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ANNEX 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SELLER’S CLOSING DELIVERIES</w:t>
      </w:r>
    </w:p>
    <w:p>
      <w:pPr>
        <w:sectPr>
          <w:pgSz w:w="11900" w:h="16838" w:orient="portrait"/>
          <w:cols w:equalWidth="0" w:num="1">
            <w:col w:w="9019"/>
          </w:cols>
          <w:pgMar w:left="1440" w:top="576" w:right="1440" w:bottom="1440" w:gutter="0" w:footer="0" w:header="0"/>
        </w:sectPr>
      </w:pPr>
    </w:p>
    <w:bookmarkStart w:id="30" w:name="page31"/>
    <w:bookmarkEnd w:id="30"/>
    <w:p>
      <w:pPr>
        <w:jc w:val="center"/>
        <w:ind w:right="-279"/>
        <w:spacing w:after="0"/>
        <w:rPr>
          <w:sz w:val="20"/>
          <w:szCs w:val="20"/>
          <w:color w:val="auto"/>
        </w:rPr>
      </w:pPr>
      <w:r>
        <w:rPr>
          <w:rFonts w:ascii="Arial" w:cs="Arial" w:eastAsia="Arial" w:hAnsi="Arial"/>
          <w:sz w:val="20"/>
          <w:szCs w:val="20"/>
          <w:b w:val="1"/>
          <w:bCs w:val="1"/>
          <w:color w:val="auto"/>
        </w:rPr>
        <w:t>ANNEX 2.1</w:t>
      </w:r>
    </w:p>
    <w:p>
      <w:pPr>
        <w:spacing w:after="0" w:line="2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 true and correct copy of resolutions of Seller’s Board of Directors approving the Spin-Off Transaction, this Agreement and the Transaction Documents and the transactions contemplated hereby and thereby.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This is included within the Spin-off deed.</w:t>
      </w:r>
    </w:p>
    <w:p>
      <w:pPr>
        <w:sectPr>
          <w:pgSz w:w="11900" w:h="16838" w:orient="portrait"/>
          <w:cols w:equalWidth="0" w:num="1">
            <w:col w:w="11160"/>
          </w:cols>
          <w:pgMar w:left="240" w:top="576" w:right="499" w:bottom="1440" w:gutter="0" w:footer="0" w:header="0"/>
        </w:sectPr>
      </w:pPr>
    </w:p>
    <w:bookmarkStart w:id="31" w:name="page32"/>
    <w:bookmarkEnd w:id="31"/>
    <w:p>
      <w:pPr>
        <w:ind w:left="5220"/>
        <w:spacing w:after="0"/>
        <w:rPr>
          <w:sz w:val="20"/>
          <w:szCs w:val="20"/>
          <w:color w:val="auto"/>
        </w:rPr>
      </w:pPr>
      <w:r>
        <w:rPr>
          <w:rFonts w:ascii="Arial" w:cs="Arial" w:eastAsia="Arial" w:hAnsi="Arial"/>
          <w:sz w:val="20"/>
          <w:szCs w:val="20"/>
          <w:b w:val="1"/>
          <w:bCs w:val="1"/>
          <w:color w:val="auto"/>
        </w:rPr>
        <w:t>ANNEX 2.2</w:t>
      </w:r>
    </w:p>
    <w:p>
      <w:pPr>
        <w:spacing w:after="0" w:line="200" w:lineRule="exact"/>
        <w:rPr>
          <w:sz w:val="20"/>
          <w:szCs w:val="20"/>
          <w:color w:val="auto"/>
        </w:rPr>
      </w:pPr>
    </w:p>
    <w:p>
      <w:pPr>
        <w:spacing w:after="0" w:line="247"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 true and correct copy of resolutions of Seller’s shareholders approving the Spin-Off Transaction, this Agreement and the Transaction Documents and the transactions contemplated hereby and thereby, to the extent such is required.</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This is included within the Spin-off deed.</w:t>
      </w:r>
    </w:p>
    <w:p>
      <w:pPr>
        <w:sectPr>
          <w:pgSz w:w="11900" w:h="16838" w:orient="portrait"/>
          <w:cols w:equalWidth="0" w:num="1">
            <w:col w:w="10620"/>
          </w:cols>
          <w:pgMar w:left="240" w:top="576" w:right="1039" w:bottom="1440" w:gutter="0" w:footer="0" w:header="0"/>
        </w:sectPr>
      </w:pPr>
    </w:p>
    <w:bookmarkStart w:id="32" w:name="page33"/>
    <w:bookmarkEnd w:id="32"/>
    <w:p>
      <w:pPr>
        <w:ind w:left="5220"/>
        <w:spacing w:after="0"/>
        <w:rPr>
          <w:sz w:val="20"/>
          <w:szCs w:val="20"/>
          <w:color w:val="auto"/>
        </w:rPr>
      </w:pPr>
      <w:r>
        <w:rPr>
          <w:rFonts w:ascii="Arial" w:cs="Arial" w:eastAsia="Arial" w:hAnsi="Arial"/>
          <w:sz w:val="20"/>
          <w:szCs w:val="20"/>
          <w:b w:val="1"/>
          <w:bCs w:val="1"/>
          <w:color w:val="auto"/>
        </w:rPr>
        <w:t>ANNEX 2.3</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A counterpart of the Escrow Agreement duly executed by Seller and by the Escrow Agent.</w:t>
      </w:r>
    </w:p>
    <w:p>
      <w:pPr>
        <w:sectPr>
          <w:pgSz w:w="11900" w:h="16838" w:orient="portrait"/>
          <w:cols w:equalWidth="0" w:num="1">
            <w:col w:w="10219"/>
          </w:cols>
          <w:pgMar w:left="240" w:top="576" w:right="1440" w:bottom="1440" w:gutter="0" w:footer="0" w:header="0"/>
        </w:sectPr>
      </w:pPr>
    </w:p>
    <w:bookmarkStart w:id="33" w:name="page34"/>
    <w:bookmarkEnd w:id="33"/>
    <w:p>
      <w:pPr>
        <w:jc w:val="center"/>
        <w:ind w:right="-279"/>
        <w:spacing w:after="0"/>
        <w:rPr>
          <w:sz w:val="20"/>
          <w:szCs w:val="20"/>
          <w:color w:val="auto"/>
        </w:rPr>
      </w:pPr>
      <w:r>
        <w:rPr>
          <w:rFonts w:ascii="Arial" w:cs="Arial" w:eastAsia="Arial" w:hAnsi="Arial"/>
          <w:sz w:val="20"/>
          <w:szCs w:val="20"/>
          <w:b w:val="1"/>
          <w:bCs w:val="1"/>
          <w:color w:val="auto"/>
        </w:rPr>
        <w:t>ANNEX 2.4</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Proof that Newco is the holder of the Spontania Domains and of the transferred trademarks included in the Spontania IP together with such documents as necessary to transfer any Spontania IP (the “Intellectual Property Assignments”).</w:t>
      </w:r>
    </w:p>
    <w:p>
      <w:pPr>
        <w:sectPr>
          <w:pgSz w:w="11900" w:h="16838" w:orient="portrait"/>
          <w:cols w:equalWidth="0" w:num="1">
            <w:col w:w="11140"/>
          </w:cols>
          <w:pgMar w:left="240" w:top="576" w:right="519" w:bottom="1440" w:gutter="0" w:footer="0" w:header="0"/>
        </w:sectPr>
      </w:pPr>
    </w:p>
    <w:bookmarkStart w:id="34" w:name="page35"/>
    <w:bookmarkEnd w:id="34"/>
    <w:p>
      <w:pPr>
        <w:jc w:val="right"/>
        <w:ind w:right="3999"/>
        <w:spacing w:after="0"/>
        <w:rPr>
          <w:sz w:val="20"/>
          <w:szCs w:val="20"/>
          <w:color w:val="auto"/>
        </w:rPr>
      </w:pPr>
      <w:r>
        <w:rPr>
          <w:rFonts w:ascii="Arial" w:cs="Arial" w:eastAsia="Arial" w:hAnsi="Arial"/>
          <w:sz w:val="20"/>
          <w:szCs w:val="20"/>
          <w:b w:val="1"/>
          <w:bCs w:val="1"/>
          <w:color w:val="auto"/>
        </w:rPr>
        <w:t>ANNEX 2.5</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Duly executed counterpart signature page to the Executive Agreements</w:t>
      </w:r>
    </w:p>
    <w:p>
      <w:pPr>
        <w:sectPr>
          <w:pgSz w:w="11900" w:h="16838" w:orient="portrait"/>
          <w:cols w:equalWidth="0" w:num="1">
            <w:col w:w="10219"/>
          </w:cols>
          <w:pgMar w:left="240" w:top="576" w:right="1440" w:bottom="1440" w:gutter="0" w:footer="0" w:header="0"/>
        </w:sectPr>
      </w:pPr>
    </w:p>
    <w:bookmarkStart w:id="35" w:name="page36"/>
    <w:bookmarkEnd w:id="35"/>
    <w:p>
      <w:pPr>
        <w:jc w:val="center"/>
        <w:ind w:right="-199"/>
        <w:spacing w:after="0"/>
        <w:rPr>
          <w:sz w:val="20"/>
          <w:szCs w:val="20"/>
          <w:color w:val="auto"/>
        </w:rPr>
      </w:pPr>
      <w:r>
        <w:rPr>
          <w:rFonts w:ascii="Arial" w:cs="Arial" w:eastAsia="Arial" w:hAnsi="Arial"/>
          <w:sz w:val="20"/>
          <w:szCs w:val="20"/>
          <w:b w:val="1"/>
          <w:bCs w:val="1"/>
          <w:color w:val="auto"/>
        </w:rPr>
        <w:t>ANNEX 2.6</w:t>
      </w:r>
    </w:p>
    <w:p>
      <w:pPr>
        <w:spacing w:after="0" w:line="231"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Sealed filing before the Spanish Data Protection Agency requesting the modification of the name of the data processor of the files currently registered in the Spanish Data Protection Agency Register, of which the Seller is the current data processor. The sealed filing shall request the modification of the name of the data processor from Seller to Newco.</w:t>
      </w:r>
    </w:p>
    <w:p>
      <w:pPr>
        <w:sectPr>
          <w:pgSz w:w="11900" w:h="16838" w:orient="portrait"/>
          <w:cols w:equalWidth="0" w:num="1">
            <w:col w:w="11240"/>
          </w:cols>
          <w:pgMar w:left="240" w:top="576" w:right="41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20"/>
          <w:szCs w:val="20"/>
          <w:b w:val="1"/>
          <w:bCs w:val="1"/>
          <w:color w:val="auto"/>
        </w:rPr>
        <w:t>ANNEX 2.7</w:t>
      </w:r>
    </w:p>
    <w:p>
      <w:pPr>
        <w:spacing w:after="0" w:line="231"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Non-Compete Agreement or Side Letter with respect to shareholders and officers of Seller specified in Schedule 2.6.(a).(vii) of the Framework Agreement, in form acceptable to the Parties.</w:t>
      </w:r>
    </w:p>
    <w:p>
      <w:pPr>
        <w:spacing w:after="0" w:line="215"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To this respect, the Seller provides the original Non-compete agreement signed by Enrique Dominguez and Marcelo Martínez. Concerning the rest of the shareholders obliged to produce said documents, the Purchaser waives such obligation as long as the same sell their shares in Dialcom to Enrique Dominguez and Marcelo Martínez before 15 days. Concerning all except Javier Marin Alvarado, who shall hava a 30 day deadline. If such transfer is not made, the Seller shall pay a penalty of 2,000 € per day until all the referred transfers are executed. In any case, said sale of shares may be substituted by the signing of non compete agreements bu said shareholders in the same terms and conditions as established herein.</w:t>
      </w:r>
    </w:p>
    <w:p>
      <w:pPr>
        <w:sectPr>
          <w:pgSz w:w="11900" w:h="16838" w:orient="portrait"/>
          <w:cols w:equalWidth="0" w:num="1">
            <w:col w:w="11360"/>
          </w:cols>
          <w:pgMar w:left="240" w:top="576"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ANNEX 2.8</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Certificate to the effect that the representations and warranties set forth in Article III of the Framework Agreement are true and correct in all material respects, except that as to (A) such representations and warranties as are qualified by terms such as “material” and “Material Adverse Effect” and (B) the Fundamental Representations, such certificate shall state that such representations and warranties are true and correct in all respects.</w:t>
      </w:r>
    </w:p>
    <w:p>
      <w:pPr>
        <w:sectPr>
          <w:pgSz w:w="11900" w:h="16838" w:orient="portrait"/>
          <w:cols w:equalWidth="0" w:num="1">
            <w:col w:w="11420"/>
          </w:cols>
          <w:pgMar w:left="240" w:top="576"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0"/>
          <w:szCs w:val="20"/>
          <w:b w:val="1"/>
          <w:bCs w:val="1"/>
          <w:color w:val="auto"/>
        </w:rPr>
        <w:t>BRING DOWN CERTIFICATE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March 31, 2014</w:t>
      </w:r>
    </w:p>
    <w:p>
      <w:pPr>
        <w:spacing w:after="0" w:line="81"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Pursuant to Section 2.6(a)(ix) of the Framework Agreement (the “Agreement”), entered into as of December 20, 2013, by and between ClearOne, Inc., a corporation registered in the State of Utah, United States, represented by Zeyneb Hakimoglu acting as empowered attorney, (the “</w:t>
      </w:r>
      <w:r>
        <w:rPr>
          <w:rFonts w:ascii="Arial" w:cs="Arial" w:eastAsia="Arial" w:hAnsi="Arial"/>
          <w:sz w:val="18"/>
          <w:szCs w:val="18"/>
          <w:b w:val="1"/>
          <w:bCs w:val="1"/>
          <w:color w:val="auto"/>
        </w:rPr>
        <w:t>Purchaser</w:t>
      </w:r>
      <w:r>
        <w:rPr>
          <w:rFonts w:ascii="Arial" w:cs="Arial" w:eastAsia="Arial" w:hAnsi="Arial"/>
          <w:sz w:val="18"/>
          <w:szCs w:val="18"/>
          <w:color w:val="auto"/>
        </w:rPr>
        <w:t>”), and Dialcom Networks S.L., a Spanish private limited company, registered with the Zaragoza Trade registry under page Z-30936, and represented by Enrique Domínguez García acting as empowered attorney (the “</w:t>
      </w:r>
      <w:r>
        <w:rPr>
          <w:rFonts w:ascii="Arial" w:cs="Arial" w:eastAsia="Arial" w:hAnsi="Arial"/>
          <w:sz w:val="18"/>
          <w:szCs w:val="18"/>
          <w:b w:val="1"/>
          <w:bCs w:val="1"/>
          <w:color w:val="auto"/>
        </w:rPr>
        <w:t>Seller</w:t>
      </w:r>
      <w:r>
        <w:rPr>
          <w:rFonts w:ascii="Arial" w:cs="Arial" w:eastAsia="Arial" w:hAnsi="Arial"/>
          <w:sz w:val="18"/>
          <w:szCs w:val="18"/>
          <w:color w:val="auto"/>
        </w:rPr>
        <w:t>”), Seller hereby certifies as follows: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representations and warranties set forth in Article III of the Agreement are true and correct in all material respects, except that as to</w:t>
      </w:r>
    </w:p>
    <w:p>
      <w:pPr>
        <w:spacing w:after="0" w:line="62" w:lineRule="exact"/>
        <w:rPr>
          <w:sz w:val="20"/>
          <w:szCs w:val="20"/>
          <w:color w:val="auto"/>
        </w:rPr>
      </w:pPr>
    </w:p>
    <w:p>
      <w:pPr>
        <w:ind w:right="260" w:firstLine="8"/>
        <w:spacing w:after="0" w:line="244" w:lineRule="auto"/>
        <w:tabs>
          <w:tab w:leader="none" w:pos="3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such representations and warranties as are qualified by terms such as “material” and “Material Adverse Effect” and (B) the Fundamental Representations, such representations and warranties are true and correct in all respects.</w:t>
      </w:r>
    </w:p>
    <w:p>
      <w:pPr>
        <w:spacing w:after="0" w:line="138" w:lineRule="exact"/>
        <w:rPr>
          <w:sz w:val="20"/>
          <w:szCs w:val="20"/>
          <w:color w:val="auto"/>
        </w:rPr>
      </w:pPr>
    </w:p>
    <w:p>
      <w:pPr>
        <w:ind w:right="820" w:firstLine="648"/>
        <w:spacing w:after="0" w:line="260" w:lineRule="auto"/>
        <w:rPr>
          <w:sz w:val="20"/>
          <w:szCs w:val="20"/>
          <w:color w:val="auto"/>
        </w:rPr>
      </w:pPr>
      <w:r>
        <w:rPr>
          <w:rFonts w:ascii="Arial" w:cs="Arial" w:eastAsia="Arial" w:hAnsi="Arial"/>
          <w:sz w:val="20"/>
          <w:szCs w:val="20"/>
          <w:color w:val="auto"/>
        </w:rPr>
        <w:t>Seller has performed or complied in all material respects with all covenants and obligations contained in the Agreement to be performed or complied with by the undersigned on or prior to the Closing.</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Capitalized terms used but not defined herein have the meanings ascribed to them in the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signs this certificate effective as of the date indicated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Dialcom Networks S.L.</w:t>
      </w:r>
    </w:p>
    <w:p>
      <w:pPr>
        <w:spacing w:after="0" w:line="283"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Name:Enrique Domínguez García</w:t>
      </w:r>
    </w:p>
    <w:p>
      <w:pPr>
        <w:ind w:left="3340"/>
        <w:spacing w:after="0"/>
        <w:rPr>
          <w:sz w:val="20"/>
          <w:szCs w:val="20"/>
          <w:color w:val="auto"/>
        </w:rPr>
      </w:pPr>
      <w:r>
        <w:rPr>
          <w:rFonts w:ascii="Arial" w:cs="Arial" w:eastAsia="Arial" w:hAnsi="Arial"/>
          <w:sz w:val="20"/>
          <w:szCs w:val="20"/>
          <w:color w:val="auto"/>
        </w:rPr>
        <w:t>Title: President &amp; CEO</w:t>
      </w:r>
    </w:p>
    <w:p>
      <w:pPr>
        <w:sectPr>
          <w:pgSz w:w="11900" w:h="16838" w:orient="portrait"/>
          <w:cols w:equalWidth="0" w:num="1">
            <w:col w:w="11400"/>
          </w:cols>
          <w:pgMar w:left="240" w:top="792" w:right="259" w:bottom="1440" w:gutter="0" w:footer="0" w:header="0"/>
        </w:sectPr>
      </w:pPr>
    </w:p>
    <w:bookmarkStart w:id="39" w:name="page40"/>
    <w:bookmarkEnd w:id="39"/>
    <w:p>
      <w:pPr>
        <w:ind w:left="5220"/>
        <w:spacing w:after="0"/>
        <w:rPr>
          <w:sz w:val="20"/>
          <w:szCs w:val="20"/>
          <w:color w:val="auto"/>
        </w:rPr>
      </w:pPr>
      <w:r>
        <w:rPr>
          <w:rFonts w:ascii="Arial" w:cs="Arial" w:eastAsia="Arial" w:hAnsi="Arial"/>
          <w:sz w:val="20"/>
          <w:szCs w:val="20"/>
          <w:b w:val="1"/>
          <w:bCs w:val="1"/>
          <w:color w:val="auto"/>
        </w:rPr>
        <w:t>ANNEX 2.9</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Executed documents for assumption of the Office Lease, subject to obtaining any necessary Consent from landlord.</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Copy of the lease agreement signed between Clearone Spain SL and the landlord.</w:t>
      </w:r>
    </w:p>
    <w:p>
      <w:pPr>
        <w:sectPr>
          <w:pgSz w:w="11900" w:h="16838" w:orient="portrait"/>
          <w:cols w:equalWidth="0" w:num="1">
            <w:col w:w="10219"/>
          </w:cols>
          <w:pgMar w:left="240" w:top="576" w:right="1440"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20"/>
          <w:szCs w:val="20"/>
          <w:b w:val="1"/>
          <w:bCs w:val="1"/>
          <w:color w:val="auto"/>
        </w:rPr>
        <w:t>ANNEX 3</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PURCHASER’S CLOSING DELIVERIES</w:t>
      </w:r>
    </w:p>
    <w:p>
      <w:pPr>
        <w:sectPr>
          <w:pgSz w:w="11900" w:h="16838" w:orient="portrait"/>
          <w:cols w:equalWidth="0" w:num="1">
            <w:col w:w="9019"/>
          </w:cols>
          <w:pgMar w:left="1440" w:top="576" w:right="1440" w:bottom="1440" w:gutter="0" w:footer="0" w:header="0"/>
        </w:sectPr>
      </w:pPr>
    </w:p>
    <w:bookmarkStart w:id="41" w:name="page42"/>
    <w:bookmarkEnd w:id="41"/>
    <w:p>
      <w:pPr>
        <w:ind w:left="5220"/>
        <w:spacing w:after="0"/>
        <w:rPr>
          <w:sz w:val="20"/>
          <w:szCs w:val="20"/>
          <w:color w:val="auto"/>
        </w:rPr>
      </w:pPr>
      <w:r>
        <w:rPr>
          <w:rFonts w:ascii="Arial" w:cs="Arial" w:eastAsia="Arial" w:hAnsi="Arial"/>
          <w:sz w:val="20"/>
          <w:szCs w:val="20"/>
          <w:b w:val="1"/>
          <w:bCs w:val="1"/>
          <w:color w:val="auto"/>
        </w:rPr>
        <w:t>ANNEX 3.1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A counterpart of the Escrow Agreement duly executed by Purchaser.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3219"/>
        <w:spacing w:after="0"/>
        <w:rPr>
          <w:sz w:val="20"/>
          <w:szCs w:val="20"/>
          <w:color w:val="auto"/>
        </w:rPr>
      </w:pPr>
      <w:r>
        <w:rPr>
          <w:rFonts w:ascii="Arial" w:cs="Arial" w:eastAsia="Arial" w:hAnsi="Arial"/>
          <w:sz w:val="22"/>
          <w:szCs w:val="22"/>
          <w:color w:val="auto"/>
        </w:rPr>
        <w:t>INCLUDED AS ANNEX 2.3</w:t>
      </w:r>
    </w:p>
    <w:p>
      <w:pPr>
        <w:sectPr>
          <w:pgSz w:w="11900" w:h="16838" w:orient="portrait"/>
          <w:cols w:equalWidth="0" w:num="1">
            <w:col w:w="10219"/>
          </w:cols>
          <w:pgMar w:left="240" w:top="576" w:right="1440" w:bottom="1440" w:gutter="0" w:footer="0" w:header="0"/>
        </w:sectPr>
      </w:pPr>
    </w:p>
    <w:bookmarkStart w:id="42" w:name="page43"/>
    <w:bookmarkEnd w:id="42"/>
    <w:p>
      <w:pPr>
        <w:ind w:left="5220"/>
        <w:spacing w:after="0"/>
        <w:rPr>
          <w:sz w:val="20"/>
          <w:szCs w:val="20"/>
          <w:color w:val="auto"/>
        </w:rPr>
      </w:pPr>
      <w:r>
        <w:rPr>
          <w:rFonts w:ascii="Arial" w:cs="Arial" w:eastAsia="Arial" w:hAnsi="Arial"/>
          <w:sz w:val="20"/>
          <w:szCs w:val="20"/>
          <w:b w:val="1"/>
          <w:bCs w:val="1"/>
          <w:color w:val="auto"/>
        </w:rPr>
        <w:t>ANNEX 3.2</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A counterpart of the Executive Agreements duly executed by the correct party.</w:t>
      </w:r>
    </w:p>
    <w:p>
      <w:pPr>
        <w:spacing w:after="0" w:line="254" w:lineRule="exact"/>
        <w:rPr>
          <w:sz w:val="20"/>
          <w:szCs w:val="20"/>
          <w:color w:val="auto"/>
        </w:rPr>
      </w:pPr>
    </w:p>
    <w:p>
      <w:pPr>
        <w:jc w:val="right"/>
        <w:ind w:right="3219"/>
        <w:spacing w:after="0"/>
        <w:rPr>
          <w:sz w:val="20"/>
          <w:szCs w:val="20"/>
          <w:color w:val="auto"/>
        </w:rPr>
      </w:pPr>
      <w:r>
        <w:rPr>
          <w:rFonts w:ascii="Arial" w:cs="Arial" w:eastAsia="Arial" w:hAnsi="Arial"/>
          <w:sz w:val="22"/>
          <w:szCs w:val="22"/>
          <w:color w:val="auto"/>
        </w:rPr>
        <w:t>INCLUDED AS ANNEX 2.5</w:t>
      </w:r>
    </w:p>
    <w:p>
      <w:pPr>
        <w:sectPr>
          <w:pgSz w:w="11900" w:h="16838" w:orient="portrait"/>
          <w:cols w:equalWidth="0" w:num="1">
            <w:col w:w="10219"/>
          </w:cols>
          <w:pgMar w:left="240" w:top="576" w:right="1440" w:bottom="1440" w:gutter="0" w:footer="0" w:header="0"/>
        </w:sectPr>
      </w:pPr>
    </w:p>
    <w:bookmarkStart w:id="43" w:name="page44"/>
    <w:bookmarkEnd w:id="43"/>
    <w:tbl>
      <w:tblPr>
        <w:tblLayout w:type="fixed"/>
        <w:tblInd w:w="340" w:type="dxa"/>
        <w:tblCellMar>
          <w:top w:w="0" w:type="dxa"/>
          <w:left w:w="0" w:type="dxa"/>
          <w:bottom w:w="0" w:type="dxa"/>
          <w:right w:w="0" w:type="dxa"/>
        </w:tblCellMar>
      </w:tblPr>
      <w:tr>
        <w:trPr>
          <w:trHeight w:val="281"/>
        </w:trPr>
        <w:tc>
          <w:tcPr>
            <w:tcW w:w="2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22"/>
                <w:szCs w:val="22"/>
                <w:b w:val="1"/>
                <w:bCs w:val="1"/>
                <w:color w:val="auto"/>
                <w:w w:val="98"/>
              </w:rPr>
              <w:t>ANNEX 4</w:t>
            </w:r>
          </w:p>
        </w:tc>
      </w:tr>
      <w:tr>
        <w:trPr>
          <w:trHeight w:val="554"/>
        </w:trPr>
        <w:tc>
          <w:tcPr>
            <w:tcW w:w="2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22"/>
                <w:szCs w:val="22"/>
                <w:b w:val="1"/>
                <w:bCs w:val="1"/>
                <w:color w:val="auto"/>
              </w:rPr>
              <w:t>IDENTIFIED CREDITORS</w:t>
            </w:r>
          </w:p>
        </w:tc>
      </w:tr>
      <w:tr>
        <w:trPr>
          <w:trHeight w:val="432"/>
        </w:trPr>
        <w:tc>
          <w:tcPr>
            <w:tcW w:w="220" w:type="dxa"/>
            <w:vAlign w:val="bottom"/>
          </w:tcPr>
          <w:p>
            <w:pPr>
              <w:jc w:val="right"/>
              <w:ind w:right="15"/>
              <w:spacing w:after="0"/>
              <w:rPr>
                <w:sz w:val="20"/>
                <w:szCs w:val="20"/>
                <w:color w:val="auto"/>
              </w:rPr>
            </w:pPr>
            <w:r>
              <w:rPr>
                <w:rFonts w:ascii="Arial" w:cs="Arial" w:eastAsia="Arial" w:hAnsi="Arial"/>
                <w:sz w:val="17"/>
                <w:szCs w:val="17"/>
                <w:color w:val="auto"/>
                <w:w w:val="70"/>
              </w:rPr>
              <w:t>1.</w:t>
            </w:r>
          </w:p>
        </w:tc>
        <w:tc>
          <w:tcPr>
            <w:tcW w:w="3060" w:type="dxa"/>
            <w:vAlign w:val="bottom"/>
          </w:tcPr>
          <w:p>
            <w:pPr>
              <w:ind w:left="100"/>
              <w:spacing w:after="0"/>
              <w:rPr>
                <w:sz w:val="20"/>
                <w:szCs w:val="20"/>
                <w:color w:val="auto"/>
              </w:rPr>
            </w:pPr>
            <w:r>
              <w:rPr>
                <w:rFonts w:ascii="Arial" w:cs="Arial" w:eastAsia="Arial" w:hAnsi="Arial"/>
                <w:sz w:val="22"/>
                <w:szCs w:val="22"/>
                <w:color w:val="auto"/>
              </w:rPr>
              <w:t>Spanish Tax Agency / AEAT</w:t>
            </w:r>
          </w:p>
        </w:tc>
        <w:tc>
          <w:tcPr>
            <w:tcW w:w="3400" w:type="dxa"/>
            <w:vAlign w:val="bottom"/>
            <w:gridSpan w:val="2"/>
          </w:tcPr>
          <w:p>
            <w:pPr>
              <w:ind w:left="440"/>
              <w:spacing w:after="0"/>
              <w:rPr>
                <w:sz w:val="20"/>
                <w:szCs w:val="20"/>
                <w:color w:val="auto"/>
              </w:rPr>
            </w:pPr>
            <w:r>
              <w:rPr>
                <w:rFonts w:ascii="Arial" w:cs="Arial" w:eastAsia="Arial" w:hAnsi="Arial"/>
                <w:sz w:val="22"/>
                <w:szCs w:val="22"/>
                <w:b w:val="1"/>
                <w:bCs w:val="1"/>
                <w:color w:val="auto"/>
              </w:rPr>
              <w:t>186.044,7 €</w:t>
            </w:r>
          </w:p>
        </w:tc>
      </w:tr>
      <w:tr>
        <w:trPr>
          <w:trHeight w:val="378"/>
        </w:trPr>
        <w:tc>
          <w:tcPr>
            <w:tcW w:w="220" w:type="dxa"/>
            <w:vAlign w:val="bottom"/>
          </w:tcPr>
          <w:p>
            <w:pPr>
              <w:jc w:val="right"/>
              <w:ind w:right="15"/>
              <w:spacing w:after="0"/>
              <w:rPr>
                <w:sz w:val="20"/>
                <w:szCs w:val="20"/>
                <w:color w:val="auto"/>
              </w:rPr>
            </w:pPr>
            <w:r>
              <w:rPr>
                <w:rFonts w:ascii="Arial" w:cs="Arial" w:eastAsia="Arial" w:hAnsi="Arial"/>
                <w:sz w:val="17"/>
                <w:szCs w:val="17"/>
                <w:color w:val="auto"/>
                <w:w w:val="70"/>
              </w:rPr>
              <w:t>2.</w:t>
            </w:r>
          </w:p>
        </w:tc>
        <w:tc>
          <w:tcPr>
            <w:tcW w:w="3820" w:type="dxa"/>
            <w:vAlign w:val="bottom"/>
            <w:gridSpan w:val="2"/>
          </w:tcPr>
          <w:p>
            <w:pPr>
              <w:ind w:left="100"/>
              <w:spacing w:after="0"/>
              <w:rPr>
                <w:sz w:val="20"/>
                <w:szCs w:val="20"/>
                <w:color w:val="auto"/>
              </w:rPr>
            </w:pPr>
            <w:r>
              <w:rPr>
                <w:rFonts w:ascii="Arial" w:cs="Arial" w:eastAsia="Arial" w:hAnsi="Arial"/>
                <w:sz w:val="22"/>
                <w:szCs w:val="22"/>
                <w:color w:val="auto"/>
                <w:w w:val="88"/>
              </w:rPr>
              <w:t>Spanish Social Security / Seguridad Social</w:t>
            </w:r>
          </w:p>
        </w:tc>
        <w:tc>
          <w:tcPr>
            <w:tcW w:w="2640" w:type="dxa"/>
            <w:vAlign w:val="bottom"/>
          </w:tcPr>
          <w:p>
            <w:pPr>
              <w:ind w:left="500"/>
              <w:spacing w:after="0"/>
              <w:rPr>
                <w:sz w:val="20"/>
                <w:szCs w:val="20"/>
                <w:color w:val="auto"/>
              </w:rPr>
            </w:pPr>
            <w:r>
              <w:rPr>
                <w:rFonts w:ascii="Arial" w:cs="Arial" w:eastAsia="Arial" w:hAnsi="Arial"/>
                <w:sz w:val="22"/>
                <w:szCs w:val="22"/>
                <w:b w:val="1"/>
                <w:bCs w:val="1"/>
                <w:color w:val="auto"/>
              </w:rPr>
              <w:t>96.781,42 €</w:t>
            </w:r>
          </w:p>
        </w:tc>
      </w:tr>
    </w:tbl>
    <w:p>
      <w:pPr>
        <w:spacing w:after="0" w:line="10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22"/>
          <w:szCs w:val="22"/>
          <w:color w:val="auto"/>
        </w:rPr>
        <w:t>Banks / Bancos:</w:t>
      </w:r>
    </w:p>
    <w:p>
      <w:pPr>
        <w:spacing w:after="0" w:line="106" w:lineRule="exact"/>
        <w:rPr>
          <w:sz w:val="20"/>
          <w:szCs w:val="20"/>
          <w:color w:val="auto"/>
        </w:rPr>
      </w:pPr>
    </w:p>
    <w:tbl>
      <w:tblPr>
        <w:tblLayout w:type="fixed"/>
        <w:tblInd w:w="620" w:type="dxa"/>
        <w:tblCellMar>
          <w:top w:w="0" w:type="dxa"/>
          <w:left w:w="0" w:type="dxa"/>
          <w:bottom w:w="0" w:type="dxa"/>
          <w:right w:w="0" w:type="dxa"/>
        </w:tblCellMar>
      </w:tblPr>
      <w:tr>
        <w:trPr>
          <w:trHeight w:val="281"/>
        </w:trPr>
        <w:tc>
          <w:tcPr>
            <w:tcW w:w="260" w:type="dxa"/>
            <w:vAlign w:val="bottom"/>
          </w:tcPr>
          <w:p>
            <w:pPr>
              <w:spacing w:after="0"/>
              <w:rPr>
                <w:sz w:val="20"/>
                <w:szCs w:val="20"/>
                <w:color w:val="auto"/>
              </w:rPr>
            </w:pPr>
            <w:r>
              <w:rPr>
                <w:rFonts w:ascii="Arial" w:cs="Arial" w:eastAsia="Arial" w:hAnsi="Arial"/>
                <w:sz w:val="18"/>
                <w:szCs w:val="18"/>
                <w:color w:val="auto"/>
              </w:rPr>
              <w:t>a.</w:t>
            </w:r>
          </w:p>
        </w:tc>
        <w:tc>
          <w:tcPr>
            <w:tcW w:w="1780" w:type="dxa"/>
            <w:vAlign w:val="bottom"/>
          </w:tcPr>
          <w:p>
            <w:pPr>
              <w:ind w:left="120"/>
              <w:spacing w:after="0"/>
              <w:rPr>
                <w:sz w:val="20"/>
                <w:szCs w:val="20"/>
                <w:color w:val="auto"/>
              </w:rPr>
            </w:pPr>
            <w:r>
              <w:rPr>
                <w:rFonts w:ascii="Arial" w:cs="Arial" w:eastAsia="Arial" w:hAnsi="Arial"/>
                <w:sz w:val="22"/>
                <w:szCs w:val="22"/>
                <w:color w:val="auto"/>
              </w:rPr>
              <w:t>BBVA</w:t>
            </w:r>
          </w:p>
        </w:tc>
        <w:tc>
          <w:tcPr>
            <w:tcW w:w="2040" w:type="dxa"/>
            <w:vAlign w:val="bottom"/>
          </w:tcPr>
          <w:p>
            <w:pPr>
              <w:ind w:left="180"/>
              <w:spacing w:after="0"/>
              <w:rPr>
                <w:sz w:val="20"/>
                <w:szCs w:val="20"/>
                <w:color w:val="auto"/>
              </w:rPr>
            </w:pPr>
            <w:r>
              <w:rPr>
                <w:rFonts w:ascii="Arial" w:cs="Arial" w:eastAsia="Arial" w:hAnsi="Arial"/>
                <w:sz w:val="22"/>
                <w:szCs w:val="22"/>
                <w:b w:val="1"/>
                <w:bCs w:val="1"/>
                <w:color w:val="auto"/>
              </w:rPr>
              <w:t xml:space="preserve">241.000 </w:t>
            </w:r>
            <w:r>
              <w:rPr>
                <w:rFonts w:ascii="Arial" w:cs="Arial" w:eastAsia="Arial" w:hAnsi="Arial"/>
                <w:sz w:val="22"/>
                <w:szCs w:val="22"/>
                <w:color w:val="auto"/>
              </w:rPr>
              <w:t>€</w:t>
            </w:r>
          </w:p>
        </w:tc>
      </w:tr>
      <w:tr>
        <w:trPr>
          <w:trHeight w:val="378"/>
        </w:trPr>
        <w:tc>
          <w:tcPr>
            <w:tcW w:w="260" w:type="dxa"/>
            <w:vAlign w:val="bottom"/>
          </w:tcPr>
          <w:p>
            <w:pPr>
              <w:spacing w:after="0"/>
              <w:rPr>
                <w:sz w:val="20"/>
                <w:szCs w:val="20"/>
                <w:color w:val="auto"/>
              </w:rPr>
            </w:pPr>
            <w:r>
              <w:rPr>
                <w:rFonts w:ascii="Arial" w:cs="Arial" w:eastAsia="Arial" w:hAnsi="Arial"/>
                <w:sz w:val="18"/>
                <w:szCs w:val="18"/>
                <w:color w:val="auto"/>
              </w:rPr>
              <w:t>b.</w:t>
            </w:r>
          </w:p>
        </w:tc>
        <w:tc>
          <w:tcPr>
            <w:tcW w:w="1780" w:type="dxa"/>
            <w:vAlign w:val="bottom"/>
          </w:tcPr>
          <w:p>
            <w:pPr>
              <w:ind w:left="120"/>
              <w:spacing w:after="0"/>
              <w:rPr>
                <w:sz w:val="20"/>
                <w:szCs w:val="20"/>
                <w:color w:val="auto"/>
              </w:rPr>
            </w:pPr>
            <w:r>
              <w:rPr>
                <w:rFonts w:ascii="Arial" w:cs="Arial" w:eastAsia="Arial" w:hAnsi="Arial"/>
                <w:sz w:val="22"/>
                <w:szCs w:val="22"/>
                <w:color w:val="auto"/>
                <w:w w:val="96"/>
              </w:rPr>
              <w:t>Banco Santander</w:t>
            </w:r>
          </w:p>
        </w:tc>
        <w:tc>
          <w:tcPr>
            <w:tcW w:w="2040" w:type="dxa"/>
            <w:vAlign w:val="bottom"/>
          </w:tcPr>
          <w:p>
            <w:pPr>
              <w:ind w:left="900"/>
              <w:spacing w:after="0"/>
              <w:rPr>
                <w:sz w:val="20"/>
                <w:szCs w:val="20"/>
                <w:color w:val="auto"/>
              </w:rPr>
            </w:pPr>
            <w:r>
              <w:rPr>
                <w:rFonts w:ascii="Arial" w:cs="Arial" w:eastAsia="Arial" w:hAnsi="Arial"/>
                <w:sz w:val="22"/>
                <w:szCs w:val="22"/>
                <w:b w:val="1"/>
                <w:bCs w:val="1"/>
                <w:color w:val="auto"/>
                <w:w w:val="87"/>
              </w:rPr>
              <w:t>161,694.16 €</w:t>
            </w:r>
          </w:p>
        </w:tc>
      </w:tr>
      <w:tr>
        <w:trPr>
          <w:trHeight w:val="378"/>
        </w:trPr>
        <w:tc>
          <w:tcPr>
            <w:tcW w:w="260" w:type="dxa"/>
            <w:vAlign w:val="bottom"/>
          </w:tcPr>
          <w:p>
            <w:pPr>
              <w:spacing w:after="0"/>
              <w:rPr>
                <w:sz w:val="20"/>
                <w:szCs w:val="20"/>
                <w:color w:val="auto"/>
              </w:rPr>
            </w:pPr>
            <w:r>
              <w:rPr>
                <w:rFonts w:ascii="Arial" w:cs="Arial" w:eastAsia="Arial" w:hAnsi="Arial"/>
                <w:sz w:val="18"/>
                <w:szCs w:val="18"/>
                <w:color w:val="auto"/>
              </w:rPr>
              <w:t>c.</w:t>
            </w:r>
          </w:p>
        </w:tc>
        <w:tc>
          <w:tcPr>
            <w:tcW w:w="1780" w:type="dxa"/>
            <w:vAlign w:val="bottom"/>
          </w:tcPr>
          <w:p>
            <w:pPr>
              <w:ind w:left="120"/>
              <w:spacing w:after="0"/>
              <w:rPr>
                <w:sz w:val="20"/>
                <w:szCs w:val="20"/>
                <w:color w:val="auto"/>
              </w:rPr>
            </w:pPr>
            <w:r>
              <w:rPr>
                <w:rFonts w:ascii="Arial" w:cs="Arial" w:eastAsia="Arial" w:hAnsi="Arial"/>
                <w:sz w:val="22"/>
                <w:szCs w:val="22"/>
                <w:color w:val="auto"/>
              </w:rPr>
              <w:t>Banco Popular</w:t>
            </w:r>
          </w:p>
        </w:tc>
        <w:tc>
          <w:tcPr>
            <w:tcW w:w="2040" w:type="dxa"/>
            <w:vAlign w:val="bottom"/>
          </w:tcPr>
          <w:p>
            <w:pPr>
              <w:ind w:left="700"/>
              <w:spacing w:after="0"/>
              <w:rPr>
                <w:sz w:val="20"/>
                <w:szCs w:val="20"/>
                <w:color w:val="auto"/>
              </w:rPr>
            </w:pPr>
            <w:r>
              <w:rPr>
                <w:rFonts w:ascii="Arial" w:cs="Arial" w:eastAsia="Arial" w:hAnsi="Arial"/>
                <w:sz w:val="22"/>
                <w:szCs w:val="22"/>
                <w:b w:val="1"/>
                <w:bCs w:val="1"/>
                <w:color w:val="auto"/>
              </w:rPr>
              <w:t>248,390.06 €</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Total amount debts Identified Creditors: 933.910,34</w:t>
      </w:r>
    </w:p>
    <w:p>
      <w:pPr>
        <w:sectPr>
          <w:pgSz w:w="11900" w:h="16838" w:orient="portrait"/>
          <w:cols w:equalWidth="0" w:num="1">
            <w:col w:w="10219"/>
          </w:cols>
          <w:pgMar w:left="240" w:top="760" w:right="1440"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22"/>
          <w:szCs w:val="22"/>
          <w:b w:val="1"/>
          <w:bCs w:val="1"/>
          <w:color w:val="auto"/>
        </w:rPr>
        <w:t>ANNEX 5</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CREDITORS’ DEBT CERTIFICATES</w:t>
      </w:r>
    </w:p>
    <w:p>
      <w:pPr>
        <w:sectPr>
          <w:pgSz w:w="11900" w:h="16838" w:orient="portrait"/>
          <w:cols w:equalWidth="0" w:num="1">
            <w:col w:w="9019"/>
          </w:cols>
          <w:pgMar w:left="1440" w:top="760" w:right="1440"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22"/>
          <w:szCs w:val="22"/>
          <w:b w:val="1"/>
          <w:bCs w:val="1"/>
          <w:color w:val="auto"/>
        </w:rPr>
        <w:t>ANNEX 6</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AMENDMENT ONE TO FRAMEWORK AGREEMENT</w:t>
      </w:r>
    </w:p>
    <w:p>
      <w:pPr>
        <w:sectPr>
          <w:pgSz w:w="11900" w:h="16838" w:orient="portrait"/>
          <w:cols w:equalWidth="0" w:num="1">
            <w:col w:w="9019"/>
          </w:cols>
          <w:pgMar w:left="1440" w:top="760" w:right="1440" w:bottom="1440" w:gutter="0" w:footer="0" w:header="0"/>
        </w:sectPr>
      </w:pPr>
    </w:p>
    <w:bookmarkStart w:id="46" w:name="page47"/>
    <w:bookmarkEnd w:id="46"/>
    <w:p>
      <w:pPr>
        <w:jc w:val="center"/>
        <w:ind w:right="-1220"/>
        <w:spacing w:after="0"/>
        <w:rPr>
          <w:sz w:val="20"/>
          <w:szCs w:val="20"/>
          <w:color w:val="auto"/>
        </w:rPr>
      </w:pPr>
      <w:r>
        <w:rPr>
          <w:rFonts w:ascii="Arial" w:cs="Arial" w:eastAsia="Arial" w:hAnsi="Arial"/>
          <w:sz w:val="22"/>
          <w:szCs w:val="22"/>
          <w:b w:val="1"/>
          <w:bCs w:val="1"/>
          <w:color w:val="auto"/>
        </w:rPr>
        <w:t>ANNEX 7</w:t>
      </w:r>
    </w:p>
    <w:p>
      <w:pPr>
        <w:spacing w:after="0" w:line="301" w:lineRule="exact"/>
        <w:rPr>
          <w:sz w:val="20"/>
          <w:szCs w:val="20"/>
          <w:color w:val="auto"/>
        </w:rPr>
      </w:pPr>
    </w:p>
    <w:p>
      <w:pPr>
        <w:jc w:val="right"/>
        <w:ind w:right="1559"/>
        <w:spacing w:after="0"/>
        <w:rPr>
          <w:sz w:val="20"/>
          <w:szCs w:val="20"/>
          <w:color w:val="auto"/>
        </w:rPr>
      </w:pPr>
      <w:r>
        <w:rPr>
          <w:rFonts w:ascii="Arial" w:cs="Arial" w:eastAsia="Arial" w:hAnsi="Arial"/>
          <w:sz w:val="22"/>
          <w:szCs w:val="22"/>
          <w:b w:val="1"/>
          <w:bCs w:val="1"/>
          <w:color w:val="auto"/>
        </w:rPr>
        <w:t>OWED LOAN AMOUNT UNDER THE LOAN AGREEMENT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300" w:type="dxa"/>
            <w:vAlign w:val="bottom"/>
          </w:tcPr>
          <w:p>
            <w:pPr>
              <w:spacing w:after="0"/>
              <w:rPr>
                <w:sz w:val="20"/>
                <w:szCs w:val="20"/>
                <w:color w:val="auto"/>
              </w:rPr>
            </w:pPr>
            <w:r>
              <w:rPr>
                <w:rFonts w:ascii="Arial" w:cs="Arial" w:eastAsia="Arial" w:hAnsi="Arial"/>
                <w:sz w:val="22"/>
                <w:szCs w:val="22"/>
                <w:b w:val="1"/>
                <w:bCs w:val="1"/>
                <w:color w:val="auto"/>
              </w:rPr>
              <w:t>LOAN AMOUNT:</w:t>
            </w:r>
          </w:p>
        </w:tc>
        <w:tc>
          <w:tcPr>
            <w:tcW w:w="1420" w:type="dxa"/>
            <w:vAlign w:val="bottom"/>
          </w:tcPr>
          <w:p>
            <w:pPr>
              <w:ind w:left="560"/>
              <w:spacing w:after="0"/>
              <w:rPr>
                <w:sz w:val="20"/>
                <w:szCs w:val="20"/>
                <w:color w:val="auto"/>
              </w:rPr>
            </w:pPr>
            <w:r>
              <w:rPr>
                <w:rFonts w:ascii="Arial" w:cs="Arial" w:eastAsia="Arial" w:hAnsi="Arial"/>
                <w:sz w:val="22"/>
                <w:szCs w:val="22"/>
                <w:b w:val="1"/>
                <w:bCs w:val="1"/>
                <w:color w:val="auto"/>
                <w:w w:val="85"/>
              </w:rPr>
              <w:t>€ 365,000</w:t>
            </w:r>
          </w:p>
        </w:tc>
      </w:tr>
    </w:tbl>
    <w:p>
      <w:pPr>
        <w:spacing w:after="0" w:line="287" w:lineRule="exact"/>
        <w:rPr>
          <w:sz w:val="20"/>
          <w:szCs w:val="20"/>
          <w:color w:val="auto"/>
        </w:rPr>
      </w:pPr>
    </w:p>
    <w:p>
      <w:pPr>
        <w:spacing w:after="0"/>
        <w:tabs>
          <w:tab w:leader="none" w:pos="4820" w:val="left"/>
        </w:tabs>
        <w:rPr>
          <w:sz w:val="20"/>
          <w:szCs w:val="20"/>
          <w:color w:val="auto"/>
        </w:rPr>
      </w:pPr>
      <w:r>
        <w:rPr>
          <w:rFonts w:ascii="Arial" w:cs="Arial" w:eastAsia="Arial" w:hAnsi="Arial"/>
          <w:sz w:val="22"/>
          <w:szCs w:val="22"/>
          <w:b w:val="1"/>
          <w:bCs w:val="1"/>
          <w:color w:val="auto"/>
        </w:rPr>
        <w:t>MONTHLY 0.46% INTEREST (TWO MONTHS)</w:t>
      </w:r>
      <w:r>
        <w:rPr>
          <w:sz w:val="20"/>
          <w:szCs w:val="20"/>
          <w:color w:val="auto"/>
        </w:rPr>
        <w:tab/>
      </w:r>
      <w:r>
        <w:rPr>
          <w:rFonts w:ascii="Arial" w:cs="Arial" w:eastAsia="Arial" w:hAnsi="Arial"/>
          <w:sz w:val="19"/>
          <w:szCs w:val="19"/>
          <w:b w:val="1"/>
          <w:bCs w:val="1"/>
          <w:color w:val="auto"/>
        </w:rPr>
        <w:t>€ 1679 x 2 months = € 3,358</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860" w:type="dxa"/>
            <w:vAlign w:val="bottom"/>
          </w:tcPr>
          <w:p>
            <w:pPr>
              <w:spacing w:after="0"/>
              <w:rPr>
                <w:sz w:val="20"/>
                <w:szCs w:val="20"/>
                <w:color w:val="auto"/>
              </w:rPr>
            </w:pPr>
            <w:r>
              <w:rPr>
                <w:rFonts w:ascii="Arial" w:cs="Arial" w:eastAsia="Arial" w:hAnsi="Arial"/>
                <w:sz w:val="22"/>
                <w:szCs w:val="22"/>
                <w:b w:val="1"/>
                <w:bCs w:val="1"/>
                <w:color w:val="auto"/>
              </w:rPr>
              <w:t>OWED LOAN AMOUNT</w:t>
            </w:r>
          </w:p>
        </w:tc>
        <w:tc>
          <w:tcPr>
            <w:tcW w:w="1320" w:type="dxa"/>
            <w:vAlign w:val="bottom"/>
          </w:tcPr>
          <w:p>
            <w:pPr>
              <w:ind w:left="440"/>
              <w:spacing w:after="0"/>
              <w:rPr>
                <w:sz w:val="20"/>
                <w:szCs w:val="20"/>
                <w:color w:val="auto"/>
              </w:rPr>
            </w:pPr>
            <w:r>
              <w:rPr>
                <w:rFonts w:ascii="Arial" w:cs="Arial" w:eastAsia="Arial" w:hAnsi="Arial"/>
                <w:sz w:val="22"/>
                <w:szCs w:val="22"/>
                <w:b w:val="1"/>
                <w:bCs w:val="1"/>
                <w:color w:val="auto"/>
                <w:w w:val="87"/>
              </w:rPr>
              <w:t>€ 368,358</w:t>
            </w:r>
          </w:p>
        </w:tc>
      </w:tr>
    </w:tbl>
    <w:p>
      <w:pPr>
        <w:sectPr>
          <w:pgSz w:w="11900" w:h="16838" w:orient="portrait"/>
          <w:cols w:equalWidth="0" w:num="1">
            <w:col w:w="10219"/>
          </w:cols>
          <w:pgMar w:left="240" w:top="760"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ANNEX 8</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ESCROW AGREEMENT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INCLUDED AS ANNEX 2.3</w:t>
      </w:r>
    </w:p>
    <w:p>
      <w:pPr>
        <w:sectPr>
          <w:pgSz w:w="11900" w:h="16838" w:orient="portrait"/>
          <w:cols w:equalWidth="0" w:num="1">
            <w:col w:w="9019"/>
          </w:cols>
          <w:pgMar w:left="1440" w:top="760" w:right="1440"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22"/>
          <w:szCs w:val="22"/>
          <w:b w:val="1"/>
          <w:bCs w:val="1"/>
          <w:color w:val="auto"/>
        </w:rPr>
        <w:t>ANNEX 9</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COPY OF WIRE TRANSFER ORDER</w:t>
      </w:r>
    </w:p>
    <w:p>
      <w:pPr>
        <w:sectPr>
          <w:pgSz w:w="11900" w:h="16838" w:orient="portrait"/>
          <w:cols w:equalWidth="0" w:num="1">
            <w:col w:w="9019"/>
          </w:cols>
          <w:pgMar w:left="1440" w:top="760"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May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380" w:val="left"/>
          <w:tab w:leader="none" w:pos="5000" w:val="left"/>
        </w:tabs>
        <w:rPr>
          <w:sz w:val="20"/>
          <w:szCs w:val="20"/>
          <w:color w:val="auto"/>
        </w:rPr>
      </w:pPr>
      <w:r>
        <w:rPr>
          <w:rFonts w:ascii="Arial" w:cs="Arial" w:eastAsia="Arial" w:hAnsi="Arial"/>
          <w:sz w:val="18"/>
          <w:szCs w:val="18"/>
          <w:color w:val="auto"/>
        </w:rPr>
        <w:t>May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186690</wp:posOffset>
            </wp:positionV>
            <wp:extent cx="3413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0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6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March 31, 2014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May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2014,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20" w:val="left"/>
          <w:tab w:leader="none" w:pos="5020" w:val="left"/>
        </w:tabs>
        <w:rPr>
          <w:sz w:val="20"/>
          <w:szCs w:val="20"/>
          <w:color w:val="auto"/>
        </w:rPr>
      </w:pPr>
      <w:r>
        <w:rPr>
          <w:rFonts w:ascii="Arial" w:cs="Arial" w:eastAsia="Arial" w:hAnsi="Arial"/>
          <w:sz w:val="18"/>
          <w:szCs w:val="18"/>
          <w:color w:val="auto"/>
        </w:rPr>
        <w:t>May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186690</wp:posOffset>
            </wp:positionV>
            <wp:extent cx="3164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0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Roman"/>
      <w:start w:val="10"/>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7"/>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lowerRoman"/>
      <w:start w:val="5"/>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upperLetter"/>
      <w:start w:val="1"/>
    </w:lvl>
  </w:abstractNum>
  <w:abstractNum w:abstractNumId="15">
    <w:nsid w:val="25E45D32"/>
    <w:multiLevelType w:val="hybridMultilevel"/>
    <w:lvl w:ilvl="0">
      <w:lvlJc w:val="left"/>
      <w:lvlText w:val="%1."/>
      <w:numFmt w:val="decimal"/>
      <w:start w:val="3"/>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2019-12-06T02:16:02Z</dcterms:created>
  <dcterms:modified xsi:type="dcterms:W3CDTF">2019-12-06T02:16:02Z</dcterms:modified>
</cp:coreProperties>
</file>