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7" w:lineRule="auto"/>
        <w:rPr>
          <w:sz w:val="20"/>
          <w:szCs w:val="20"/>
          <w:color w:val="auto"/>
        </w:rPr>
      </w:pPr>
      <w:r>
        <w:rPr>
          <w:rFonts w:ascii="Times New Roman" w:cs="Times New Roman" w:eastAsia="Times New Roman" w:hAnsi="Times New Roman"/>
          <w:sz w:val="18"/>
          <w:szCs w:val="18"/>
          <w:color w:val="auto"/>
        </w:rPr>
        <w:t>(Mark One)</w:t>
      </w:r>
    </w:p>
    <w:p>
      <w:pPr>
        <w:ind w:left="340" w:right="2120" w:hanging="328"/>
        <w:spacing w:after="0" w:line="298"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2025</w:t>
      </w:r>
    </w:p>
    <w:p>
      <w:pPr>
        <w:spacing w:after="0" w:line="130" w:lineRule="exact"/>
        <w:rPr>
          <w:sz w:val="24"/>
          <w:szCs w:val="24"/>
          <w:color w:val="auto"/>
        </w:rPr>
      </w:pPr>
    </w:p>
    <w:p>
      <w:pPr>
        <w:ind w:left="340" w:right="1740" w:hanging="328"/>
        <w:spacing w:after="0" w:line="286"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001-33660</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jc w:val="center"/>
        <w:spacing w:after="0" w:line="224"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9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73"/>
        </w:trPr>
        <w:tc>
          <w:tcPr>
            <w:tcW w:w="49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49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3"/>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72"/>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78"/>
        </w:trPr>
        <w:tc>
          <w:tcPr>
            <w:tcW w:w="4940" w:type="dxa"/>
            <w:vAlign w:val="bottom"/>
            <w:gridSpan w:val="5"/>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on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CLRO</w:t>
            </w: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Larger Accelerated Filer </w:t>
            </w:r>
            <w:r>
              <w:rPr>
                <w:rFonts w:ascii="MS PGothic" w:cs="MS PGothic" w:eastAsia="MS PGothic" w:hAnsi="MS PGothic"/>
                <w:sz w:val="18"/>
                <w:szCs w:val="18"/>
                <w:color w:val="auto"/>
              </w:rPr>
              <w:t>☐</w:t>
            </w: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16"/>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303"/>
        </w:trPr>
        <w:tc>
          <w:tcPr>
            <w:tcW w:w="3780" w:type="dxa"/>
            <w:vAlign w:val="bottom"/>
          </w:tcPr>
          <w:p>
            <w:pPr>
              <w:spacing w:after="0"/>
              <w:rPr>
                <w:sz w:val="24"/>
                <w:szCs w:val="24"/>
                <w:color w:val="auto"/>
              </w:rPr>
            </w:pP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r>
        <w:trPr>
          <w:trHeight w:val="514"/>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shares of voting common stock held by non-affiliates was approximately $5.1 million at June 30,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most recently completed second fiscal quarter), based on the $5.7500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March 31, 2026 was 2,675,412.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 For the year ended December 31, 2025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980" w:type="dxa"/>
            <w:vAlign w:val="bottom"/>
            <w:gridSpan w:val="9"/>
            <w:vMerge w:val="restart"/>
          </w:tcPr>
          <w:p>
            <w:pPr>
              <w:jc w:val="center"/>
              <w:ind w:right="4440"/>
              <w:spacing w:after="0"/>
              <w:rPr>
                <w:sz w:val="20"/>
                <w:szCs w:val="20"/>
                <w:color w:val="auto"/>
              </w:rPr>
            </w:pPr>
            <w:r>
              <w:rPr>
                <w:rFonts w:ascii="Times New Roman" w:cs="Times New Roman" w:eastAsia="Times New Roman" w:hAnsi="Times New Roman"/>
                <w:sz w:val="18"/>
                <w:szCs w:val="18"/>
                <w:color w:val="0000EE"/>
                <w:w w:val="95"/>
              </w:rPr>
              <w:t>PART I</w:t>
            </w: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4980" w:type="dxa"/>
            <w:vAlign w:val="bottom"/>
            <w:gridSpan w:val="9"/>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3800" w:type="dxa"/>
            <w:vAlign w:val="bottom"/>
            <w:gridSpan w:val="16"/>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4440" w:type="dxa"/>
            <w:vAlign w:val="bottom"/>
            <w:gridSpan w:val="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520" w:type="dxa"/>
            <w:vAlign w:val="bottom"/>
            <w:gridSpan w:val="2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7380" w:type="dxa"/>
            <w:vAlign w:val="bottom"/>
            <w:gridSpan w:val="1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8420" w:type="dxa"/>
            <w:vAlign w:val="bottom"/>
            <w:gridSpan w:val="2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color w:val="0000EE"/>
                <w:w w:val="95"/>
              </w:rPr>
              <w:t>PART II</w:t>
            </w:r>
          </w:p>
        </w:tc>
        <w:tc>
          <w:tcPr>
            <w:tcW w:w="4400" w:type="dxa"/>
            <w:vAlign w:val="bottom"/>
            <w:gridSpan w:val="6"/>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60" w:type="dxa"/>
            <w:vAlign w:val="bottom"/>
            <w:gridSpan w:val="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4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12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660" w:type="dxa"/>
            <w:vAlign w:val="bottom"/>
            <w:gridSpan w:val="19"/>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4520" w:type="dxa"/>
            <w:vAlign w:val="bottom"/>
            <w:gridSpan w:val="8"/>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11"/>
          </w:tcPr>
          <w:p>
            <w:pPr>
              <w:jc w:val="center"/>
              <w:ind w:right="4380"/>
              <w:spacing w:after="0"/>
              <w:rPr>
                <w:sz w:val="20"/>
                <w:szCs w:val="20"/>
                <w:color w:val="auto"/>
              </w:rPr>
            </w:pPr>
            <w:r>
              <w:rPr>
                <w:rFonts w:ascii="Times New Roman" w:cs="Times New Roman" w:eastAsia="Times New Roman" w:hAnsi="Times New Roman"/>
                <w:sz w:val="18"/>
                <w:szCs w:val="18"/>
                <w:color w:val="0000EE"/>
                <w:w w:val="96"/>
              </w:rPr>
              <w:t>PART III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Borders>
              <w:top w:val="single" w:sz="8" w:color="0000EE"/>
            </w:tcBorders>
            <w:gridSpan w:val="6"/>
          </w:tcPr>
          <w:p>
            <w:pPr>
              <w:spacing w:after="0"/>
              <w:rPr>
                <w:sz w:val="18"/>
                <w:szCs w:val="18"/>
                <w:color w:val="auto"/>
              </w:rPr>
            </w:pPr>
          </w:p>
        </w:tc>
        <w:tc>
          <w:tcPr>
            <w:tcW w:w="438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140" w:type="dxa"/>
            <w:vAlign w:val="bottom"/>
            <w:gridSpan w:val="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980" w:type="dxa"/>
            <w:vAlign w:val="bottom"/>
            <w:gridSpan w:val="4"/>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11"/>
          </w:tcPr>
          <w:p>
            <w:pPr>
              <w:jc w:val="center"/>
              <w:ind w:right="4380"/>
              <w:spacing w:after="0"/>
              <w:rPr>
                <w:sz w:val="20"/>
                <w:szCs w:val="20"/>
                <w:color w:val="auto"/>
              </w:rPr>
            </w:pPr>
            <w:r>
              <w:rPr>
                <w:rFonts w:ascii="Times New Roman" w:cs="Times New Roman" w:eastAsia="Times New Roman" w:hAnsi="Times New Roman"/>
                <w:sz w:val="18"/>
                <w:szCs w:val="18"/>
                <w:color w:val="0000EE"/>
                <w:w w:val="94"/>
              </w:rPr>
              <w:t>PART IV</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1480" w:type="dxa"/>
            <w:vAlign w:val="bottom"/>
            <w:gridSpan w:val="4"/>
          </w:tcPr>
          <w:p>
            <w:pPr>
              <w:spacing w:after="0"/>
              <w:rPr>
                <w:sz w:val="18"/>
                <w:szCs w:val="18"/>
                <w:color w:val="auto"/>
              </w:rPr>
            </w:pPr>
          </w:p>
        </w:tc>
        <w:tc>
          <w:tcPr>
            <w:tcW w:w="660" w:type="dxa"/>
            <w:vAlign w:val="bottom"/>
            <w:tcBorders>
              <w:top w:val="single" w:sz="8" w:color="0000EE"/>
            </w:tcBorders>
            <w:gridSpan w:val="6"/>
          </w:tcPr>
          <w:p>
            <w:pPr>
              <w:spacing w:after="0"/>
              <w:rPr>
                <w:sz w:val="18"/>
                <w:szCs w:val="18"/>
                <w:color w:val="auto"/>
              </w:rPr>
            </w:pPr>
          </w:p>
        </w:tc>
        <w:tc>
          <w:tcPr>
            <w:tcW w:w="438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7"/>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company’s review of strategic alternatives,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“ClearOne,” “we,” “us,” “CLRO” or “the Company” refer to ClearOne, Inc., a Delaware corporation, and, unless the context otherwise requires or is otherwise expressly stated,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ClearOne, Inc. (the “Company,” “we,” “us” or “our”), a Delaware corporation, was previously engaged in the design, development, and marketing of professional audio conferencing, microphone, and video collaboration solutions.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per-share amounts presented in this report (current and historical) have been adjusted to reflect the 15-for-1 reverse stock split effected in June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2025 Asset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2025, the Company completed the sale of certain intellectual property, product inventory, and non-exclusive rights to customer data to Biamp Systems, LLC (“Biamp”) for gross cash consideration of $3.0 million (the “Asset Sale”) pursuant to an Asset Purchase Agreement dated the same date. Biamp did not assume any warranty or technical support obligations. The Company retained its books and records, all equity interests in subsidiaries, certain minor assets (including a limited amount of inventory held solely to service warranties), and all public-company assets and obligations. See Note 2 to the Consolidated Financial Statements and the Company’s Current Report on Form 8-K filed October 30, 2025 for additional information regarding the Asset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Post-Asset-Sale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Asset Sale, the Company no longer manufactures or sells products and maintains a limited inventory and provides customer support services to satisfy warranty claims. Its continuing activities consist solely of (i) fulfilling warranty and technical support obligations on legacy products in accordance with published policies, (ii) managing and liquidating remaining assets of the Company's legacy operating business, (iii) evaluating potential strategic transactions; (iv) collecting accounts receivable and recovering prepaid assets, (v) satisfying outstanding liabilities, and (vi) maintaining public-company compliance. These activities are transitional in nature and are not expected to generate material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Strategic Alternatives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actively evaluating strategic alternatives intended to enhance stockholder value. These alternatives may include without limitation one or more special transactions, an investment in, or an acquisition of a private operating company, additional asset sales, or other actions that maximize value for stockholders. The closing of the Asset Sale on October 24, 2025 triggered the mandatory redemption of all outstanding shares of the Company’s Class A Redeemable Preferred Stock. The Company currently estimates the final redemption amount will be approximately $50 after permitted expenses and net asset recoveries. There can be no assurance that any strategic transaction will be completed on favorable terms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Ownership Changes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2025, Edward D. Bagley sold 700,000 shares of common stock to First Finance Ltd. As of December 31, 2025, First Finance Ltd. beneficially owned approximately 53.8% of our outstanding common stock. Any material changes in ownership after December 31, 2025 are disclosed as subsequent events where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www.clearone.com. We make our annual, quarterly, and current reports available free of charge on the “Investor Relations” section of our website as soon as reasonably practicable after filing with the SEC. The SEC maintains a website at www.sec.gov that contains reports, proxy statements, and other information regarding issuers that file electronically.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results of operations, financial position, and liquidity, see the risk factors described in “Item 1A, Risk Factors”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successful in completing a strategic transaction within a reasonable timeframe, on attractive terms or at all. If we are unable to complete a strategic transaction, we may not be able to continue as a going concern.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announced that our board of directors had formed a Special Transaction Committee (the “Special Transaction Committee”) to conduct a comprehensive review of strategic alternatives focused on maximizing stockholder value, including, but not limited to, equity or debt financing alternatives, merger and acquisition transactions, divestiture of assets, licensing opportunities, joint ventures, collaborations or other commercial arrangements with other companies, or other special transactions (each, a “Strategic Transaction”). Following the disposition of certain operating assets in October 2025 and the resulting transition to a reduced, transitional operating posture, our ability to enhance stockholder value and improve our liquidity position is highly dependent on the successful evaluation and execution of one or more Strategic Transactions.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unable to complete a Strategic Transaction within a reasonable timeframe, on attractive terms, or at all. Market conditions, including the historical volatility of our common stock, may limit our ability to raise capital on favorable terms, or at all, and any public or private offering of debt or equity securities may be significantly dilutive to existing stockholders. There is no set timetable for the overall process, as anticipated timelines for different strategic alternatives may vary, and there can be no assurance that this process will result in us pursuing a transaction or that any transaction, if pursued, will be completed on attractive terms or at all. If we are unable to complete a Strategic Transaction or otherwise obtain additional capital, our ability to continue operations and satisfy our obligations could be materially adversely affected. A Strategic Transaction, if completed, may substantially change the nature of our business, capital structure, and stockholder rights.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will require additional financing to fund our operations and obligations, which may not be available to us on acceptable terms or at all, and our auditor has expressed substantial doubt about our ability to continue as a going concern.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approximately $0.74 million of cash and cash equivalents and restricted cash. Following the October 2025 disposition of certain operating assets and the resulting reduction in revenue-generating activities, our continuing activities primarily consist, among other things, of maintaining public company compliance and fulfilling ongoing obligations, including warranty servicing and technical support related to products sold prior to the asset sale, managing remaining assets and liabilities, and evaluating and pursuing strategic alternatives. These activities are not expected to generate revenue at levels sufficient to fund ongoing operating costs. As a result, we will require additional financing and/or the completion of one or more Strategic Transactions to fund ongoing operating costs, professional fees, compliance costs, and other obligations as they become due.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included with this annual report on Form 10-K have been prepared on a going concern basis. We have incurred significant losses and experienced negative cash flows, and substantial doubt exists about our ability to continue as a going concern. We may not be able to obtain the necessary financing, complete a Strategic Transaction, or otherwise improve our liquidity position on acceptable terms or at all. The outcome of these matters cannot be predicted with any certainty at this time. Our financial statements do not include any adjustments to the amounts and classification of assets and liabilities that may be necessary should we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Following the disposition of certain operating assets, we have limited continuing activities that are not expected to generate revenue at levels sufficient to fund ongoing operating costs.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continuing activities are not expected to generate material revenue at levels sufficient to fund ongoing operating costs. As a result, our ability to sustain operations depends on available cash resources, access to additional capital, and/or the successful completion of one or more Strategic Transactions. If we are unable to obtain additional capital or complete a Strategic Transaction on acceptable terms or at all, we may be required to significantly curtail operations or pursue an orderly wind-down of the Company, which could result in reduced recoveries for stockholders.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at risk for being delisted from the Nasdaq Capital Market for non-compliance with Nasdaq's continued listing standards.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our common stock is currently listed on the Nasdaq Capital Market, as of December 31, 2025, we are not in compliance with any of the quantitative continued listing standards under Nasdaq Marketplace Rule 5550, and we anticipate receiving a notice of non-compliance from Nasdaq.</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regain compliance with Nasdaq's continued listing standards within any applicable cure period, our common stock could be subject to delisting from the Nasdaq Capital Market.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Delisting of our common stock from Nasdaq could significantly reduce the liquidity and market price of our common stock and could make it more difficult for us to access the capital markets on acceptable terms, if at all. Even after we receive a notice of non-compliance, we may not be able to regain compliance within the timeframe provided by Nasdaq. Alternative markets, such as the over-the-counter markets, generally have less liquidity and visibility than Nasdaq, and trading on such markets could adversely affect the ability of stockholders to sell their shares at a desired price.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remain responsible for warranty and other obligations associated with products sold prior to the October 2025 asset disposition.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completed the disposition of certain operating assets in October 2025, we continue to fulfill warranty servicing and technical support obligations related to products sold prior to the transaction. The ultimate cost of satisfying these obligations is subject to uncertainty, and actual costs may exceed current estimates or previously recorded reserves. Unexpected increases in warranty claims, service costs, parts costs, or related liabilities could materially adversely affect our financial condition and liquidity.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remain subject to claims, disputes, or other liabilities arising from our legacy operations. The resolution of such matters may require significant cash expenditures or result in additional liabilities.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reduced workforce may impair our ability to maintain effective internal controls and public company compliance.</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Following the October 2025 asset disposition, we operate with a significantly reduced workforce. Maintaining effective internal control over financial reporting and complying with public company reporting obligations requires significant management attention and resources. If we are unable to maintain effective controls or comply with applicable reporting requirements, we could be subject to regulatory scrutiny.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incidents or other information technology disruptions could adversely affect our operations and expose us to liability.</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our operations have been significantly reduced following the October 2025 asset disposition, we continue to maintain information systems that support our public company reporting, financial management, warranty servicing activities, and administrative functions. We also retain certain sensitive information, including employee data and historical business information.</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Despite security measures, our information systems may be vulnerable to cybersecurity incidents, including unauthorized access, ransomware attacks, phishing attempts, or other disruptions caused by third parties or internal actors. Because we operate with a limited workforce, our ability to detect, respond to, and remediate cybersecurity incidents may be constrained. Any significant breach could result in regulatory scrutiny, legal claims, reputational harm, increased compliance costs, or operational disruption.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 and capital market volatility may adversely affect our ability to obtain financing or complete a strategic transaction.</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Global economic conditions, including inflation, rising interest rates, geopolitical conflicts, financial market volatility and tightening credit markets, may adversely affect our ability to raise capital or complete a Strategic Transaction. Volatility in equity markets may negatively impact the trading price of our common stock and limit our ability to issue equity or equity-linked securities on favorable terms, or at all.</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Adverse economic conditions may also reduce investor appetite for special situation or transitional companies, which could impair our ability to attract potential transaction partners or financing sources. If we are unable to access capital markets or complete a Strategic Transaction due to adverse economic conditions, our financial condition and ability to continue operations could be materially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Geopolitical events and international conflicts may increase financial market volatility and adversely affect our liquidity and strategic alternatives.</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Ongoing geopolitical conflicts, including the war in Ukraine and other international tensions, have resulted in increased volatility in global financial markets. Sanctions, trade restrictions, supply chain disruptions and broader economic instability may continue to affect capital markets and investor confidence. Although we no longer conduct significant operating activities, prolonged instability in global markets could negatively impact our ability to raise capital, regain compliance with listing requirements, or complete a Strategic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limited international administrative activities may be subject to risks associated with operating in foreign jurisdictions.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maintain limited personnel and administrative activities in certain foreign jurisdictions, including India. Although our continuing activities are significantly reduced, we remain subject to local labor laws, tax regulations, regulatory requirements, and legal systems in these jurisdictions. Changes in political, economic, regulatory, or security conditions in these countries could increase compliance costs, result in disputes, or otherwise adversely affect our ability to manage remaining obligations and corporate matters efficiently.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differences in legal systems and enforcement mechanisms may increase the difficulty or cost of resolving disputes or collecting assets in foreign jurisdictions.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highly dependent on a small number of executive officers and personnel.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October 2025 disposition of certain operating assets, we operate with a significantly reduced workforce and rely on a limited number of executive officers and key personnel to manage our public company compliance obligations, oversee warranty servicing activities, manage remaining assets and liabilities, and evaluate potential Strategic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of the services of our chief executive officer, chief financial officer, or other key personnel could materially impair our ability to meet reporting obligations, maintain effective internal controls, manage liquidity, or complete a Strategic Transaction. We do not maintain key person life insurance on our executive officers.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our limited personnel structure, the unexpected departure or unavailability of key personnel could have a disproportionately adverse impact on our financial condition and ability to continue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Share Ownership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largest stockholder has significant influence over corporate matters.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year end, on March 11, 2026, we closed a private placement with the Company’s largest stockholder for aggregate gross proceeds of $1.75 million through the issuance of 437,500 shares of common stock and a warrant to purchase up to an additional 437,500 shares. The agreement also grants the stockholder consent rights over certain new debt and material transactions.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also imposes customary restrictions, including limitations on incurring new debt above certain thresholds and entering into material transactions without the purchaser’s consent. If we are unable to satisfy the reincorporation condition or if the purchaser exercises its rights under the restrictions, our ability to pursue strategic alternatives, raise additional capital, or manage liquidity could be materially constrained. In addition, because the financing was provided by our largest stockholder, matters relating to the shares, warrant, or any future modifications could involve potential conflicts of interest and may influence or control the terms and structure of any strategic transaction.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16, 2026, our largest stockholder beneficially owned approximately 61.3% of our outstanding common stock. As a result, this stockholder has the ability to control the outcome of matters submitted to stockholders for approval, including the election of directors, approval of mergers or business combinations, and amendments to our organizational documents. This concentration of ownership and the additional contractual rights may discourage, delay, or prevent a change in control transaction that other stockholders may consider favorable and may cause decisions to be made that differ from the interests of other stockholders.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 and redeemable preferred stock may adversely affect the market price of our common stock and complicate strategic transactions.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outstanding warrants that are exercisable into shares of common stock. The exercise of these warrants would result in dilution to existing common stockholders. In addition, we have outstanding shares of Class A Redeemable Preferred Stock. The closing of the Asset Sale on October 24, 2025 triggered the mandatory redemption of the Class A Redeemable Preferred Stock. As of December 31, 2025, the redemption had not yet been completed. We currently estimate the final redemption amount to be approximately $50,000 after permitted expenses and net asset recoveries. Redemption will require the use of cash that might otherwise be available for operations or strategic alternatives. The existence of these securities may affect the market price of our common stock and could complicate the negotiation or completion of a strategic transaction. Any strategic transaction may also require the issuance of additional equity securities, which could result in further dilution to existing common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market price of our common stock may be volatile.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continue to fluctuate due to a variety of factors, many of which are beyond our control. These factors may include:</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developments relating to our Strategic Transaction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ability to obtain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liquidity position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compliance with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announcements regarding executive leadership or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general market and economic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changes in investor perception of companies with limited operations or transitional business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stock markets in general have experienced significant price and volume volatility that may be unrelated to the operating performance of particular companies. These fluctuations may adversely affect the market price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issuance of additional equity or the exercise or conversion of outstanding securities may result in substantial dilution.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outstanding securities, including options and warrants, that may be convertible into or exercisable for shares of our common stock. In addition, we may issue additional equity securities in connection with financing transactions, Strategic Transactions, or other corporate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additional shares of common stock or securities convertible into common stock could result in substantial dilution to existing stockholders and may adversely affect the market price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issuances of equity securities could dilute existing stockholders and adversely affect the market price of our common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additional shares of common stock or securities convertible into or exercisable for common stock in connection with financing transactions, Strategic Transactions, or other corporate purposes. The issuance of additional shares may dilute the ownership interests of existing stockholders and could adversely affect the market price of our common stock. Sales of substantial amounts of our common stock in the public market, or the perception that such sales may occur, could also negatively impact the trading price of our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absence of equity research coverage or unfavorable analyst commentary could adversely affect the market price of our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research reports and recommendations published by equity research analysts. We do not control the content of analyst reports. If one or more analysts downgrade our common stock, issue unfavorable commentary, or cease coverage, the market price and liquidity of our common stock could decline.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Strategic Transaction may result in significant dilution to existing stockholders or a change in control of the Company.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a Strategic Transaction may require the issuance of a substantial number of shares of our common stock or securities convertible into or exercisable for common stock or may otherwise result in a change in the Company’s capital structure. Any such issuance could result in significant dilution to existing stockholders, including a reduction in voting power, economic interest, and ownership percentage.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Strategic Transaction could result in a change in control of the Company, including the issuance of securities that represent a majority of our outstanding voting power or the appointment of new directors or management. A change in control could materially alter our business strategy, governance structure, and risk profile. There can be no assurance that any Strategic Transaction would enhance stockholder value or that its terms would be favorable to all stockholders.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certificate of incorporation designates the Court of Chancery of the State of Delaware as the exclusive forum for certain stockholder litigation, which may limit stockholders’ ability to obtain a favorable judicial forum for disputes with us or our directors, officers, or employees.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shall be the sole and exclusive forum for:</w:t>
      </w:r>
    </w:p>
    <w:p>
      <w:pPr>
        <w:spacing w:after="0" w:line="207"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7" w:lineRule="exact"/>
        <w:rPr>
          <w:rFonts w:ascii="Times New Roman" w:cs="Times New Roman" w:eastAsia="Times New Roman" w:hAnsi="Times New Roman"/>
          <w:sz w:val="18"/>
          <w:szCs w:val="18"/>
          <w:color w:val="auto"/>
        </w:rPr>
      </w:pPr>
    </w:p>
    <w:p>
      <w:pPr>
        <w:ind w:left="660" w:hanging="4"/>
        <w:spacing w:after="0" w:line="250" w:lineRule="auto"/>
        <w:tabs>
          <w:tab w:leader="none" w:pos="9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for breach of a fiduciary duty owed by any director, officer, employee, or agent of the Company to the Company or our stockholders;</w:t>
      </w:r>
    </w:p>
    <w:p>
      <w:pPr>
        <w:ind w:left="660" w:hanging="4"/>
        <w:spacing w:after="0" w:line="250" w:lineRule="auto"/>
        <w:tabs>
          <w:tab w:leader="none" w:pos="9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or</w:t>
      </w: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exclusive forum provisions do not apply to claims arising under the Securities Act of 1933, as amended, or the Securities Exchange Act of 1934, as amended, or any other claim for which federal courts have exclusive jurisdiction.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exclusive forum provision may limit a stockholder’s ability to bring a claim in a judicial forum that it finds favorable and may increase costs associated with bringing such a claim. If a court were to determine that the exclusive forum provision is inapplicable or unenforceable in an action, we may incur additional costs associated with resolving such action in other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information technology systems and third-party hosted platforms that support its financial reporting, public company compliance, warranty servicing activities, and administrative functions. Although the Company’s operating activities have been significantly reduced following the October 2025 asset disposition, it continues to rely on information systems for accounting, reporting, communications, and data management.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strategy is focused on risk identification, protection, detection, incident response, and system resiliency. The Company utilizes internal personnel and, where appropriate, third-party service providers to operate and maintain its information technology infrastructure and to evaluate, test, and update information security processes.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cybersecurity risks as part of its overall risk management framework. Management monitors and evaluates cybersecurity threats through periodic reviews of system access controls, third-party service provider security measures, and applicable industry practices. The Company is not currently aware of any cybersecurity incidents that have materially affected, or are reasonably likely to materially affect, the Company’s business strategy, results of operations, or financial condition.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provides oversight of the Company’s cybersecurity risk management.The Audit Committee periodically discusses cybersecurity risks and mitigation measures with management and, as appropriate, external advisors.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disposition of certain operating assets in October 2025, the Company transitioned to a significantly reduced operational structure. The Company has terminated or settled two of its prior operating leases and continues to evaluate sublease or mitigation opportunities for its remaining facility where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9,402 square feet of office space in Salt Lake City, Utah under an operating lease expiring in February 2028. This facility supports the Company’s remaining administrative functions, public company compliance activities, and limited operational support functions. The Company is evaluating sublease opportunities with respect to this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leased a 2,590 square-foot warehouse facility in Salt Lake City, Utah (363 West 2720 South, Suite B) under an operating lease scheduled to expire in February 2028. On February 24, 2026, the Company entered into an Early Termination Agreement with the landlord that terminated the lease effective midnight February 28, 2026. In connection with the early termination, the Company paid a buyout of $43 and forfeited its security deposit. The Company has no further liability under this lease after February 28, 2026. This facility previously supported warranty servicing and repair activities related to products sold prior to the October 2025 asset disposition.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previously leased a 1,350 square-foot facility in Gainesville, Florida under an operating lease that had been extended to February 29, 2029. On March 2, 2026, the Company entered into a Settlement, Release and Agreement to Terminate Lease with the landlord. Pursuant to the settlement, the Company paid $30 and forfeited its security deposit in exchange for full termination of the lease and a mutual release of all obligations. The Company has no further liability under this lease. The facility was no longer utilized for active research and development activities.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occupied a 6,175 square-foot facility in Chennai, India under the terms of an operating lease which expired September 2025. This facility supported our administrative, marketing, customer support, and research and product development activities. We did not renew the lease and vacated these premises on November 15, 2025 and the deposit was refunded January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its current facilities are sufficient to support its reduced operations. However, the Company may seek to sublease or otherwise reduce its lease obligations as part of its ongoing efforts to manage costs and preserve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 Commitments and Contingencies of the Notes to Consolidated Financial Statements (Part II, Item 8) for information regarding legal proceedings in which we are involved, which is incorporated in this Item 3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"CLRO". As of March 31, 2026, there were 2,675,412 shares of our common stock issued and outstanding held by approximately 288 holders of record. Each broker dealer or clearing corporation that holds shares for customers is counted as a single holder of record.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declared and paid another special dividend of $0.50 per share of the Company’s common stock and eligible warrants that was paid on April 10, 2024 to shareholders and warrant holders of record on April 2,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anticipate paying regular cash dividends on our common stock. Any future determination regarding the declaration and payment of dividends will be at the discretion of our Board of Directors and will depend on our financial condition, results of operations, capital requirements, contractual restrictions, and other factors deemed relevant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sales of unregistered securities were previously reported in Forms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the Company’s equity compensation plans required by Item 201(d) of Regulation S-K is set forth under Part III, Item 12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“SPECIAL NOTE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 ended December 31, 2025 was a transformational period for ClearOne, Inc. (“ClearOne,” the “Company,” “we,” “us” or “our”). On October 24, 2025, the Company completed the sale of certain intellectual property, product inventory, and non-exclusive rights to customer data (the “Asset Sale”). As a result of the Asset Sale, the Company no longer manufactures or sells products and maintains a limited inventory and provides customer support services to satisfy warranty claims. The financial results of the disposed operations are reflected as discontinued operations in the Company’s consolidated financial statements for all periods presented.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Asset Sale, the Company’s continuing activities consist solely of fulfilling warranty and technical support obligations on legacy products, evaluating potential Strategic Transactions, managing and liquidating remaining assets of the Company’s legacy operating business, collecting accounts receivable and recovering prepaid assets, satisfying outstanding liabilities, and maintaining public-company compliance. These activities are transitional in nature and are not expected to generate material revenue.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actively evaluating strategic alternatives intended to enhance stockholder value. These alternatives may include without limitation one or more special transactions, an investment in, or an acquisition of a private operating company, additional asset sales, or other actions that maximize value for stockholders. The closing of the Asset Sale on October 24, 2025 triggered the mandatory redemption of all outstanding shares of the Company’s Class A Redeemable Preferred Stock. The Company currently estimates the final redemption amount will be approximately $50 after permitted expenses and net asset recoveries.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Disposed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disposed assets consisted of the Company’s historical operations related to conferencing, collaboration, and network streaming products, including product development, manufacturing, sales, and support activities. These operations historically generated the majority of the Company’s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Classification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classified the disposed assets as held for sale and discontinued operations during the third quarter of 2025. The sale closed on October 24, 2025. Accordingly, the results of the disposed assets are presented as discontinued operations for all periods presented, with a hard cutoff on the legal closing date of October 24, 2025. No allocation or smoothing of results has been applied.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Impact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discontinued operations incurred operating losses during 2025 and prior periods. In connection with the Asset Sale, the Company recognized a loss on sale in the fourth quarter of 2025 (primarily driven by inventory carrying values exceeding the $3.0 million gross proceeds, after the $10.7 million impairment charge recorded in the third quarter of 2025). The results of discontinued operations include operating losses incurred prior to closing, inventory write-downs, severance and restructuring costs, and the loss on sale. See Note 2 to the consolidated financial statements for additional information regarding discontinued operations, including the components of the loss on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discontinued operations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14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w:t>
            </w:r>
          </w:p>
        </w:tc>
      </w:tr>
      <w:tr>
        <w:trPr>
          <w:trHeight w:val="215"/>
        </w:trPr>
        <w:tc>
          <w:tcPr>
            <w:tcW w:w="44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Borders>
              <w:bottom w:val="single" w:sz="8" w:color="CCEEFF"/>
            </w:tcBorders>
          </w:tcPr>
          <w:p>
            <w:pPr>
              <w:spacing w:after="0"/>
              <w:rPr>
                <w:sz w:val="18"/>
                <w:szCs w:val="18"/>
                <w:color w:val="auto"/>
              </w:rPr>
            </w:pPr>
          </w:p>
        </w:tc>
      </w:tr>
      <w:tr>
        <w:trPr>
          <w:trHeight w:val="24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shd w:val="clear" w:color="auto" w:fill="CCEEFF"/>
          </w:tcPr>
          <w:p>
            <w:pPr>
              <w:spacing w:after="0"/>
              <w:rPr>
                <w:sz w:val="20"/>
                <w:szCs w:val="20"/>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4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(7,076)</w:t>
            </w: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(7,076)</w:t>
            </w:r>
          </w:p>
        </w:tc>
      </w:tr>
      <w:tr>
        <w:trPr>
          <w:trHeight w:val="459"/>
        </w:trPr>
        <w:tc>
          <w:tcPr>
            <w:tcW w:w="4420" w:type="dxa"/>
            <w:vAlign w:val="bottom"/>
          </w:tcPr>
          <w:p>
            <w:pPr>
              <w:spacing w:after="0"/>
              <w:rPr>
                <w:sz w:val="24"/>
                <w:szCs w:val="24"/>
                <w:color w:val="auto"/>
              </w:rPr>
            </w:pPr>
          </w:p>
        </w:tc>
        <w:tc>
          <w:tcPr>
            <w:tcW w:w="29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442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Involvement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Asset Sale, the Company continues to service warranty claims and provide technical support related to products sold prior to October 24, 2025. The Company retained a limited amount of inventory solely to fulfill these obligations. These activities are reported in continuing operations and do not constitute ongoing operations of the disposed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discontinued operations decreased significantly in 2025 compared to 2024 due to the disposition of operating assets and the cessation of revenue-generating activities associated with the disposed assets on October 24, 2025. Gross margin and operating results were negatively impacted by reduced sales volume prior to disposition, inventory write-downs, severance and restructuring costs, and the loss on sale recognized in the fourth quarter of 2025. As a result, discontinued operations reported a substantial net loss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Asset Sale, continuing operations generated no revenue during the fourth quarter of 2025. Operating expenses consisted primarily of public-company compliance costs, legal and professional fees, warranty servicing and technical support costs, and general and administrative expenses related to the significantly reduced workforce. Because continuing operations are limited in scope and do not generate revenue, period-to-period comparisons are not meaningful.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Position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and restricted cash of $0.74 million. The Company’s primary liquidity requirements relate to ongoing public-company compliance and reporting costs, warranty servicing obligations, professional fees (including legal and investment banking), lease payments on the remaining facilities, the $57,500 severance obligation to the former CEO, and the required redemption of the Class A Redeemable Preferred Stock with any net proceeds from the Asset Sale.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proceeds from the Asset Sale are contractually required to be used to redeem all outstanding shares of the Company’s Class A Redeemable Preferred Stock. The Asset Sale closed on October 24, 2025, triggering the mandatory redemption of the Class A Redeemable Preferred Stock. As of December 31, 2025, the redemption had not yet been completed. The Company currently estimates the final redemption amount at approximately $50,000 after permitted expenses and net asset recoveries. The redemption payment will occur subsequent to December 31, 2025 and is treated as a non-recognized subsequent event.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year-end, on March 11, 2026, the Company closed a private placement with First Finance Ltd. (its largest stockholder) for aggregate gross proceeds of $1.75 million through the issuance of 437,500 shares of common stock at $4.00 per share and a warrant to purchase up to 437,500 additional shares at $5.00 per share. Of the proceeds, $500,000 became immediately available, with the remaining $1.25 million available upon completion of the Company’s reincorporation from Delaware to Nevada. This financing provides an additional source of short-term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2025 primarily resulted from operating losses, restructuring activities, and costs associated with discontinued operations. Net cash provided by investing activities primarily reflects the $3.0 million gross proceeds from the October 2025 Asset Sale (net of transaction costs). The Company did not have committed sources of financing during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year-end, on March 11, 2026, the Company closed a private placement with its largest stockholder for aggregate gross proceeds of $1.75 million (see Liquidity, Capital Resources and Financial Position and Note 17 – Subsequent Events for additional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These conditions, the limited nature of continuing operations, the mandatory redemption obligation for the Class A Redeemable Preferred Stock (triggered by the October 24, 2025 Asset Sale closing), and the absence of committed sources of financing raise substantial doubt about the Company’s ability to continue as a going concern within one year after the issuance date of the consolidated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year-end, on March 11, 2026, the Company closed a private placement with its largest stockholder for aggregate gross proceeds of $1.75 million (see Liquidity, Capital Resources and Financial Position and Note 17 – Subsequent Events for additional information). This financing provides a partial source of short-term liquidity.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actively evaluating strategic alternatives intended to enhance stockholder value and improve the Company’s liquidity position. These alternatives may include one or more special transactions or other actions that maximize value for stockholders. There can be no assurance that the Company will successfully complete any transaction or that any such transaction will provide sufficient liquidity to continue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complete a special transaction, satisfy the conditions for the remaining financing proceeds, or otherwise obtain additional capital on acceptable terms, management may be required to significantly curtail operations or pursue an orderly wind-down of operations. The consolidated financial statements do not include any adjustments to the amounts and classification of assets and liabilities that might be necessary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Company’s contractual obligations as of December 31, 2025 primarily consist of operating lease obligations for the three remaining facilities, warranty obligations, and legal settlement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 summary of the Company’s contractual obligations is included in the table below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2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48" w:lineRule="exact"/>
              <w:rPr>
                <w:sz w:val="20"/>
                <w:szCs w:val="20"/>
                <w:color w:val="auto"/>
              </w:rPr>
            </w:pPr>
            <w:r>
              <w:rPr>
                <w:rFonts w:ascii="Times New Roman" w:cs="Times New Roman" w:eastAsia="Times New Roman" w:hAnsi="Times New Roman"/>
                <w:sz w:val="16"/>
                <w:szCs w:val="16"/>
                <w:b w:val="1"/>
                <w:bCs w:val="1"/>
                <w:color w:val="auto"/>
                <w:w w:val="99"/>
              </w:rPr>
              <w:t>More than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and expenses. The Company’s most significant accounting estimates include:</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Classification of and accounting for discontinued operations and the Asset Sale (ASC 205-20 and ASC 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Impairment of long-lived assets and inventory valuation related to retained warranty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Warranty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Legal contingencies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Going-concern assessment (ASC 205-40)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materially from these estimates.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are reasonably likely to have a current or future effect on its financial condition, results of operations, liquidity, or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descriptions of recently issued accounting standards, see Note 1 – Business Description, Basis of Presentation and Significant Accounting Policies of our Notes to Consolidated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descriptions of recently issued accounting standards, see </w:t>
      </w:r>
      <w:r>
        <w:rPr>
          <w:rFonts w:ascii="Times New Roman" w:cs="Times New Roman" w:eastAsia="Times New Roman" w:hAnsi="Times New Roman"/>
          <w:sz w:val="18"/>
          <w:szCs w:val="18"/>
          <w:u w:val="single" w:color="auto"/>
          <w:color w:val="auto"/>
        </w:rPr>
        <w:t>Note 1. Business Description, Basis of Presentation and Significant Accounting Policies</w:t>
      </w:r>
      <w:r>
        <w:rPr>
          <w:rFonts w:ascii="Times New Roman" w:cs="Times New Roman" w:eastAsia="Times New Roman" w:hAnsi="Times New Roman"/>
          <w:sz w:val="18"/>
          <w:szCs w:val="18"/>
          <w:color w:val="auto"/>
        </w:rPr>
        <w:t xml:space="preserve"> of our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Financial statements and supplementary data required by this are included herein as a </w:t>
      </w:r>
      <w:r>
        <w:rPr>
          <w:rFonts w:ascii="Times New Roman" w:cs="Times New Roman" w:eastAsia="Times New Roman" w:hAnsi="Times New Roman"/>
          <w:sz w:val="18"/>
          <w:szCs w:val="18"/>
          <w:u w:val="single" w:color="auto"/>
          <w:color w:val="auto"/>
        </w:rPr>
        <w:t>separate section</w:t>
      </w:r>
      <w:r>
        <w:rPr>
          <w:rFonts w:ascii="Times New Roman" w:cs="Times New Roman" w:eastAsia="Times New Roman" w:hAnsi="Times New Roman"/>
          <w:sz w:val="18"/>
          <w:szCs w:val="18"/>
          <w:color w:val="auto"/>
        </w:rPr>
        <w:t xml:space="preserve"> of this Form 10-K, beginning on page F-1, and are incorporated in this Item 8 by reference.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December 31, 2025. Our disclosure controls and procedures are designed to provide reasonable assurance of achieving their objectives. Based upon this evaluation, our Chief Executive Officer and Chief Financial Officer concluded that, as of the end of the period covered by this Annual Report, our disclosure controls and procedures were effective at a reasonable assurance level as of December 31, 2025.</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as of December 31, 2025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 as of March 31,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 or Officer</w:t>
            </w:r>
          </w:p>
        </w:tc>
      </w:tr>
      <w:tr>
        <w:trPr>
          <w:trHeight w:val="215"/>
        </w:trPr>
        <w:tc>
          <w:tcPr>
            <w:tcW w:w="316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Age</w:t>
            </w:r>
          </w:p>
        </w:tc>
        <w:tc>
          <w:tcPr>
            <w:tcW w:w="5260" w:type="dxa"/>
            <w:vAlign w:val="bottom"/>
            <w:gridSpan w:val="2"/>
          </w:tcPr>
          <w:p>
            <w:pPr>
              <w:ind w:left="22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213"/>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L. Graham</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Boehnke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Youngsun “Sunny” Park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bl>
    <w:p>
      <w:pPr>
        <w:ind w:left="360" w:hanging="346"/>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 Compensation Committee and Nominating Committee</w:t>
      </w:r>
    </w:p>
    <w:p>
      <w:pPr>
        <w:spacing w:after="0" w:line="20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Derek L. Graham </w:t>
      </w:r>
      <w:r>
        <w:rPr>
          <w:rFonts w:ascii="Times New Roman" w:cs="Times New Roman" w:eastAsia="Times New Roman" w:hAnsi="Times New Roman"/>
          <w:sz w:val="18"/>
          <w:szCs w:val="18"/>
          <w:color w:val="auto"/>
        </w:rPr>
        <w:t>is our Chief Executive Officer. He was appointed as Interim CEO in May 2022 and was confirmed as permanent CEO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8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since July 2015 and Chairman since February 2022. Mr. Robinson spent fourteen years in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16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effective July 20, 2020. Ms. Higley has been self-employed as a CPA since June 2009. Previously, she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5.3% of our issued and outstanding common stock.</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effective April 16, 2019. Mr. Whaley has extensive experience as a stockbroker for nearly five decades.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w:t>
      </w:r>
    </w:p>
    <w:p>
      <w:pPr>
        <w:spacing w:after="0" w:line="139"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Eric Boehnke </w:t>
      </w:r>
      <w:r>
        <w:rPr>
          <w:rFonts w:ascii="Times New Roman" w:cs="Times New Roman" w:eastAsia="Times New Roman" w:hAnsi="Times New Roman"/>
          <w:sz w:val="18"/>
          <w:szCs w:val="18"/>
          <w:color w:val="auto"/>
        </w:rPr>
        <w:t>was appointed to the Board on June 20, 2025. Mr. Boehnke is the principal of Big Sky Management Ltd., a corporate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firm he founded in 1999. Over his 25-year career, Mr. Boehnke has served as an officer and director of multiple public companies listed on the Toronto Stock Exchange, Canadian Securities Exchange, and NASDAQ. He has extensive experience in corporate finance, including debt and equity financings, initial public offerings, and mergers and acquisitions, having raised more than $500 million in capital across various business sectors. Mr. Boehnke holds a B.Sc. from the University of Toronto.</w:t>
      </w:r>
    </w:p>
    <w:p>
      <w:pPr>
        <w:spacing w:after="0" w:line="13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Youngsun “Sunny” Park </w:t>
      </w:r>
      <w:r>
        <w:rPr>
          <w:rFonts w:ascii="Times New Roman" w:cs="Times New Roman" w:eastAsia="Times New Roman" w:hAnsi="Times New Roman"/>
          <w:sz w:val="18"/>
          <w:szCs w:val="18"/>
          <w:color w:val="auto"/>
        </w:rPr>
        <w:t>was appointed to the Board on June 20, 2025. Ms. Park is a seasoned attorney with over two decades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planning, tax law, civil litigation, and legal strategy, supplemented by extensive public policy and governance experience. She served as Mayor of Buena Park, California (the first Asian American Pacific Islander woman to hold the position) and as a City Council Member from 2018 to 2022. She currently serves as a housing attorney at Community Legal Aid SoCal, handling civil litigation, federal housing policy, and property-related disputes. Previously, she was Of Counsel at Asher Law Group in Century City, California, advising high-net-worth individuals and business owners on estate planning, succession strategies, and asset protection from 2007 to 2023. Ms. Park also held appointments to the California Board of Accountancy (2017– 2018), the Orange County Fire Authority (2021–2022), and the Southern California Association of Governments (2021–2022). She holds an LL.M. in Taxation from New York University School of Law, a J.D. from Golden Gate University, and a B.A. from Yonsei University.</w:t>
      </w:r>
    </w:p>
    <w:p>
      <w:pPr>
        <w:spacing w:after="0" w:line="158" w:lineRule="exact"/>
        <w:rPr>
          <w:sz w:val="20"/>
          <w:szCs w:val="20"/>
          <w:color w:val="auto"/>
        </w:rPr>
      </w:pPr>
    </w:p>
    <w:p>
      <w:pPr>
        <w:jc w:val="both"/>
        <w:ind w:firstLine="58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Simon Brewer </w:t>
      </w:r>
      <w:r>
        <w:rPr>
          <w:rFonts w:ascii="Times New Roman" w:cs="Times New Roman" w:eastAsia="Times New Roman" w:hAnsi="Times New Roman"/>
          <w:sz w:val="18"/>
          <w:szCs w:val="18"/>
          <w:color w:val="auto"/>
        </w:rPr>
        <w:t>was appointed Chief Financial Officer of ClearOne Inc. in April 2024, bringing over 25 years of experience in finance,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leadership across technology, manufacturing, e-commerce, biotech, and non-profit sectors. He oversees the company’s finance and accounting functions, helping drive strategic initiatives to position ClearOne for scalable growth. Prior to ClearOne, Mr. Brewer was CFO and COO at an international non-profit dedicated to eradicating human trafficking (2021–2024), and CFO at Predictive Technology Group Inc. (2018–2021), leading its transition to a public company. He also held CFO roles at Norbest LLC (2016–2018) and senior finance and IT positions at Wilson Electronics (2013–2016) and Backcountry.com (2009–2013), consistently achieving revenue growth and operational efficiencies. Mr. Brewer transitioned to a dedicated accounting career at KPMG LLP (2005–2009), managing audits and advisory for high-profile clients, after beginning his career in 1999 as a programmer and accountant at Prospect Planet Dotcom. He holds a Master of Accounting and a Bachelor of Arts in Accounting (Cum Laude) with a Minor in Russian from the University of Utah and is a Certified Public Accountant (CPA) in Utah and Nevada and a Chartered Global Management Accountant (CGMA).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2025, we believe that each person who, at any time during such fiscal year was a director, officer, or beneficial owner of more than 10% of our common stock complied with all Section 16(a) filing requirements during such period, except for the following forms: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Filer</w:t>
            </w:r>
          </w:p>
        </w:tc>
        <w:tc>
          <w:tcPr>
            <w:tcW w:w="1400" w:type="dxa"/>
            <w:vAlign w:val="bottom"/>
          </w:tcPr>
          <w:p>
            <w:pPr>
              <w:jc w:val="center"/>
              <w:ind w:left="772"/>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Due Date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1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Boehnke</w:t>
            </w:r>
          </w:p>
        </w:tc>
        <w:tc>
          <w:tcPr>
            <w:tcW w:w="2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w w:val="97"/>
              </w:rPr>
              <w:t>06/30/2025</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12/30/2025</w:t>
            </w:r>
          </w:p>
        </w:tc>
      </w:tr>
      <w:tr>
        <w:trPr>
          <w:trHeight w:val="21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Youngsun “Sunny” Park</w:t>
            </w:r>
          </w:p>
        </w:tc>
        <w:tc>
          <w:tcPr>
            <w:tcW w:w="14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rPr>
              <w:t>3</w:t>
            </w:r>
          </w:p>
        </w:tc>
        <w:tc>
          <w:tcPr>
            <w:tcW w:w="3320" w:type="dxa"/>
            <w:vAlign w:val="bottom"/>
            <w:gridSpan w:val="3"/>
          </w:tcPr>
          <w:p>
            <w:pPr>
              <w:jc w:val="right"/>
              <w:ind w:right="1335"/>
              <w:spacing w:after="0"/>
              <w:rPr>
                <w:sz w:val="20"/>
                <w:szCs w:val="20"/>
                <w:color w:val="auto"/>
              </w:rPr>
            </w:pPr>
            <w:r>
              <w:rPr>
                <w:rFonts w:ascii="Times New Roman" w:cs="Times New Roman" w:eastAsia="Times New Roman" w:hAnsi="Times New Roman"/>
                <w:sz w:val="18"/>
                <w:szCs w:val="18"/>
                <w:color w:val="auto"/>
              </w:rPr>
              <w:t>06/30/2025</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08/18/2025</w:t>
            </w:r>
          </w:p>
        </w:tc>
      </w:tr>
      <w:tr>
        <w:trPr>
          <w:trHeight w:val="21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Finance LTD.</w:t>
            </w:r>
          </w:p>
        </w:tc>
        <w:tc>
          <w:tcPr>
            <w:tcW w:w="140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rPr>
              <w:t>3</w:t>
            </w:r>
          </w:p>
        </w:tc>
        <w:tc>
          <w:tcPr>
            <w:tcW w:w="3320" w:type="dxa"/>
            <w:vAlign w:val="bottom"/>
            <w:gridSpan w:val="3"/>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06/30/2025</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11/26/2025</w:t>
            </w: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Hromyk</w:t>
            </w:r>
          </w:p>
        </w:tc>
        <w:tc>
          <w:tcPr>
            <w:tcW w:w="14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rPr>
              <w:t>3</w:t>
            </w:r>
          </w:p>
        </w:tc>
        <w:tc>
          <w:tcPr>
            <w:tcW w:w="3320" w:type="dxa"/>
            <w:vAlign w:val="bottom"/>
            <w:gridSpan w:val="3"/>
          </w:tcPr>
          <w:p>
            <w:pPr>
              <w:jc w:val="right"/>
              <w:ind w:right="1335"/>
              <w:spacing w:after="0"/>
              <w:rPr>
                <w:sz w:val="20"/>
                <w:szCs w:val="20"/>
                <w:color w:val="auto"/>
              </w:rPr>
            </w:pPr>
            <w:r>
              <w:rPr>
                <w:rFonts w:ascii="Times New Roman" w:cs="Times New Roman" w:eastAsia="Times New Roman" w:hAnsi="Times New Roman"/>
                <w:sz w:val="18"/>
                <w:szCs w:val="18"/>
                <w:color w:val="auto"/>
              </w:rPr>
              <w:t>06/30/2025</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11/26/2025</w:t>
            </w:r>
          </w:p>
        </w:tc>
      </w:tr>
      <w:tr>
        <w:trPr>
          <w:trHeight w:val="657"/>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42"/>
        </w:trPr>
        <w:tc>
          <w:tcPr>
            <w:tcW w:w="3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jc w:val="both"/>
        <w:ind w:firstLine="540"/>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02"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18"/>
          <w:szCs w:val="18"/>
          <w:color w:val="auto"/>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Chief Financial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202" w:lineRule="exact"/>
        <w:rPr>
          <w:sz w:val="20"/>
          <w:szCs w:val="20"/>
          <w:color w:val="auto"/>
        </w:rPr>
      </w:pPr>
    </w:p>
    <w:p>
      <w:pPr>
        <w:ind w:right="1520" w:firstLine="540"/>
        <w:spacing w:after="0" w:line="453" w:lineRule="auto"/>
        <w:rPr>
          <w:sz w:val="20"/>
          <w:szCs w:val="20"/>
          <w:color w:val="auto"/>
        </w:rPr>
      </w:pPr>
      <w:r>
        <w:rPr>
          <w:rFonts w:ascii="Times New Roman" w:cs="Times New Roman" w:eastAsia="Times New Roman" w:hAnsi="Times New Roman"/>
          <w:sz w:val="18"/>
          <w:szCs w:val="18"/>
          <w:color w:val="auto"/>
        </w:rPr>
        <w:t xml:space="preserve">No changes have been made to the procedures by which our shareholders may recommend nominees to our Board of Directors. </w:t>
      </w:r>
      <w:r>
        <w:rPr>
          <w:rFonts w:ascii="Times New Roman" w:cs="Times New Roman" w:eastAsia="Times New Roman" w:hAnsi="Times New Roman"/>
          <w:sz w:val="18"/>
          <w:szCs w:val="18"/>
          <w:b w:val="1"/>
          <w:bCs w:val="1"/>
          <w:color w:val="auto"/>
        </w:rPr>
        <w:t>Audit and Compliance Committee</w:t>
      </w:r>
    </w:p>
    <w:p>
      <w:pPr>
        <w:spacing w:after="0" w:line="2"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and Bruce Whaley. The Board has determined that Eric L. Robinson is an “audit committee financial expert” and each member is independent in accordance with applicable rules and regulations of Nasdaq and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2025 and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Plan</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Derek Graham, Chief Executive Officer</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249,749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20,096</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283,053</w:t>
            </w: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Simon Brewer - Chief Financial Officer</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L. Graham was appointed as Interim CEO on May 24, 2022 and became permanent CEO on Jan 26, 2023.</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Brewer was appointed Chief Financial Officer on April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reflect achievement of specific performance metrics approved by the Compensation Committee.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Separations and Rehirings (Subsequent Event)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2025, the Company terminated the employment of Derek Graham (Chief Executive Officer). Mr. Graham received severance of $57,500 (three months base salary), which was accrued at December 31, 2025. Mr. Graham was rehired effective January 2, 2026 under a new employment agreement. A retention bonus was granted to Mr. Graham, contingent upon finishing projects on an agreed upon timeframe.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2025 the Company terminated the employment of Simon Brewer (Chief Financial Officer). Mr. Brewer received no material severance. Mr. Brewer was rehired effective January 1, 2026 under a new employment agreement. Mr. Brewer received a $75,000 sign-on bonus paid on January 9, 2026. A retention bonus was granted to Mr. Brewer, contingent upon the closing of a future transaction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Number of Securities Underlying</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Unexercised Options</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19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09"/>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Graham</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12-14-2026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334</w:t>
            </w:r>
            <w:r>
              <w:rPr>
                <w:rFonts w:ascii="Times New Roman" w:cs="Times New Roman" w:eastAsia="Times New Roman" w:hAnsi="Times New Roman"/>
                <w:sz w:val="10"/>
                <w:szCs w:val="10"/>
                <w:color w:val="auto"/>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06-15-2023</w:t>
            </w:r>
          </w:p>
        </w:tc>
        <w:tc>
          <w:tcPr>
            <w:tcW w:w="220" w:type="dxa"/>
            <w:vAlign w:val="bottom"/>
          </w:tcPr>
          <w:p>
            <w:pPr>
              <w:spacing w:after="0"/>
              <w:rPr>
                <w:sz w:val="18"/>
                <w:szCs w:val="18"/>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06-15-2029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11-26-2030</w:t>
            </w:r>
          </w:p>
        </w:tc>
        <w:tc>
          <w:tcPr>
            <w:tcW w:w="100" w:type="dxa"/>
            <w:vAlign w:val="bottom"/>
            <w:shd w:val="clear" w:color="auto" w:fill="CCEEFF"/>
          </w:tcPr>
          <w:p>
            <w:pPr>
              <w:spacing w:after="0"/>
              <w:rPr>
                <w:sz w:val="18"/>
                <w:szCs w:val="18"/>
                <w:color w:val="auto"/>
              </w:rPr>
            </w:pP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11-26-2030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360" w:right="100" w:hanging="346"/>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15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540" w:type="dxa"/>
            <w:vAlign w:val="bottom"/>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Boehnke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Youngsun Park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directors are reimbursed by the Company for their out-of-pocket travel and related expenses, if any, incurred in attending all Board of Directors and committee meetings. However, during 2025 no expenses were reimbursed to any director.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March 31, 2026, except as otherwise stated, by</w:t>
      </w:r>
    </w:p>
    <w:p>
      <w:pPr>
        <w:spacing w:after="0" w:line="27" w:lineRule="exact"/>
        <w:rPr>
          <w:sz w:val="20"/>
          <w:szCs w:val="20"/>
          <w:color w:val="auto"/>
        </w:rPr>
      </w:pPr>
    </w:p>
    <w:p>
      <w:pPr>
        <w:ind w:firstLine="8"/>
        <w:spacing w:after="0" w:line="260"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that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Currently</w:t>
            </w:r>
          </w:p>
        </w:tc>
        <w:tc>
          <w:tcPr>
            <w:tcW w:w="150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Currently</w:t>
            </w:r>
          </w:p>
        </w:tc>
        <w:tc>
          <w:tcPr>
            <w:tcW w:w="14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could be</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acquired within</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4"/>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Name of Beneficial Owner </w:t>
            </w:r>
            <w:r>
              <w:rPr>
                <w:rFonts w:ascii="Times New Roman" w:cs="Times New Roman" w:eastAsia="Times New Roman" w:hAnsi="Times New Roman"/>
                <w:sz w:val="23"/>
                <w:szCs w:val="23"/>
                <w:b w:val="1"/>
                <w:bCs w:val="1"/>
                <w:color w:val="auto"/>
                <w:vertAlign w:val="superscript"/>
              </w:rPr>
              <w:t>(1)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500" w:type="dxa"/>
            <w:vAlign w:val="bottom"/>
            <w:gridSpan w:val="2"/>
          </w:tcPr>
          <w:p>
            <w:pPr>
              <w:jc w:val="center"/>
              <w:ind w:right="170"/>
              <w:spacing w:after="0" w:line="202" w:lineRule="exact"/>
              <w:rPr>
                <w:sz w:val="20"/>
                <w:szCs w:val="20"/>
                <w:color w:val="auto"/>
              </w:rPr>
            </w:pPr>
            <w:r>
              <w:rPr>
                <w:rFonts w:ascii="Times New Roman" w:cs="Times New Roman" w:eastAsia="Times New Roman" w:hAnsi="Times New Roman"/>
                <w:sz w:val="16"/>
                <w:szCs w:val="16"/>
                <w:b w:val="1"/>
                <w:bCs w:val="1"/>
                <w:color w:val="auto"/>
                <w:w w:val="97"/>
              </w:rPr>
              <w:t>Owned Percent</w:t>
            </w:r>
            <w:r>
              <w:rPr>
                <w:rFonts w:ascii="Times New Roman" w:cs="Times New Roman" w:eastAsia="Times New Roman" w:hAnsi="Times New Roman"/>
                <w:sz w:val="23"/>
                <w:szCs w:val="23"/>
                <w:b w:val="1"/>
                <w:bCs w:val="1"/>
                <w:color w:val="auto"/>
                <w:w w:val="97"/>
                <w:vertAlign w:val="superscript"/>
              </w:rPr>
              <w:t>(2)</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 days</w:t>
            </w:r>
          </w:p>
        </w:tc>
        <w:tc>
          <w:tcPr>
            <w:tcW w:w="144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vMerge w:val="continue"/>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(A)</w:t>
            </w:r>
          </w:p>
        </w:tc>
        <w:tc>
          <w:tcPr>
            <w:tcW w:w="1500" w:type="dxa"/>
            <w:vAlign w:val="bottom"/>
            <w:gridSpan w:val="2"/>
          </w:tcPr>
          <w:p>
            <w:pPr>
              <w:jc w:val="center"/>
              <w:ind w:right="190"/>
              <w:spacing w:after="0"/>
              <w:rPr>
                <w:sz w:val="20"/>
                <w:szCs w:val="20"/>
                <w:color w:val="auto"/>
              </w:rPr>
            </w:pPr>
            <w:r>
              <w:rPr>
                <w:rFonts w:ascii="Times New Roman" w:cs="Times New Roman" w:eastAsia="Times New Roman" w:hAnsi="Times New Roman"/>
                <w:sz w:val="16"/>
                <w:szCs w:val="16"/>
                <w:color w:val="auto"/>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w:t>
            </w:r>
          </w:p>
        </w:tc>
        <w:tc>
          <w:tcPr>
            <w:tcW w:w="140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69"/>
        </w:trPr>
        <w:tc>
          <w:tcPr>
            <w:tcW w:w="3900" w:type="dxa"/>
            <w:vAlign w:val="bottom"/>
            <w:tcBorders>
              <w:top w:val="single" w:sz="8" w:color="auto"/>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Derek L. Graham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02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18"/>
                <w:szCs w:val="18"/>
                <w:color w:val="auto"/>
              </w:rPr>
              <w:t>Lisa B. Higley</w:t>
            </w:r>
            <w:r>
              <w:rPr>
                <w:rFonts w:ascii="Times New Roman" w:cs="Times New Roman" w:eastAsia="Times New Roman" w:hAnsi="Times New Roman"/>
                <w:sz w:val="23"/>
                <w:szCs w:val="23"/>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2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Boehnke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Youngsun Park</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69"/>
        </w:trPr>
        <w:tc>
          <w:tcPr>
            <w:tcW w:w="402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5"/>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First Finance Ltd. </w:t>
            </w:r>
            <w:r>
              <w:rPr>
                <w:rFonts w:ascii="Times New Roman" w:cs="Times New Roman" w:eastAsia="Times New Roman" w:hAnsi="Times New Roman"/>
                <w:sz w:val="23"/>
                <w:szCs w:val="23"/>
                <w:color w:val="auto"/>
                <w:vertAlign w:val="superscript"/>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1,641,162</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1,641,162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315"/>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Edward D. Bagley</w:t>
            </w:r>
            <w:r>
              <w:rPr>
                <w:rFonts w:ascii="Times New Roman" w:cs="Times New Roman" w:eastAsia="Times New Roman" w:hAnsi="Times New Roman"/>
                <w:sz w:val="23"/>
                <w:szCs w:val="23"/>
                <w:color w:val="auto"/>
                <w:vertAlign w:val="superscript"/>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140,668</w:t>
            </w:r>
          </w:p>
        </w:tc>
        <w:tc>
          <w:tcPr>
            <w:tcW w:w="220" w:type="dxa"/>
            <w:vAlign w:val="bottom"/>
          </w:tcPr>
          <w:p>
            <w:pPr>
              <w:spacing w:after="0"/>
              <w:rPr>
                <w:sz w:val="24"/>
                <w:szCs w:val="24"/>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142,669</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1"/>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 84116.</w:t>
      </w:r>
    </w:p>
    <w:p>
      <w:pPr>
        <w:spacing w:after="0" w:line="94" w:lineRule="exact"/>
        <w:rPr>
          <w:rFonts w:ascii="Times New Roman" w:cs="Times New Roman" w:eastAsia="Times New Roman" w:hAnsi="Times New Roman"/>
          <w:sz w:val="18"/>
          <w:szCs w:val="18"/>
          <w:color w:val="auto"/>
        </w:rPr>
      </w:pPr>
    </w:p>
    <w:p>
      <w:pPr>
        <w:jc w:val="both"/>
        <w:ind w:left="340" w:hanging="331"/>
        <w:spacing w:after="0" w:line="25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shares of common stock outstanding on March 31, 2026. The numbers shown in Column (D) and percentages shown in Column (E) include the shares of common stock actually owned as of March 31, 2026 and the shares of common stock that the identified person or group had the right to acquire within 60 days of such date. In calculating the percentage of ownership, all shares of common stock that each identified person or group had the right to acquire within 60 days of March 31, 2026 upon the exercise of the stock options and warrants shown in Column (C) are deemed to be outstanding for the purpose of computing the percentage of the shares of common stock owned by the persons or groups listed above.</w:t>
      </w:r>
    </w:p>
    <w:p>
      <w:pPr>
        <w:spacing w:after="0" w:line="106" w:lineRule="exact"/>
        <w:rPr>
          <w:rFonts w:ascii="Times New Roman" w:cs="Times New Roman" w:eastAsia="Times New Roman" w:hAnsi="Times New Roman"/>
          <w:sz w:val="18"/>
          <w:szCs w:val="18"/>
          <w:color w:val="auto"/>
        </w:rPr>
      </w:pPr>
    </w:p>
    <w:p>
      <w:pPr>
        <w:jc w:val="both"/>
        <w:ind w:left="340" w:hanging="331"/>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4 filed with the SEC as of June 2,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437 shares owned by her spouse and 150,175 shares held by a trust in which she is a co-trustee.</w:t>
      </w:r>
    </w:p>
    <w:p>
      <w:pPr>
        <w:spacing w:after="0" w:line="98" w:lineRule="exact"/>
        <w:rPr>
          <w:rFonts w:ascii="Times New Roman" w:cs="Times New Roman" w:eastAsia="Times New Roman" w:hAnsi="Times New Roman"/>
          <w:sz w:val="18"/>
          <w:szCs w:val="18"/>
          <w:color w:val="auto"/>
        </w:rPr>
      </w:pPr>
    </w:p>
    <w:p>
      <w:pPr>
        <w:jc w:val="both"/>
        <w:ind w:left="340" w:hanging="331"/>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information for First Finance Ltd. based on a Schedule 13D/A filed by First Finance Ltd. On November 26, 2025 and a Schedule 13D/A filed on March 6, 2026. According to the Schedule 13D Amendments, First Finance Ltd. exercises sole investment and dispositive power with respect to all shares. By virtue of his pecuniary interest in First Finance Ltd., Andrew Hromyk may be deemed to beneficially own all of the shares beneficially owned by First Finance Ltd. resulting from Mr. Hromyk’s pecuniary interest in First Finance Ltd. as its controlling shareholder and director. The principal business address of First Finance Ltd. and Mr. Hromyk is 520 Newport Center Drive, Suite 650, Newport Beach CA, 92660..</w:t>
      </w:r>
    </w:p>
    <w:p>
      <w:pPr>
        <w:spacing w:after="0" w:line="102" w:lineRule="exact"/>
        <w:rPr>
          <w:rFonts w:ascii="Times New Roman" w:cs="Times New Roman" w:eastAsia="Times New Roman" w:hAnsi="Times New Roman"/>
          <w:sz w:val="18"/>
          <w:szCs w:val="18"/>
          <w:color w:val="auto"/>
        </w:rPr>
      </w:pPr>
    </w:p>
    <w:p>
      <w:pPr>
        <w:jc w:val="both"/>
        <w:ind w:left="340" w:hanging="331"/>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an additional 23,684 shares of Common Stock that his spouse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142,669 shares (including the shares that may be acquired pursuant to exercise of options to purchase 2,001 shares of Common Stock). This information is based upon a Schedule 13D Amendment filed by Mr. Bagley with the SEC on November 26, 2025.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 w:firstLine="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2025, relating to equity compensation plans of the Company (including individual compensation arrangements) pursuant to which equity securities of the Company are authorized for issuance.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24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(b)</w:t>
            </w: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available for future issuance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4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 compensation</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of Outstanding</w:t>
            </w:r>
          </w:p>
        </w:tc>
        <w:tc>
          <w:tcPr>
            <w:tcW w:w="22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plans (excluding</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22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9"/>
        </w:trPr>
        <w:tc>
          <w:tcPr>
            <w:tcW w:w="4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 options and rights</w:t>
            </w:r>
          </w:p>
        </w:tc>
        <w:tc>
          <w:tcPr>
            <w:tcW w:w="2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Options and Rights</w:t>
            </w:r>
          </w:p>
        </w:tc>
        <w:tc>
          <w:tcPr>
            <w:tcW w:w="2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column(a))</w:t>
            </w:r>
          </w:p>
        </w:tc>
        <w:tc>
          <w:tcPr>
            <w:tcW w:w="0" w:type="dxa"/>
            <w:vAlign w:val="bottom"/>
          </w:tcPr>
          <w:p>
            <w:pPr>
              <w:spacing w:after="0"/>
              <w:rPr>
                <w:sz w:val="1"/>
                <w:szCs w:val="1"/>
                <w:color w:val="auto"/>
              </w:rPr>
            </w:pPr>
          </w:p>
        </w:tc>
      </w:tr>
      <w:tr>
        <w:trPr>
          <w:trHeight w:val="191"/>
        </w:trPr>
        <w:tc>
          <w:tcPr>
            <w:tcW w:w="3820" w:type="dxa"/>
            <w:vAlign w:val="bottom"/>
            <w:tcBorders>
              <w:top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19,715</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1,980,285</w:t>
            </w:r>
          </w:p>
        </w:tc>
        <w:tc>
          <w:tcPr>
            <w:tcW w:w="0" w:type="dxa"/>
            <w:vAlign w:val="bottom"/>
          </w:tcPr>
          <w:p>
            <w:pPr>
              <w:spacing w:after="0"/>
              <w:rPr>
                <w:sz w:val="1"/>
                <w:szCs w:val="1"/>
                <w:color w:val="auto"/>
              </w:rPr>
            </w:pPr>
          </w:p>
        </w:tc>
      </w:tr>
      <w:tr>
        <w:trPr>
          <w:trHeight w:val="198"/>
        </w:trPr>
        <w:tc>
          <w:tcPr>
            <w:tcW w:w="40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19,715</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1,980,285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2025, he was paid $50,000 as consulting fees. During 2025, he did not receive any grant of stock options. This consulting agreement was terminated in November 2025.</w:t>
      </w:r>
    </w:p>
    <w:p>
      <w:pPr>
        <w:spacing w:after="0" w:line="147"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Subsequent to year-end, on March 11, 2026, the Company closed a private placement with First Finance Ltd. (its largest stockholder) for aggregate gross proceeds of $1.75 million through the issuance of 437,500 shares of common stock at $4.00 per share and a warrant to purchase up to 437,500 additional shares at $5.00 per share. Of the proceeds, $500,000 became immediately available, with the remaining $1.25 million available upon completion of the Company’s reincorporation from Delaware to Nevada. This financing provides an additional source of short-term liquidity.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Eric Robinson, Bruce Whaley and Youngsun “Sunny” Park are independent directors, in accordance with the definition of “independence” under the listing standards of NASDAQ, because they have no relationship with us that would interfere with their exercise of independent judgment.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2"/>
        </w:trPr>
        <w:tc>
          <w:tcPr>
            <w:tcW w:w="67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53,956</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ind w:left="360" w:hanging="346"/>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professional services rendered for the audit and reviews of our financial statements filed with the SEC on Forms 10-K and 10-Q.</w:t>
      </w:r>
    </w:p>
    <w:p>
      <w:pPr>
        <w:spacing w:after="0" w:line="161" w:lineRule="exact"/>
        <w:rPr>
          <w:rFonts w:ascii="Times New Roman" w:cs="Times New Roman" w:eastAsia="Times New Roman" w:hAnsi="Times New Roman"/>
          <w:sz w:val="18"/>
          <w:szCs w:val="18"/>
          <w:color w:val="auto"/>
        </w:rPr>
      </w:pPr>
    </w:p>
    <w:p>
      <w:pPr>
        <w:ind w:left="360" w:hanging="346"/>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consents provided with respect to registration statements and related amendments.</w:t>
      </w:r>
    </w:p>
    <w:p>
      <w:pPr>
        <w:spacing w:after="0" w:line="225" w:lineRule="exact"/>
        <w:rPr>
          <w:rFonts w:ascii="Times New Roman" w:cs="Times New Roman" w:eastAsia="Times New Roman" w:hAnsi="Times New Roman"/>
          <w:sz w:val="18"/>
          <w:szCs w:val="18"/>
          <w:color w:val="auto"/>
        </w:rPr>
      </w:pPr>
    </w:p>
    <w:p>
      <w:pPr>
        <w:ind w:left="360" w:hanging="346"/>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tax filing, preparation, and tax advisory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7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2025,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16" w:lineRule="exact"/>
        <w:rPr>
          <w:sz w:val="20"/>
          <w:szCs w:val="20"/>
          <w:color w:val="auto"/>
        </w:rPr>
      </w:pPr>
    </w:p>
    <w:p>
      <w:pPr>
        <w:ind w:left="500" w:hanging="488"/>
        <w:spacing w:after="0" w:line="237"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71" w:lineRule="exact"/>
        <w:rPr>
          <w:rFonts w:ascii="Times New Roman" w:cs="Times New Roman" w:eastAsia="Times New Roman" w:hAnsi="Times New Roman"/>
          <w:sz w:val="18"/>
          <w:szCs w:val="18"/>
          <w:color w:val="auto"/>
        </w:rPr>
      </w:pPr>
    </w:p>
    <w:p>
      <w:pPr>
        <w:ind w:left="500" w:right="20" w:hanging="488"/>
        <w:spacing w:after="0" w:line="237"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71" w:lineRule="exact"/>
        <w:rPr>
          <w:rFonts w:ascii="Times New Roman" w:cs="Times New Roman" w:eastAsia="Times New Roman" w:hAnsi="Times New Roman"/>
          <w:sz w:val="18"/>
          <w:szCs w:val="18"/>
          <w:color w:val="auto"/>
        </w:rPr>
      </w:pPr>
    </w:p>
    <w:p>
      <w:pPr>
        <w:ind w:left="500" w:hanging="488"/>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the Index of exhibits in the next page are filed or incorporated by reference as part of this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 Incorporated</w:t>
            </w:r>
          </w:p>
        </w:tc>
        <w:tc>
          <w:tcPr>
            <w:tcW w:w="1100" w:type="dxa"/>
            <w:vAlign w:val="bottom"/>
          </w:tcPr>
          <w:p>
            <w:pPr>
              <w:spacing w:after="0"/>
              <w:rPr>
                <w:sz w:val="17"/>
                <w:szCs w:val="17"/>
                <w:color w:val="auto"/>
              </w:rPr>
            </w:pPr>
          </w:p>
        </w:tc>
      </w:tr>
      <w:tr>
        <w:trPr>
          <w:trHeight w:val="21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gridSpan w:val="24"/>
          </w:tcPr>
          <w:p>
            <w:pPr>
              <w:ind w:left="8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Herein by Reference</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5"/>
        </w:trPr>
        <w:tc>
          <w:tcPr>
            <w:tcW w:w="92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3280" w:type="dxa"/>
            <w:vAlign w:val="bottom"/>
            <w:tcBorders>
              <w:top w:val="single" w:sz="8" w:color="auto"/>
              <w:bottom w:val="single" w:sz="8" w:color="0000EE"/>
            </w:tcBorders>
            <w:gridSpan w:val="11"/>
          </w:tcPr>
          <w:p>
            <w:pPr>
              <w:spacing w:after="0" w:line="175"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Certificate of Incorporation of ClearOne, Inc.</w:t>
              </w:r>
            </w:hyperlink>
          </w:p>
        </w:tc>
        <w:tc>
          <w:tcPr>
            <w:tcW w:w="2140" w:type="dxa"/>
            <w:vAlign w:val="bottom"/>
            <w:tcBorders>
              <w:top w:val="single" w:sz="8" w:color="auto"/>
            </w:tcBorders>
            <w:gridSpan w:val="16"/>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5"/>
                <w:szCs w:val="15"/>
                <w:color w:val="auto"/>
              </w:rPr>
            </w:pPr>
          </w:p>
        </w:tc>
        <w:tc>
          <w:tcPr>
            <w:tcW w:w="21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10/29/18</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Amendment to Certificate of Incorporation dated June 2,</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06/02/25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2025.</w:t>
              </w:r>
            </w:hyperlink>
          </w:p>
        </w:tc>
        <w:tc>
          <w:tcPr>
            <w:tcW w:w="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Amendment to Certificate of Incorporation dated June 20,</w:t>
              </w:r>
            </w:hyperlink>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08/14/25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2025.</w:t>
              </w:r>
            </w:hyperlink>
          </w:p>
        </w:tc>
        <w:tc>
          <w:tcPr>
            <w:tcW w:w="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Designation for Class A Redeemable Preferred Stock</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06/25/25</w:t>
            </w: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480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Certificate of Designation for Class B Convertible Preferred Stock</w:t>
              </w:r>
            </w:hyperlink>
          </w:p>
        </w:tc>
        <w:tc>
          <w:tcPr>
            <w:tcW w:w="40" w:type="dxa"/>
            <w:vAlign w:val="bottom"/>
            <w:tcBorders>
              <w:top w:val="single" w:sz="8" w:color="0000EE"/>
            </w:tcBorders>
          </w:tcPr>
          <w:p>
            <w:pPr>
              <w:spacing w:after="0"/>
              <w:rPr>
                <w:sz w:val="18"/>
                <w:szCs w:val="18"/>
                <w:color w:val="auto"/>
              </w:rPr>
            </w:pPr>
          </w:p>
        </w:tc>
        <w:tc>
          <w:tcPr>
            <w:tcW w:w="800" w:type="dxa"/>
            <w:vAlign w:val="bottom"/>
            <w:gridSpan w:val="8"/>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06/25/25</w:t>
            </w: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5640" w:type="dxa"/>
            <w:vAlign w:val="bottom"/>
            <w:gridSpan w:val="2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Bylaws</w:t>
              </w:r>
            </w:hyperlink>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10/29/18</w:t>
            </w:r>
          </w:p>
        </w:tc>
      </w:tr>
      <w:tr>
        <w:trPr>
          <w:trHeight w:val="20"/>
        </w:trPr>
        <w:tc>
          <w:tcPr>
            <w:tcW w:w="114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No. 1 to Bylaws</w:t>
            </w:r>
          </w:p>
        </w:tc>
        <w:tc>
          <w:tcPr>
            <w:tcW w:w="352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4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Description of Securities Registered Pursuant to Section 12 of the</w:t>
              </w:r>
            </w:hyperlink>
          </w:p>
        </w:tc>
        <w:tc>
          <w:tcPr>
            <w:tcW w:w="900" w:type="dxa"/>
            <w:vAlign w:val="bottom"/>
            <w:gridSpan w:val="10"/>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03/30/20</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Securities Exchange Act of 1934</w:t>
              </w:r>
            </w:hyperlink>
          </w:p>
        </w:tc>
        <w:tc>
          <w:tcPr>
            <w:tcW w:w="326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Warrant</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3/5/26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5640" w:type="dxa"/>
            <w:vAlign w:val="bottom"/>
            <w:gridSpan w:val="2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ClearOne, Inc. Equity Incentive Plan</w:t>
              </w:r>
            </w:hyperlink>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01/26/16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4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Amendment No. 1 to the ClearOne, Inc. Equity Incentive Plan</w:t>
              </w:r>
            </w:hyperlink>
          </w:p>
        </w:tc>
        <w:tc>
          <w:tcPr>
            <w:tcW w:w="1140" w:type="dxa"/>
            <w:vAlign w:val="bottom"/>
            <w:gridSpan w:val="11"/>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ClearOne, Inc. Employee Stock Purchase Plan</w:t>
              </w:r>
            </w:hyperlink>
          </w:p>
        </w:tc>
        <w:tc>
          <w:tcPr>
            <w:tcW w:w="2280" w:type="dxa"/>
            <w:vAlign w:val="bottom"/>
            <w:gridSpan w:val="16"/>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Confidential Settlement and License Agreement.</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12/09/22</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Non-Exclusive Cross License Agreement effective December 23, 2023 by</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12/27/23</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and between ClearOne, Inc. and Sennheiser electronic GmbH &amp; C0. KG.</w:t>
              </w:r>
            </w:hyperlink>
          </w:p>
        </w:tc>
        <w:tc>
          <w:tcPr>
            <w:tcW w:w="10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Securities Purchase Agreement</w:t>
              </w:r>
            </w:hyperlink>
          </w:p>
        </w:tc>
        <w:tc>
          <w:tcPr>
            <w:tcW w:w="3380" w:type="dxa"/>
            <w:vAlign w:val="bottom"/>
            <w:gridSpan w:val="21"/>
          </w:tcPr>
          <w:p>
            <w:pPr>
              <w:spacing w:after="0"/>
              <w:rPr>
                <w:sz w:val="17"/>
                <w:szCs w:val="17"/>
                <w:color w:val="auto"/>
              </w:rPr>
            </w:pPr>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3/5/26</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Registration Rights Agreement</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3/5/26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5640" w:type="dxa"/>
            <w:vAlign w:val="bottom"/>
            <w:gridSpan w:val="28"/>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Code of Ethics, approved by the Board of Directors on August 23, 2006</w:t>
              </w:r>
            </w:hyperlink>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09/14/06</w:t>
            </w:r>
          </w:p>
        </w:tc>
      </w:tr>
      <w:tr>
        <w:trPr>
          <w:trHeight w:val="20"/>
        </w:trPr>
        <w:tc>
          <w:tcPr>
            <w:tcW w:w="114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ClearOne Inc. Statement of Policy Regarding Compliance with Insider</w:t>
              </w:r>
            </w:hyperlink>
          </w:p>
        </w:tc>
        <w:tc>
          <w:tcPr>
            <w:tcW w:w="240" w:type="dxa"/>
            <w:vAlign w:val="bottom"/>
            <w:gridSpan w:val="2"/>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19.1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04/01/24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gridSpan w:val="2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Trading Laws</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2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Tanner LLP, Independent Registered Public Accounting Firm</w:t>
            </w:r>
          </w:p>
        </w:tc>
        <w:tc>
          <w:tcPr>
            <w:tcW w:w="3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of Chief Executive Officer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7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of Chief Financial Officer</w:t>
            </w:r>
          </w:p>
        </w:tc>
        <w:tc>
          <w:tcPr>
            <w:tcW w:w="20" w:type="dxa"/>
            <w:vAlign w:val="bottom"/>
            <w:tcBorders>
              <w:top w:val="single" w:sz="8" w:color="0000EE"/>
            </w:tcBorders>
          </w:tcPr>
          <w:p>
            <w:pPr>
              <w:spacing w:after="0"/>
              <w:rPr>
                <w:sz w:val="17"/>
                <w:szCs w:val="17"/>
                <w:color w:val="auto"/>
              </w:rPr>
            </w:pPr>
          </w:p>
        </w:tc>
        <w:tc>
          <w:tcPr>
            <w:tcW w:w="18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6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Section 906 Certification of Chief Executive Officer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7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Certification of Chief Financial Officer</w:t>
            </w:r>
          </w:p>
        </w:tc>
        <w:tc>
          <w:tcPr>
            <w:tcW w:w="40" w:type="dxa"/>
            <w:vAlign w:val="bottom"/>
            <w:tcBorders>
              <w:top w:val="single" w:sz="8" w:color="0000EE"/>
            </w:tcBorders>
            <w:gridSpan w:val="2"/>
          </w:tcPr>
          <w:p>
            <w:pPr>
              <w:spacing w:after="0"/>
              <w:rPr>
                <w:sz w:val="17"/>
                <w:szCs w:val="17"/>
                <w:color w:val="auto"/>
              </w:rPr>
            </w:pPr>
          </w:p>
        </w:tc>
        <w:tc>
          <w:tcPr>
            <w:tcW w:w="18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6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 Clawback Policy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560" w:type="dxa"/>
            <w:vAlign w:val="bottom"/>
            <w:gridSpan w:val="18"/>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6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1140" w:hanging="1126"/>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Annual Report on Form 10-K formatted in Inline</w:t>
      </w:r>
    </w:p>
    <w:p>
      <w:pPr>
        <w:spacing w:after="0" w:line="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6"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of this exhibit have been excluded from this exhibit in accordance with Rule 24b-2 because such information is (1) not material, and (2) the Company customarily and actually treats that information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have been omitted pursuant to Item 601(a)(5) Regulation S-K. The Company hereby undertakes to furnish supplemental copies of any of the omitted schedules and exhibits upon request by the SEC.</w:t>
      </w:r>
    </w:p>
    <w:p>
      <w:pPr>
        <w:ind w:right="3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Information furnished herewith shall not be deemed to be “filed” for the purposes of Section 18 of the 1934 Act #Management contract or compensatory plan or arrangement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L. Graham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2026</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Derek L. Graham</w:t>
            </w:r>
          </w:p>
        </w:tc>
        <w:tc>
          <w:tcPr>
            <w:tcW w:w="26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Derek L. Graham</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Eric L. Robinson</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/s/Eric Boehnke</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L. Robinson</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Eric Boehnke</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Bruce Whaley</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Lisa B. Higley</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Bruce Whaley</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Lisa B. Higley</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45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Youngsun “Sunny” Park</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05"/>
        </w:trPr>
        <w:tc>
          <w:tcPr>
            <w:tcW w:w="5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Youngsun “Sunny” Park</w:t>
            </w:r>
          </w:p>
        </w:tc>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80" w:type="dxa"/>
            <w:vAlign w:val="bottom"/>
          </w:tcPr>
          <w:p>
            <w:pPr>
              <w:spacing w:after="0"/>
              <w:rPr>
                <w:sz w:val="24"/>
                <w:szCs w:val="24"/>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270).</w:t>
            </w:r>
          </w:p>
        </w:tc>
        <w:tc>
          <w:tcPr>
            <w:tcW w:w="4700" w:type="dxa"/>
            <w:vAlign w:val="bottom"/>
            <w:gridSpan w:val="5"/>
            <w:vMerge w:val="restart"/>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640" w:type="dxa"/>
            <w:vAlign w:val="bottom"/>
            <w:tcBorders>
              <w:bottom w:val="single" w:sz="8" w:color="0000EE"/>
            </w:tcBorders>
            <w:gridSpan w:val="3"/>
            <w:vMerge w:val="continue"/>
          </w:tcPr>
          <w:p>
            <w:pPr>
              <w:spacing w:after="0"/>
              <w:rPr>
                <w:sz w:val="14"/>
                <w:szCs w:val="14"/>
                <w:color w:val="auto"/>
              </w:rPr>
            </w:pPr>
          </w:p>
        </w:tc>
        <w:tc>
          <w:tcPr>
            <w:tcW w:w="4700" w:type="dxa"/>
            <w:vAlign w:val="bottom"/>
            <w:gridSpan w:val="5"/>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439"/>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 for the years ended December 31, 2025 and 2024</w:t>
            </w:r>
          </w:p>
        </w:tc>
        <w:tc>
          <w:tcPr>
            <w:tcW w:w="13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39"/>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2025 and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439"/>
        </w:trPr>
        <w:tc>
          <w:tcPr>
            <w:tcW w:w="7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320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439"/>
        </w:trPr>
        <w:tc>
          <w:tcPr>
            <w:tcW w:w="3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3"/>
          </w:tcPr>
          <w:p>
            <w:pPr>
              <w:spacing w:after="0"/>
              <w:rPr>
                <w:sz w:val="24"/>
                <w:szCs w:val="24"/>
                <w:color w:val="auto"/>
              </w:rPr>
            </w:pPr>
          </w:p>
        </w:tc>
        <w:tc>
          <w:tcPr>
            <w:tcW w:w="38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93"/>
        </w:trPr>
        <w:tc>
          <w:tcPr>
            <w:tcW w:w="6460" w:type="dxa"/>
            <w:vAlign w:val="bottom"/>
            <w:gridSpan w:val="5"/>
          </w:tcPr>
          <w:p>
            <w:pPr>
              <w:jc w:val="center"/>
              <w:ind w:left="4710"/>
              <w:spacing w:after="0"/>
              <w:rPr>
                <w:sz w:val="20"/>
                <w:szCs w:val="20"/>
                <w:color w:val="auto"/>
              </w:rPr>
            </w:pPr>
            <w:r>
              <w:rPr>
                <w:rFonts w:ascii="Times New Roman" w:cs="Times New Roman" w:eastAsia="Times New Roman" w:hAnsi="Times New Roman"/>
                <w:sz w:val="18"/>
                <w:szCs w:val="18"/>
                <w:color w:val="auto"/>
                <w:w w:val="99"/>
              </w:rPr>
              <w:t>26</w:t>
            </w: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ClearOne,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ClearOne, Inc. and subsidiaries (the “Company”) as of December 31, 2025 and 2024, and the related consolidated statements of operations and comprehensive loss, shareholders’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Company’s present financial situation raises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 – 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completed the sale of substantially all of its operating intellectual property, product inventory, and related production assets in October 2025. The results of operations related to the disposed assets have been reported as discontinued operations for all periods presented. Our opinion is not modified with respect to this matter.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TANNER LLP</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Lehi, Utah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October 14, 2015.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F-2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related to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 term assets related to discontinued operations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related to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 related to discontinued operations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B convertible preferred stock, par value $0.001, 5,100 shares authorized, — and — shares issued and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$0.001, 150,000,000 shares authorized, 2,237,912 and 1,599,534 shares issued and</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(36,143)</w:t>
            </w: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5"/>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80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194</w:t>
            </w:r>
          </w:p>
        </w:tc>
      </w:tr>
      <w:tr>
        <w:trPr>
          <w:trHeight w:val="209"/>
        </w:trPr>
        <w:tc>
          <w:tcPr>
            <w:tcW w:w="8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expense</w:t>
            </w:r>
          </w:p>
        </w:tc>
        <w:tc>
          <w:tcPr>
            <w:tcW w:w="3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519</w:t>
            </w:r>
          </w:p>
        </w:tc>
      </w:tr>
      <w:tr>
        <w:trPr>
          <w:trHeight w:val="210"/>
        </w:trPr>
        <w:tc>
          <w:tcPr>
            <w:tcW w:w="8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(4,396)</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w:t>
            </w:r>
          </w:p>
        </w:tc>
      </w:tr>
      <w:tr>
        <w:trPr>
          <w:trHeight w:val="209"/>
        </w:trPr>
        <w:tc>
          <w:tcPr>
            <w:tcW w:w="80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80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(21,460)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r>
      <w:tr>
        <w:trPr>
          <w:trHeight w:val="229"/>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(26,084)</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30"/>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1,765,654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1,598,756</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1,765,654</w:t>
            </w:r>
          </w:p>
        </w:tc>
        <w:tc>
          <w:tcPr>
            <w:tcW w:w="3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1,598,756</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(26,084)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0" w:type="dxa"/>
            <w:vAlign w:val="bottom"/>
          </w:tcPr>
          <w:p>
            <w:pPr>
              <w:spacing w:after="0"/>
              <w:rPr>
                <w:sz w:val="17"/>
                <w:szCs w:val="17"/>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5"/>
        </w:trPr>
        <w:tc>
          <w:tcPr>
            <w:tcW w:w="4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and paid-in capital</w:t>
            </w:r>
          </w:p>
        </w:tc>
        <w:tc>
          <w:tcPr>
            <w:tcW w:w="2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31,696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46,071</w:t>
            </w: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(14,496)</w:t>
            </w: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cash</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convertible note</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interest</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cancellation of warrants</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35,769</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31,696</w:t>
            </w:r>
          </w:p>
        </w:tc>
        <w:tc>
          <w:tcPr>
            <w:tcW w:w="120" w:type="dxa"/>
            <w:vAlign w:val="bottom"/>
            <w:tcBorders>
              <w:bottom w:val="single" w:sz="8" w:color="CCEEFF"/>
            </w:tcBorders>
          </w:tcPr>
          <w:p>
            <w:pPr>
              <w:spacing w:after="0"/>
              <w:rPr>
                <w:sz w:val="18"/>
                <w:szCs w:val="18"/>
                <w:color w:val="auto"/>
              </w:rPr>
            </w:pPr>
          </w:p>
        </w:tc>
      </w:tr>
      <w:tr>
        <w:trPr>
          <w:trHeight w:val="209"/>
        </w:trPr>
        <w:tc>
          <w:tcPr>
            <w:tcW w:w="44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8"/>
                <w:szCs w:val="18"/>
                <w:color w:val="auto"/>
              </w:rPr>
            </w:pPr>
          </w:p>
        </w:tc>
      </w:tr>
      <w:tr>
        <w:trPr>
          <w:trHeight w:val="209"/>
        </w:trPr>
        <w:tc>
          <w:tcPr>
            <w:tcW w:w="44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(26,084)</w:t>
            </w: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(8,983)</w:t>
            </w:r>
          </w:p>
        </w:tc>
      </w:tr>
      <w:tr>
        <w:trPr>
          <w:trHeight w:val="210"/>
        </w:trPr>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21,331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6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4480" w:type="dxa"/>
            <w:vAlign w:val="bottom"/>
          </w:tcPr>
          <w:p>
            <w:pPr>
              <w:spacing w:after="0"/>
              <w:rPr>
                <w:sz w:val="24"/>
                <w:szCs w:val="24"/>
                <w:color w:val="auto"/>
              </w:rPr>
            </w:pPr>
          </w:p>
        </w:tc>
        <w:tc>
          <w:tcPr>
            <w:tcW w:w="2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 F-5 |</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(26,084)</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9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88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11,143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8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(14,554)</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9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9,724</w:t>
            </w:r>
          </w:p>
        </w:tc>
      </w:tr>
      <w:tr>
        <w:trPr>
          <w:trHeight w:val="223"/>
        </w:trPr>
        <w:tc>
          <w:tcPr>
            <w:tcW w:w="7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payment</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(14,496)</w:t>
            </w: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stock</w:t>
            </w:r>
          </w:p>
        </w:tc>
        <w:tc>
          <w:tcPr>
            <w:tcW w:w="9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outstanding warrants</w:t>
            </w:r>
          </w:p>
        </w:tc>
        <w:tc>
          <w:tcPr>
            <w:tcW w:w="9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equity-based compensation programs</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operations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7,032</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2,497</w:t>
            </w: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2,912</w:t>
            </w:r>
          </w:p>
        </w:tc>
        <w:tc>
          <w:tcPr>
            <w:tcW w:w="88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9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the year</w:t>
            </w:r>
          </w:p>
        </w:tc>
        <w:tc>
          <w:tcPr>
            <w:tcW w:w="9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1,417</w:t>
            </w:r>
          </w:p>
        </w:tc>
        <w:tc>
          <w:tcPr>
            <w:tcW w:w="88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17,835</w:t>
            </w:r>
          </w:p>
        </w:tc>
      </w:tr>
      <w:tr>
        <w:trPr>
          <w:trHeight w:val="22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year</w:t>
            </w: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as non-cash dividend</w:t>
            </w:r>
          </w:p>
        </w:tc>
        <w:tc>
          <w:tcPr>
            <w:tcW w:w="10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debt to Series B Preferred stock</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3,026</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89" w:lineRule="exact"/>
        <w:rPr>
          <w:sz w:val="20"/>
          <w:szCs w:val="20"/>
          <w:color w:val="auto"/>
        </w:rPr>
      </w:pPr>
    </w:p>
    <w:p>
      <w:pPr>
        <w:ind w:right="454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Note 1 - Business Description, Basis of Presentation and Significant Accounting Policies </w:t>
      </w:r>
      <w:r>
        <w:rPr>
          <w:rFonts w:ascii="Times New Roman" w:cs="Times New Roman" w:eastAsia="Times New Roman" w:hAnsi="Times New Roman"/>
          <w:sz w:val="18"/>
          <w:szCs w:val="18"/>
          <w:b w:val="1"/>
          <w:bCs w:val="1"/>
          <w:i w:val="1"/>
          <w:iCs w:val="1"/>
          <w:color w:val="auto"/>
        </w:rPr>
        <w:t>Business Description:</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was previously engaged in the design, development, and marketing of professional audio conferencing, microphone, and video collaboration solutions. On October 24, 2025, the Company completed the sale of a significant portion of its operating assets (the "Asset Sale"). Following the Asset Sale, the Company no longer manufactures or sells products and maintains a limited inventory and provides customer support services to satisfy warranty claims. Its continuing activities consist solely of fulfilling warranty and technical support obligations on legacy products, managing and liquidating remaining assets, collecting accounts receivable, satisfying outstanding liabilities, and maintaining public-company compliance. These activities are transitional in nature and are not expected to generate material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The Company has incurred significant losses, has negative cash flows from operations, and its continuing operations are limited and not expected to generate revenue at levels sufficient to fund ongoing costs. These conditions, together with the mandatory redemption obligation for the Class A Redeemable Preferred Stock (triggered by the closing of the Asset Sale on October 24, 2025), raise substantial doubt about the Company’s ability to continue as a going concern within one year after the issuance date of these financial statements. Management is actively evaluating strategic alternatives intended to enhance stockholder value and improve liquidity. These alternatives may include one or more special transactions or other actions that maximize value for stockholders. The consolidated financial statements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ClearOne, Inc. and its wholly owned subsidiaries. All intercompany accounts and transactions have been eliminated. The financial statements are prepared in accordance with U.S. GAAP. The year ended December 31, 2025 includes the results of the disposed assets as discontinued operations that were sold on October 24, 2025. No allocation or smoothing of results between continuing and discontinued operations has been applied.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completed a 1-for-15 reverse stock split of the Company's issued and outstanding common stock, par value $0.001 per share, effective at 5:00 p.m. Eastern Time on June 9, 2025. The common stock began trading on a split-adjusted basis on the Nasdaq Capital Market on June 10, 2025, under the symbol "CLRO" and a new CUSIP number of 18506U203.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one share, with no fractional shares issued (any fractional interests were rounded up to the next whole share). The reverse stock split did not change the par value of the common stock or the authorized number of shares but reduced the number of issued and outstanding shares from approximately 26.0 million to approximately 1.7 million, with proportional adjustments to outstanding stock options, warrants, and shares reserved under equity incentive plans. For additional details, refer to the Company's Current Report on Form 8-K filed with the SEC on June 2, 2025, including the press release attached as Exhibit 99.1 thereto.</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share and per-share amounts in these condensed consolidated financial statements and related notes have been retroactively adjusted to reflect the reverse stock split for all periods presented.</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color w:val="auto"/>
        </w:rPr>
        <w:t>consists of $519 in remaining proceeds from a $3,000 convertible note issued to First Finance Ltd. on June 20, 2025 (with no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balance as of March 31, 2025). These funds are subject to enforceable contractual restrictions per the disbursement schedule in Schedule 8.5 of the Note Purchase Agreement, which allocates proceeds to specific uses such as advisory fees, warrant holder payments, legal and audit expenses, staff costs (e.g., board fees, accounting staff, operations/sales staff bonuses), shutdown costs for foreign subsidiaries, and severance/PTO for employee layoffs. The funds are held in a segregated account and released only upon meeting specified milestones, with penalties for non-compliance.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includes restricted cash with cash and cash equivalents when reconciling the beginning-of-period and end-of-period total amounts shown on the statement of cash flows, in accordance with ASU 2016-18. Restricted cash as of September 30, 2025, disbursed for severances, deal fees, legal fees, and compliance fees, resulting in the ending restricted cash balance. Full disbursement of the remaining restricted cash is expected by December 2025 as additional milestones are achieved. Restricted cash is classified as a current asset on the balance sheet and included in the total cash, cash equivalents, and restricted cash balances in the statement of cash flows. Changes in restricted cash are not presented as separate cash flows but are reconciled in this note. This classification and presentation provide transparency regarding the Company's liquidity, as the restricted funds are not available for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 considers all highly-liquid investments with a maturity of three months or less, when purchased, to be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places its temporary cash investments with high-quality financial institutions. At times, such investments may be in excess of the Federal Deposit Insurance Corporation insurance limits. As of December 31, 2025, there were no cash accounts in the United States that exceeded federally insured limits. In addition, there were foreign cash accounts in the amount of $46 that were not covered by Federal Deposit Insurance Corporation insurance.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 </w:t>
      </w:r>
      <w:r>
        <w:rPr>
          <w:rFonts w:ascii="Times New Roman" w:cs="Times New Roman" w:eastAsia="Times New Roman" w:hAnsi="Times New Roman"/>
          <w:sz w:val="18"/>
          <w:szCs w:val="18"/>
          <w:color w:val="auto"/>
        </w:rPr>
        <w:t>The Company has classified its marketable securities as available-for-sale securities. These debt securities are carried at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2025 and 2024.</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 Accounts receivable are recorded at the invoiced amount, net of expected returns and allowance for doubtful accounts.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credit losses change, the Company may have to provide for a greater level of expense in future periods or reverse amounts provided in prior periods.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allowance for doubtful accounts activity for the years ended December 31, 2025 and 2024 is as follows (see Note 2, as accounts receivable and the allowance for doubtful accounts are included in current assets related to discontinued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2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2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increase (decrease)</w:t>
            </w:r>
          </w:p>
        </w:tc>
        <w:tc>
          <w:tcPr>
            <w:tcW w:w="10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offs, net of recoveries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valued at the lower of cost or market, with cost computed on a first-in, first-out (“FIFO”) basis. In addition to the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inventory includes advance replacement units (valued at cost) provided by the Company to end-users to service defective products under warranty. The value of advance replacement units included in the inventory was $353 and $392, as of December 31, 2025 and 2024, respectively.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less accumulated depreciation and amortization. Expenditures that materially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 </w:t>
      </w:r>
      <w:r>
        <w:rPr>
          <w:rFonts w:ascii="Times New Roman" w:cs="Times New Roman" w:eastAsia="Times New Roman" w:hAnsi="Times New Roman"/>
          <w:sz w:val="18"/>
          <w:szCs w:val="18"/>
          <w:color w:val="auto"/>
        </w:rPr>
        <w:t>Intangible assets are amortized over their useful lives unless these lives are determined to be indefinite. Intangible assets are carried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Long-lived assets, such as property, equipment, and definite-lived intangible assets subject to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determine if an arrangement is a lease at inception. Operating leases are included in operating lease - right of use (“ROU”) assets,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operating lease liability in our consolidated balance sheets. As of adoption of ASC 842 and as of December 31, 2025 and December 31, 2024, the Company was not party to finance lease arrangements. 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 Under the available practical expedient, we account for the lease and non-lease components as a single lease component.</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Policy: </w:t>
      </w:r>
      <w:r>
        <w:rPr>
          <w:rFonts w:ascii="Times New Roman" w:cs="Times New Roman" w:eastAsia="Times New Roman" w:hAnsi="Times New Roman"/>
          <w:sz w:val="18"/>
          <w:szCs w:val="18"/>
          <w:color w:val="auto"/>
        </w:rPr>
        <w:t>The Company generates revenue from sales of its audio and video conferencing equipment to distributors, system integrators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1" w:lineRule="exact"/>
        <w:rPr>
          <w:sz w:val="20"/>
          <w:szCs w:val="20"/>
          <w:color w:val="auto"/>
        </w:rPr>
      </w:pPr>
    </w:p>
    <w:p>
      <w:pPr>
        <w:jc w:val="both"/>
        <w:ind w:firstLine="8"/>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900" w:type="dxa"/>
            <w:vAlign w:val="bottom"/>
          </w:tcPr>
          <w:p>
            <w:pPr>
              <w:spacing w:after="0"/>
              <w:rPr>
                <w:sz w:val="19"/>
                <w:szCs w:val="19"/>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gross profit</w:t>
            </w: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 (see Note 2, as all revenue is classified in discontinued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Audio Conferencing</w:t>
            </w:r>
          </w:p>
        </w:tc>
        <w:tc>
          <w:tcPr>
            <w:tcW w:w="1000" w:type="dxa"/>
            <w:vAlign w:val="bottom"/>
            <w:gridSpan w:val="2"/>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Microphones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products</w:t>
            </w: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and South America</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(including Middle East) and Australia</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Warranty Costs </w:t>
      </w:r>
      <w:r>
        <w:rPr>
          <w:rFonts w:ascii="Times New Roman" w:cs="Times New Roman" w:eastAsia="Times New Roman" w:hAnsi="Times New Roman"/>
          <w:sz w:val="18"/>
          <w:szCs w:val="18"/>
          <w:color w:val="auto"/>
        </w:rPr>
        <w:t>– The Company accrues for warranty costs based on estimated warranty return rates and estimated costs to repair. These reserve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changes in the Company’s warranty accrual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Accruals/additions</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Usage/claims</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The Company expenses advertising costs as incurred. Advertising costs consist of trade shows, magazine advertisements, and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Advertising expenses for the years ended December 31, 2025 and 2024 totaled $227 and $526, respectively, and are included in discontinued operations on the consolidated statements of operations and comprehensive income (loss).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uses the asset and liability method of accounting for income taxes. Under the asset and liability method,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We continue to record full valuation against our net deferred tax assets. Adjustments to the valuation allowance increase or decrease the Company’s income tax provision or benefit.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 net deferred tax assets due to valuation allowances recorded to account for the consecutive quarters with losses before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Recent changes: </w:t>
      </w:r>
      <w:r>
        <w:rPr>
          <w:rFonts w:ascii="Times New Roman" w:cs="Times New Roman" w:eastAsia="Times New Roman" w:hAnsi="Times New Roman"/>
          <w:sz w:val="18"/>
          <w:szCs w:val="18"/>
          <w:color w:val="auto"/>
        </w:rPr>
        <w:t>There were no changes that had a material impact on the Company's consolidated financial position, results of operations or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following table sets forth the computation of basic and diluted loss per common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0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(21,460)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(7,133)</w:t>
            </w: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adjustment under if-converted method</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1,598,756</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common stock equivalents using if-converted method</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1,765,654</w:t>
            </w:r>
          </w:p>
        </w:tc>
        <w:tc>
          <w:tcPr>
            <w:tcW w:w="2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1,598,756</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options, warrants and convertibles outstanding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370,254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options and warrants not included in the computation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370,254</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 We estimate the fair value of stock options using the Black-Scholes option-pricing model, which requires certain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Segment </w:t>
      </w:r>
      <w:r>
        <w:rPr>
          <w:rFonts w:ascii="Times New Roman" w:cs="Times New Roman" w:eastAsia="Times New Roman" w:hAnsi="Times New Roman"/>
          <w:sz w:val="18"/>
          <w:szCs w:val="18"/>
          <w:color w:val="auto"/>
        </w:rPr>
        <w:t>– The Company operates as one operating segment. Operating segments are defined as components of an entity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This update enhances income tax disclosure requirements, primarily by requiring greater disaggregation of information in the effective tax rate reconciliation and income taxes paid disclosures. For public business entities, such as the Company, ASU 2023-09 mandates a tabular reconciliation of the effective tax rate using both percentages and reporting currency amounts, with specific categories of reconciling items and additional detail for items meeting a quantitative threshold of 5% of the expected tax amount. Additionally, the standard requires annual disclosure of income taxes paid, disaggregated by federal, state, and foreign jurisdictions, with further breakout by individual jurisdiction if the amount is significant. The ASU is effective for annual periods beginning after December 15, 2024, with early adoption permitted, and should be applied prospectively, though retrospective application is optional. The Company adopted the new standard on January 1, 2025, using the retrospective transition method. The adoption modified the presentation of our income tax disclosures (see Note 14) but did not have a material impact on our consolidated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 (Topic 220): Disaggregation of Income Statement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currently developing its implementation plan and evaluating the impact of this standard on its consolidated financial statement disclosures. While we expect adoption to necessitate modifications to our financial reporting processes and systems to capture the required disaggregated information, management does not expect a material effect on our reported financial position or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a full description of the Asset Sale and presentation of discontinued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 reported amounts. Key estimates include valuation of retained warranty inventory, warranty reserves, legal contingencies, and the going-concern assessment. Actual results could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Discontinued Operations and Asset Sale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completed the sale of substantially all of its operating intellectual property, product inventory, and related production assets to Biamp Systems, LLC (“Biamp”) for gross cash consideration of $3,000 (the “Asset Sale”). Biamp did not assume any warranty or technical support obligations. The Company retained its books and records, all equity interests in subsidiaries, approximately $390 of inventory solely to service warranty obligations, and all public-company assets and obligations. See the Company’s Current Report on Form 8-K filed October 30, 2025 for additional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represents the disposal of a component that qualifies as discontinued operations under ASC 205-20. The results of the disposed assets are presented as discontinued operations for all periods presented, with a hard cutoff on the legal closing date of October 24, 2025. No allocation or smoothing of results has been applied.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disposal group was classified as held for sale and measured at fair value less costs to sell. The carrying amount of the disposal group was $13,641 (primarily inventory of $12,856 and intangible assets of $785). Based on the executed asset purchase agreement for $3,000 cash consideration and estimated transaction costs of $100, management recorded an impairment of $10,741 to reduce the disposal group to fair value less costs to sell. The impairment is included in “Loss from discontinued operations” in the consolidated statements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classified as held for sale</w:t>
      </w:r>
    </w:p>
    <w:p>
      <w:pPr>
        <w:spacing w:after="0" w:line="200"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Assets held for sale at September 30, 2025 totaled $2,900 (comprised primarily of inventory $12,956 and intangibles $785, less impairment to fair value less costs to sell of $10,741 and transaction costs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Liabilities held for sale at September 30, 2025 were $0 (no obligations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net assets sold at the October 24, 2025 closing date, after the Q3 impairment and additional changes in October, was $14,055. The loss on sale recognized in the fourth quarter of 2025 was calculated as follows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0"/>
        </w:trPr>
        <w:tc>
          <w:tcPr>
            <w:tcW w:w="9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 from Asset Sale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57"/>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color w:val="333333"/>
              </w:rPr>
              <w:t>)</w:t>
            </w:r>
          </w:p>
        </w:tc>
      </w:tr>
      <w:tr>
        <w:trPr>
          <w:trHeight w:val="27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Less: Carrying value of net assets sold (after impairment)</w:t>
            </w:r>
          </w:p>
        </w:tc>
        <w:tc>
          <w:tcPr>
            <w:tcW w:w="30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(14,055</w:t>
            </w:r>
            <w:r>
              <w:rPr>
                <w:rFonts w:ascii="Times New Roman" w:cs="Times New Roman" w:eastAsia="Times New Roman" w:hAnsi="Times New Roman"/>
                <w:sz w:val="18"/>
                <w:szCs w:val="18"/>
                <w:color w:val="333333"/>
              </w:rPr>
              <w:t>)</w:t>
            </w:r>
          </w:p>
        </w:tc>
      </w:tr>
      <w:tr>
        <w:trPr>
          <w:trHeight w:val="210"/>
        </w:trPr>
        <w:tc>
          <w:tcPr>
            <w:tcW w:w="9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on sale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333333"/>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(11,143)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classes of assets and liabilities of the disposed assets as of the October 24, 2025 closing date (gross carrying value before impairment allocation)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518</w:t>
            </w:r>
          </w:p>
        </w:tc>
        <w:tc>
          <w:tcPr>
            <w:tcW w:w="80" w:type="dxa"/>
            <w:vAlign w:val="bottom"/>
          </w:tcPr>
          <w:p>
            <w:pPr>
              <w:spacing w:after="0"/>
              <w:rPr>
                <w:sz w:val="22"/>
                <w:szCs w:val="22"/>
                <w:color w:val="auto"/>
              </w:rPr>
            </w:pPr>
          </w:p>
        </w:tc>
      </w:tr>
      <w:tr>
        <w:trPr>
          <w:trHeight w:val="243"/>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1,568</w:t>
            </w:r>
          </w:p>
        </w:tc>
        <w:tc>
          <w:tcPr>
            <w:tcW w:w="80" w:type="dxa"/>
            <w:vAlign w:val="bottom"/>
            <w:shd w:val="clear" w:color="auto" w:fill="CCEEFF"/>
          </w:tcPr>
          <w:p>
            <w:pPr>
              <w:spacing w:after="0"/>
              <w:rPr>
                <w:sz w:val="21"/>
                <w:szCs w:val="21"/>
                <w:color w:val="auto"/>
              </w:rPr>
            </w:pPr>
          </w:p>
        </w:tc>
      </w:tr>
      <w:tr>
        <w:trPr>
          <w:trHeight w:val="24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3,127</w:t>
            </w:r>
          </w:p>
        </w:tc>
        <w:tc>
          <w:tcPr>
            <w:tcW w:w="80" w:type="dxa"/>
            <w:vAlign w:val="bottom"/>
          </w:tcPr>
          <w:p>
            <w:pPr>
              <w:spacing w:after="0"/>
              <w:rPr>
                <w:sz w:val="21"/>
                <w:szCs w:val="21"/>
                <w:color w:val="auto"/>
              </w:rPr>
            </w:pPr>
          </w:p>
        </w:tc>
      </w:tr>
      <w:tr>
        <w:trPr>
          <w:trHeight w:val="209"/>
        </w:trPr>
        <w:tc>
          <w:tcPr>
            <w:tcW w:w="9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disposed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333333"/>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21,327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7"/>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gridSpan w:val="2"/>
          </w:tcPr>
          <w:p>
            <w:pPr>
              <w:spacing w:after="0"/>
              <w:rPr>
                <w:sz w:val="24"/>
                <w:szCs w:val="24"/>
                <w:color w:val="auto"/>
              </w:rPr>
            </w:pPr>
          </w:p>
        </w:tc>
      </w:tr>
      <w:tr>
        <w:trPr>
          <w:trHeight w:val="23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333333"/>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shd w:val="clear" w:color="auto" w:fill="CCEEFF"/>
          </w:tcPr>
          <w:p>
            <w:pPr>
              <w:spacing w:after="0"/>
              <w:rPr>
                <w:sz w:val="20"/>
                <w:szCs w:val="20"/>
                <w:color w:val="auto"/>
              </w:rPr>
            </w:pPr>
          </w:p>
        </w:tc>
      </w:tr>
      <w:tr>
        <w:trPr>
          <w:trHeight w:val="257"/>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Pr>
          <w:p>
            <w:pPr>
              <w:spacing w:after="0"/>
              <w:rPr>
                <w:sz w:val="22"/>
                <w:szCs w:val="22"/>
                <w:color w:val="auto"/>
              </w:rPr>
            </w:pPr>
          </w:p>
        </w:tc>
      </w:tr>
      <w:tr>
        <w:trPr>
          <w:trHeight w:val="257"/>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disposed</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3,689</w:t>
            </w:r>
          </w:p>
        </w:tc>
        <w:tc>
          <w:tcPr>
            <w:tcW w:w="80" w:type="dxa"/>
            <w:vAlign w:val="bottom"/>
            <w:shd w:val="clear" w:color="auto" w:fill="CCEEFF"/>
          </w:tcPr>
          <w:p>
            <w:pPr>
              <w:spacing w:after="0"/>
              <w:rPr>
                <w:sz w:val="22"/>
                <w:szCs w:val="22"/>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disposed</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333333"/>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difference between the gross carrying value of $17,638 and the post-impairment carrying value of $14,055 used in the loss on sale calculation is attributable to the Q3 impairment of $10,741 and additional net asset activity in October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discontinued operations for the years ended December 31, 2025 and 2024 are summarized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44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5"/>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31,2025</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December 31,2024</w:t>
            </w:r>
          </w:p>
        </w:tc>
      </w:tr>
      <w:tr>
        <w:trPr>
          <w:trHeight w:val="226"/>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9,030</w:t>
            </w:r>
          </w:p>
        </w:tc>
        <w:tc>
          <w:tcPr>
            <w:tcW w:w="120" w:type="dxa"/>
            <w:vAlign w:val="bottom"/>
          </w:tcPr>
          <w:p>
            <w:pPr>
              <w:spacing w:after="0"/>
              <w:rPr>
                <w:sz w:val="21"/>
                <w:szCs w:val="21"/>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8,563</w:t>
            </w: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(3,021)</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2,823</w:t>
            </w: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33333"/>
              </w:rPr>
              <w:t>7,296</w:t>
            </w:r>
          </w:p>
        </w:tc>
        <w:tc>
          <w:tcPr>
            <w:tcW w:w="120" w:type="dxa"/>
            <w:vAlign w:val="bottom"/>
          </w:tcPr>
          <w:p>
            <w:pPr>
              <w:spacing w:after="0"/>
              <w:rPr>
                <w:sz w:val="23"/>
                <w:szCs w:val="23"/>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9,899</w:t>
            </w: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(10,317)</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(7,076)</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Loss on sale</w:t>
            </w: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33333"/>
              </w:rPr>
              <w:t>(11,143)</w:t>
            </w:r>
          </w:p>
        </w:tc>
        <w:tc>
          <w:tcPr>
            <w:tcW w:w="120" w:type="dxa"/>
            <w:vAlign w:val="bottom"/>
          </w:tcPr>
          <w:p>
            <w:pPr>
              <w:spacing w:after="0"/>
              <w:rPr>
                <w:sz w:val="21"/>
                <w:szCs w:val="21"/>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(21,460)</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r>
              <w:rPr>
                <w:rFonts w:ascii="Times New Roman" w:cs="Times New Roman" w:eastAsia="Times New Roman" w:hAnsi="Times New Roman"/>
                <w:sz w:val="18"/>
                <w:szCs w:val="18"/>
                <w:color w:val="333333"/>
              </w:rPr>
              <w:t>)</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21"/>
                <w:szCs w:val="21"/>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333333"/>
                <w:w w:val="74"/>
              </w:rPr>
              <w:t>)</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Asset Sale, the Company continues to fulfill warranty and technical support obligations on products sold October 24, 2025 in accordance with published policies. The Company retained a limited amount of inventory solely to service these obligations. These activities are reported within continuing operations and do not constitute ongoing operations of the disposed assets.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flows from discontinued operations are included in the consolidated statements of cash flows. For the year ended December 31, 2025, net cash provided by discontinued operations was $9,944.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proceeds from the Asset Sale are contractually earmarked to redeem the Class A Redeemable Preferred Stock. Redemption occurred after December 31, 2025 and is treated as a subsequent event.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marketable securities were liquidated during 2025 to support working capital needs. There were no marketable securities as of December 31, 2025 or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intangible assets were sold as part of the Asset Sale on October 24, 2025. There were no intangible assets remaining as of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Inventories</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solely of the limited amount retained to service warranty obligations: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2"/>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(warranty servicing)</w:t>
            </w:r>
          </w:p>
        </w:tc>
        <w:tc>
          <w:tcPr>
            <w:tcW w:w="64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80" w:type="dxa"/>
            <w:vAlign w:val="bottom"/>
          </w:tcPr>
          <w:p>
            <w:pPr>
              <w:spacing w:after="0"/>
              <w:rPr>
                <w:sz w:val="19"/>
                <w:szCs w:val="19"/>
                <w:color w:val="auto"/>
              </w:rPr>
            </w:pP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Property and Equipment</w:t>
            </w: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property and equipment associated with the disposed operations were sold as part of the Asset Sale. All remaining property and equipment consist primarily of office supplies and aged computer equipment which was written off as de minumus: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80" w:type="dxa"/>
            <w:vAlign w:val="bottom"/>
            <w:tcBorders>
              <w:top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equipment</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included in discontinued operations totaled $232 thousand and $226 thousand for the years ended December 31, 2025 and 2024 respectively. No depreciation expense was recorded in continuing operations for either period.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considering future rent escalation and holiday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years ended December 31, 2025 and 2024 was as follows:</w:t>
      </w:r>
    </w:p>
    <w:p>
      <w:pPr>
        <w:spacing w:after="0" w:line="18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38735</wp:posOffset>
            </wp:positionV>
            <wp:extent cx="19888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53" w:lineRule="exact"/>
        <w:rPr>
          <w:sz w:val="20"/>
          <w:szCs w:val="20"/>
          <w:color w:val="auto"/>
        </w:rPr>
      </w:pPr>
    </w:p>
    <w:p>
      <w:pPr>
        <w:ind w:left="8580"/>
        <w:spacing w:after="0"/>
        <w:tabs>
          <w:tab w:leader="none" w:pos="102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57" w:lineRule="exact"/>
        <w:rPr>
          <w:sz w:val="20"/>
          <w:szCs w:val="20"/>
          <w:color w:val="auto"/>
        </w:rPr>
      </w:pPr>
    </w:p>
    <w:p>
      <w:pPr>
        <w:ind w:left="20"/>
        <w:spacing w:after="0"/>
        <w:tabs>
          <w:tab w:leader="none" w:pos="7980" w:val="left"/>
          <w:tab w:leader="none" w:pos="9180" w:val="left"/>
          <w:tab w:leader="none" w:pos="9660" w:val="left"/>
          <w:tab w:leader="none" w:pos="10840" w:val="left"/>
        </w:tabs>
        <w:rPr>
          <w:sz w:val="20"/>
          <w:szCs w:val="20"/>
          <w:color w:val="auto"/>
        </w:rPr>
      </w:pPr>
      <w:r>
        <w:rPr>
          <w:rFonts w:ascii="Times New Roman" w:cs="Times New Roman" w:eastAsia="Times New Roman" w:hAnsi="Times New Roman"/>
          <w:sz w:val="18"/>
          <w:szCs w:val="18"/>
          <w:color w:val="auto"/>
        </w:rPr>
        <w:t>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300</w:t>
        <w:tab/>
        <w:t>$</w:t>
      </w:r>
      <w:r>
        <w:rPr>
          <w:sz w:val="20"/>
          <w:szCs w:val="20"/>
          <w:color w:val="auto"/>
        </w:rPr>
        <w:tab/>
      </w:r>
      <w:r>
        <w:rPr>
          <w:rFonts w:ascii="Times New Roman" w:cs="Times New Roman" w:eastAsia="Times New Roman" w:hAnsi="Times New Roman"/>
          <w:sz w:val="18"/>
          <w:szCs w:val="18"/>
          <w:color w:val="auto"/>
        </w:rPr>
        <w:t>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occupy approximately 9,402 square feet of office space in Salt Lake City, Utah under an operating lease expiring in February 2028. This facility supports the Company’s remaining administrative functions, public company compliance activities, and limited operational support functions.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previously occupied a 1,350 square-foot facility in Gainesville, Florida under an operating lease that had been extended to February 29, 2029. On March 2, 2026, the Company entered into a Settlement, Release and Agreement to Terminate Lease with the landlord. Pursuant to the settlement, the Company paid $30 and forfeited its security deposit in exchange for full termination of the lease and a mutual release of all obligations. The Company has no further liability under this lease.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occupied a 2,590 square-foot warehouse facility in Salt Lake City, Utah (363 West 2720 South, Suite B) under an operating lease scheduled to expire in February 2028. On February 24, 2026, the Company entered into an Early Termination Agreement with the landlord that terminated the lease effective midnight February 28, 2026. In connection with the early termination, the Company paid a buyout of $43 and forfeited its security deposit. The Company has no further liability under this lease after February 28, 2026. This facility previously supported warranty servicing and repair activities related to products sold prior to the October 2025 asset disposition.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occupied a 6,175 square-foot facility in Chennai, India under the terms of an operating lease which expired September 2025. This facility supported our administrative, marketing, customer support, and research and product development activities. We did not renew the lease and vacated these premises on November 15, 2025 and the deposit was refunded in January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r>
      <w:tr>
        <w:trPr>
          <w:trHeight w:val="36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7920" w:type="dxa"/>
            <w:vAlign w:val="bottom"/>
          </w:tcPr>
          <w:p>
            <w:pPr>
              <w:spacing w:after="0"/>
              <w:rPr>
                <w:sz w:val="24"/>
                <w:szCs w:val="24"/>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tcBorders>
            <w:shd w:val="clear" w:color="auto" w:fill="CCEEFF"/>
          </w:tcPr>
          <w:p>
            <w:pPr>
              <w:spacing w:after="0"/>
              <w:rPr>
                <w:sz w:val="19"/>
                <w:szCs w:val="19"/>
                <w:color w:val="auto"/>
              </w:rPr>
            </w:pPr>
          </w:p>
        </w:tc>
      </w:tr>
      <w:tr>
        <w:trPr>
          <w:trHeight w:val="216"/>
        </w:trPr>
        <w:tc>
          <w:tcPr>
            <w:tcW w:w="79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21"/>
                <w:szCs w:val="2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97"/>
        </w:trPr>
        <w:tc>
          <w:tcPr>
            <w:tcW w:w="7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6"/>
        </w:trPr>
        <w:tc>
          <w:tcPr>
            <w:tcW w:w="1280" w:type="dxa"/>
            <w:vAlign w:val="bottom"/>
            <w:tcBorders>
              <w:top w:val="single" w:sz="8" w:color="0000EE"/>
            </w:tcBorders>
          </w:tcPr>
          <w:p>
            <w:pPr>
              <w:spacing w:after="0"/>
              <w:rPr>
                <w:sz w:val="24"/>
                <w:szCs w:val="24"/>
                <w:color w:val="auto"/>
              </w:rPr>
            </w:pPr>
          </w:p>
        </w:tc>
        <w:tc>
          <w:tcPr>
            <w:tcW w:w="84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amounts)</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2025:</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1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8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8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9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w:t>
      </w:r>
    </w:p>
    <w:p>
      <w:pPr>
        <w:spacing w:after="0" w:line="18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Subsequent to December 31, 2025, the Company terminated two of its operating leases: (i) the Gainesville, Florida facility was terminated on March 2, 2026 via a settlement agreement with a $30 cash payment and forfeiture of the security deposit; and (ii) the Salt Lake City warehouse facility was terminated effective February 28, 2026 via an early termination agreement with a $43 buyout and forfeiture of the security deposit. The Company has no further liability under either lease. See Note 17 – Subsequent Events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other compensation</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reserve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obligation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 – Legal Proceedings for incorporation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Employee Settlement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ClearOne Spain, S.L. (“ClearOne Spain”), a wholly owned subsidiary, entered into a binding settlement agreement with eight former employees to resolve wrongful termination and severance claims arising from a collective dismissal implemented in August 2025.</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settlement agreement was executed on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Board of Directors of ClearOne, Inc. approved the settlement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agreement fixed the Company’s obligation to pay net settlement proceeds of €393 (€362 compensation + €31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concluded the obligation was both probable and reasonably estimable as of December 31, 2025 under ASC 450-20 and therefore accrued the full amount at year-end. The USD equivalent recorded at the December 31, 2025 spot rate was $461. Due to ClearOne Spain being part of the discontinued operations, this accrual is included in current liabilities related to discontinued operations on the balance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of the settlement was made on January 14, 2026 (value date January 16, 2026) and the formal ratification occurred at the Zaragoza SMAC conciliation hearing on January 21, 2026. These events are treated as non-recognized subsequent events with respect to cash disbursement timing only. No adjustment to the year-end accrual was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is disclosed in the Discontinued Operations footnote (Note 2) to the extent it relates to the disposed business, as well as in Subsequent Events (Note 17) and Legal Proceedings (Item 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Retention Bonuses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post-transaction leadership restructuring, the Company granted retention bonuses to Derek Graham and Simon Brewer contingent upon the completion of certain projects and duration of employment and the closing of a future transaction of the Company, respectively. These bonuses are not probable or estimable as of December 31, 2025 and are therefore disclosed only.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claims and legal proceedings arising in the ordinary course of business. Management does not believe any such matters will have a material adverse effect on the Company’s financial position,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10 - Debt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21, 2025, the Company’s $3.0 million convertible note issued on June 20, 2025 to First Finance Ltd. (together with $26 of accrued interest) automatically converted into 3,026 shares of Class B Convertible Preferred Stock pursuant to its original terms. The conversion ratio of 166.44474 common shares per Class B share was determined at issuance based on the Nasdaq closing price and 5-day average closing prices on June 19, 2025 (the trading day immediately preceding execution of the note and purchase agreement) and is fixed (subject only to customary anti-dilution). Because the conversion option is indexed to, and will be settled in, the Company’s own equity, it qualifies for the ASC 815-40 “own-equity” scope exception; accordingly, no derivative liability was recorded and the full conversion amount was recognized in equity, with no gain or loss recognized on conversion. The Company has 5,100 Class B shares authorized and 3,026 issued and outstanding as of September 30, 2025. This conversion represents a non-cash financing activity and is disclosed in the supplemental cash flow information. Class B Convertible Preferred Stock is convertible into common stock in accordance with its Certificate of Designation filed as Exhibit 3.2 to the Company’s Current Report on Form 8-K as filed with the SEC on June 25, 2025. There was no debt outstanding as of December 31, 2025 or 2024. On November 24, 2025, First Finance Ltd. converted all 3,026 shares of Class B Convertible Preferred Stock into 503,662 shares of common stock at the fixed conversion price of $6.008 per share. This non-cash conversion is reflected in the consolidated financial statements as of December 31, 2025, with no Class B Convertible Preferred Stock remaining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Option Plans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share-based incentive plan offering stock options is primarily through 2007 Equity Incentive Plan (the “2007 Plan”). Under this plan, one new share is issued for each stock option exercised. The plan is described below.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December 31, 2025, the Company had 2,769 options with contractual lives of ten years and 16,947 options with contractual lives of six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19,716 options outstanding under the 2007 Plan. As of December 31, 2025, the 2007 Plan had 1,980,284 authorized unissued options.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applying the Black-Scholes methodology to the 10,667 options granted during the year ended December 31, 2024, the Company used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average</w:t>
            </w:r>
          </w:p>
        </w:tc>
        <w:tc>
          <w:tcPr>
            <w:tcW w:w="63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4.06%</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6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3.5 years</w:t>
            </w:r>
          </w:p>
        </w:tc>
      </w:tr>
      <w:tr>
        <w:trPr>
          <w:trHeight w:val="24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63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107.23%</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 ended December 31,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price volatility is determined using a weighted average of daily historical volatility of the Company’s stock price over the corresponding expected option life.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option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4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520" w:type="dxa"/>
            <w:vAlign w:val="bottom"/>
          </w:tcPr>
          <w:p>
            <w:pPr>
              <w:spacing w:after="0"/>
              <w:rPr>
                <w:sz w:val="2"/>
                <w:szCs w:val="2"/>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3"/>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line="20" w:lineRule="exact"/>
              <w:rPr>
                <w:sz w:val="1"/>
                <w:szCs w:val="1"/>
                <w:color w:val="auto"/>
              </w:rPr>
            </w:pPr>
          </w:p>
        </w:tc>
      </w:tr>
      <w:tr>
        <w:trPr>
          <w:trHeight w:val="189"/>
        </w:trPr>
        <w:tc>
          <w:tcPr>
            <w:tcW w:w="55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37,956</w:t>
            </w:r>
          </w:p>
        </w:tc>
        <w:tc>
          <w:tcPr>
            <w:tcW w:w="22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49.76</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2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9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pre-tax compensation cost related to stock options recognized during the years ended December 31, 2025 and 2024 was $78 and $89, respectively. Tax benefit from compensation cost related to stock options during the years ended December 31, 2025 and 2024, respectively was $1 and $2. As of December 31, 2025, the total compensation cost related to stock options not yet recognized and before the effect of any forfeitures was $0, which is expected to be recognized over approximately the next 0.0 years on a straight-line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maintained a 2016 Employee Stock Purchase Plan (the “ESPP”). The ESPP was approved by the Company’s shareholders on December 12, 2016. Offering periods under the ESPP commenced on each January 1 and July 1 and continued for a duration of six months. The ESPP was available to all employees who did not own, or were deemed to own, shares of stock making up an excess of 0% of the combined voting power of the Company, its parent or subsidiary.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significant reduction in force completed in June 2025, the Company terminated the ESPP effective July 2025. All participant contributions were refunded to employees in May and June 2025, totaling approximately $1. No shares were issued under the ESPP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purchased and compensation expense associated with the ESPP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ESPP plan</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ESPP has been terminated and no shares remain available for future issuance.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Common Stock and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(the “Purchase Agreement”) with certain purchasers named therein (the “Purchasers”), pursuant to which the Company issued and sold, in a registered direct offering 141,070 shares (the “Shares”) of the Company’s common stock, par value $0.001 per share (the “Common Stock”) at an offering price of $37.39 per share, (the “Registered Offering”). The Company received gross proceeds of approximately $5,275 (4,764 net of issuance costs) in connection with the Registered Offering, before deducting placement agent fees and related offering expenses. In a concurrent private placement, the Company issued to the Purchasers who participated in the Registered Offering warrants exercisable for an aggregate of 70,535 shares of common stock at an exercise price of $36.45 per share. Each warrant became immediately exercisable and had an expiry term of five years from the issuance date.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241,546 shares of the Company's common stock, par value $0.001 per share at an offering price of $41.40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241,546 shares of common stock at an exercise price of $39.60 per share. Each warrant became immediately exercisable and will expire on March 15, 2027.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 Repurchased (and Related Party)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September 2025, the Company repurchased and cancelled outstanding warrants from (i) Intracoastal Capital, LLC (6,039 underlying shares) on September 2, 2025 for an aggregate purchase price of $4, (ii) Lind Global Fund II, LP (24,155 underlying shares) on September 10, 2025 for $15, (iii) Edward Dallin Bagley (related party; 18,940 underlying shares) on September 17, 2025 for $12, and (iv) Edward Bryan Bagley (3,788 underlying shares) on September 16, 2025 for $2. The repurchased warrants were cancelled upon settlement and accounted for as equity transactions with no effect on the statement of operations. As of September 30, 2025, warrants to purchase an aggregate of 218,887 shares of common stock remained outstanding. The Company did not issue new warrants during the quarter.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repurchase price and other terms of the warrants repurchase from Edward Dallin Bagley were approved by the Board of Directors in accordance with the Company’s policy regarding related person transactions. No amounts were outstanding with Mr. Bagley related to these warrants as of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Subsequent to December 31, 2025, the Company repurchased and cancelled 24,155 of the September 12, 2021 warrants (see Note 17 – Subsequent Events).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Significant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 concentration information relates to the discontinued operations for the periods presented.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three of our distributors accounted for 10% or more of total sales. Customer A accounted for 12%, Customer B accounted for 13%, and Customer C accounted for 10%. For the year ended December 31, 2024, one distributor, customer D, accounted for more than 17% of our total consolidated revenue. As of December 31, 2025, customer E accounted for 16%, customer A accounted for 13%, customer F accounted for 11%, customer G accounted for 11%, and customer H accounted for 11% of trade accounts receivable. As of December 31, 2024, customer D accounted for 30% and customer A accounted for 12% of trade accounts receivable.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no financial instruments requiring fair value measurement under the three-level hierarchy.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 (loss) before income taxes, continuing operations, for domestic and foreign operations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provision for income taxes, continuing operations,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(8,560)</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accordance with the retrospective adoption of ASU 2023-09, the following table provides a tabular reconciliation of the income tax provision for continuing operations compared to the federal statutory rate for the years ended December 31,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2"/>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 at 21.0 %</w:t>
            </w:r>
          </w:p>
        </w:tc>
        <w:tc>
          <w:tcPr>
            <w:tcW w:w="82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(national) income tax effect</w:t>
            </w:r>
          </w:p>
        </w:tc>
        <w:tc>
          <w:tcPr>
            <w:tcW w:w="8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8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 R&amp;D</w:t>
            </w:r>
          </w:p>
        </w:tc>
        <w:tc>
          <w:tcPr>
            <w:tcW w:w="8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r>
      <w:tr>
        <w:trPr>
          <w:trHeight w:val="2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r>
      <w:tr>
        <w:trPr>
          <w:trHeight w:val="230"/>
        </w:trPr>
        <w:tc>
          <w:tcPr>
            <w:tcW w:w="160" w:type="dxa"/>
            <w:vAlign w:val="bottom"/>
            <w:shd w:val="clear" w:color="auto" w:fill="CCEEFF"/>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Intercompany Loan Interest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30"/>
        </w:trPr>
        <w:tc>
          <w:tcPr>
            <w:tcW w:w="160" w:type="dxa"/>
            <w:vAlign w:val="bottom"/>
            <w:shd w:val="clear" w:color="auto" w:fill="CCEEFF"/>
          </w:tcPr>
          <w:p>
            <w:pPr>
              <w:spacing w:after="0"/>
              <w:rPr>
                <w:sz w:val="19"/>
                <w:szCs w:val="19"/>
                <w:color w:val="auto"/>
              </w:rPr>
            </w:pPr>
          </w:p>
        </w:tc>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Nontaxable or nondeductible items - 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8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r>
      <w:tr>
        <w:trPr>
          <w:trHeight w:val="196"/>
        </w:trPr>
        <w:tc>
          <w:tcPr>
            <w:tcW w:w="55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Tax Provision (Benefit) - Continuing Ops:</w:t>
            </w:r>
          </w:p>
        </w:tc>
        <w:tc>
          <w:tcPr>
            <w:tcW w:w="8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retrospective adoption of ASU 2023-09, the following table presents the tax effects of significant temporary differences that give rise to the Company’s net deferred tax assets and liabilities as of December 31,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of deferreds: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Long-term</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Basis difference in intangible assets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5,473</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 and UNICAP</w:t>
            </w:r>
          </w:p>
        </w:tc>
        <w:tc>
          <w:tcPr>
            <w:tcW w:w="24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7,025</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research and development credits</w:t>
            </w:r>
          </w:p>
        </w:tc>
        <w:tc>
          <w:tcPr>
            <w:tcW w:w="24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ASC 718 compensation expense</w:t>
            </w:r>
          </w:p>
        </w:tc>
        <w:tc>
          <w:tcPr>
            <w:tcW w:w="24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in property and equipment basis</w:t>
            </w:r>
          </w:p>
        </w:tc>
        <w:tc>
          <w:tcPr>
            <w:tcW w:w="24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Interest Expense</w:t>
            </w:r>
          </w:p>
        </w:tc>
        <w:tc>
          <w:tcPr>
            <w:tcW w:w="24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1,839</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 deferred income tax asset</w:t>
            </w: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15,975</w:t>
            </w:r>
          </w:p>
        </w:tc>
        <w:tc>
          <w:tcPr>
            <w:tcW w:w="60" w:type="dxa"/>
            <w:vAlign w:val="bottom"/>
            <w:tcBorders>
              <w:top w:val="single" w:sz="8" w:color="CFF0FC"/>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Pr>
          <w:p>
            <w:pPr>
              <w:spacing w:after="0"/>
              <w:rPr>
                <w:sz w:val="18"/>
                <w:szCs w:val="18"/>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(24,946)</w:t>
            </w:r>
          </w:p>
        </w:tc>
        <w:tc>
          <w:tcPr>
            <w:tcW w:w="140" w:type="dxa"/>
            <w:vAlign w:val="bottom"/>
          </w:tcPr>
          <w:p>
            <w:pPr>
              <w:spacing w:after="0"/>
              <w:rPr>
                <w:sz w:val="18"/>
                <w:szCs w:val="18"/>
                <w:color w:val="auto"/>
              </w:rPr>
            </w:pP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Taxes Paid by Jurisdiction (ASU 2023-09) </w:t>
            </w: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(India)</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taxes paid</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It is not practical to estimate the amount of additional taxes that might be payable on such undistributed earnings.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2025, the Company had an aggregate of approximately $24,947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87" w:lineRule="exact"/>
        <w:rPr>
          <w:sz w:val="20"/>
          <w:szCs w:val="20"/>
          <w:color w:val="auto"/>
        </w:rPr>
      </w:pPr>
    </w:p>
    <w:p>
      <w:pPr>
        <w:ind w:left="320" w:hanging="306"/>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taxable income within the allowed carryback or carryforward periods;</w:t>
      </w:r>
    </w:p>
    <w:p>
      <w:pPr>
        <w:spacing w:after="0" w:line="27"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 including any tax planning strategies that could be utilized;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or character (e.g., ordinary vs. capital) of the deferred tax assets and liabilities; and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criteria, the Company determined that it does not meet the “more likely than not” threshold that net operating losses, tax credits and other deferred tax assets will be realized. Accordingly, the Company recorded a full valuation allowance at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federal net operating loss (“NOL”) carryforwards of approximately $74,344 (pre-tax), state NOL carryforwards of approximately $76,036 (pre-tax) and Spain NOL carryforwards of approximately $15,034 (pre-tax). The federal NOL carryforward expires in 2030. The Spain NOL carryforward does not expire. The state NOL carryforwards expire over various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for continuing operations at December 31, 2025 and 2024, that would favorably impact our effective tax rate if recognized was $1,162 and $1,101, respectively. As of December 31, 2025 and 2024, we accrued $279 and $198, respectively, in interest and penalties related to unrecognized tax benefits. We account for interest expense and penalties for unrecognized tax benefits as part of our income tax provision.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79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in statutes of limitations</w:t>
            </w:r>
          </w:p>
        </w:tc>
        <w:tc>
          <w:tcPr>
            <w:tcW w:w="9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 ending balance</w:t>
            </w: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U.S. federal income tax returns for 2018 through 2025 are subject to examination. The Company's U.S. 2018 federal income tax return is currently under examination. The Company also files in various state and foreign jurisdictions. With few exceptions, the Company is no longer subject to federal, state, or non-U.S. income tax examinations by tax authorities for years prior to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Capital Structure: Class A Redeemable Preferred Stock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2025, following Board authorization on June 20, 2025, filing of the Certificate of Designation on June 24, 2025, and Nasdaq Corporate Data Operations approval on July 11, 2025 (the record date), the Company issued 2,069,065 shares of its Class A Redeemable Preferred Stock as a one-time special stock dividend (one Class A share for each common share and common stock equivalent outstanding as of the record date). 2,069,066 shares are authorized and 2,069,065 were issued and outstanding as of December 31,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Certificate of Designation, the Class A shares are mandatorily redeemable upon an Asset Sale for 100% of the net proceeds as defined therein. The closing of the Asset Sale on October 24, 2025 (see Note 2) triggered this mandatory redemption obligation. As of December 31, 2025, the redemption had not yet been completed.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estimates the final redemption amount will be approximately $50 after permitted expenses and net asset recoveries. Accordingly, the Class A Redeemable Preferred Stock has been reclassified from temporary equity to a current liability on the consolidated balance sheet as of December 31, 2025.</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Redeemable Preferred Stock is a participating security only in the liquidation or sale proceeds and does not receive dividends other than the redemption amount. Therefore, it is excluded from the computation of diluted earnings per share as anti-dilutive for the periods presented.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actual cash redemption payment is expected to occur after December 31, 2025 and is treated as a non-recognized subsequent event (see Note 17 – Subsequent Events).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 A Redeemable Preferred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shares in whole amounts)</w:t>
            </w:r>
          </w:p>
        </w:tc>
        <w:tc>
          <w:tcPr>
            <w:tcW w:w="2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1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July 1, 2025</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via special stock dividend, par value (July 18, 2025)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2,069,065</w:t>
            </w:r>
          </w:p>
        </w:tc>
        <w:tc>
          <w:tcPr>
            <w:tcW w:w="12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temporary equity at estimated redemption value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current liability upon Asset Sale closing (October 24, 2025)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2,069,065</w:t>
            </w:r>
          </w:p>
        </w:tc>
      </w:tr>
      <w:tr>
        <w:trPr>
          <w:trHeight w:val="216"/>
        </w:trPr>
        <w:tc>
          <w:tcPr>
            <w:tcW w:w="7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Redeemable Preferred Stock redemption payable (current liability, discontinued operations)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2,069,065</w:t>
            </w:r>
          </w:p>
        </w:tc>
      </w:tr>
      <w:tr>
        <w:trPr>
          <w:trHeight w:val="432"/>
        </w:trPr>
        <w:tc>
          <w:tcPr>
            <w:tcW w:w="79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 F-26 |</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79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Geographic Sales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geographic sales information relates to the discontinued operations for the periods presented.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278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67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3,328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8"/>
                <w:szCs w:val="18"/>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2,681</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Borders>
              <w:bottom w:val="single" w:sz="8" w:color="CCEEFF"/>
            </w:tcBorders>
          </w:tcPr>
          <w:p>
            <w:pPr>
              <w:spacing w:after="0"/>
              <w:rPr>
                <w:sz w:val="19"/>
                <w:szCs w:val="19"/>
                <w:color w:val="auto"/>
              </w:rPr>
            </w:pPr>
          </w:p>
        </w:tc>
      </w:tr>
      <w:tr>
        <w:trPr>
          <w:trHeight w:val="20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6,009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Redeemable Preferred Stock Redemption</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Net proceeds from the October 2025 Asset Sale, after permitted expenses, are contractually required to be used to redeem all outstanding shares of the Company’s Class A Redeemable Preferred Stock. As of the date these consolidated financial statements were issued, the redemption had not yet occurred. The exact net proceeds available for redemption could not be determined as of December 31, 2025 because permitted expenses were still being finalized. The Company currently estimates that the final net amount available for redemption will be approximately $50. The redemption is expected to occur after the issuance of these financial statements and will be recognized in the period in which it takes place. See Note 15 – Capital Structure for additional information regarding the Class A Redeemable 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2026, Simon Brewer was rehired as Chief Financial Officer and Principal Financial Officer under a new employment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 2026, Derek Graham was rehired as part-time Chief Executive Officer and Principal Executive Officer under a new employment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2026, the Company paid Simon Brewer a $75,000 sign-on bonus with no clawback or retention conditions.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retention bonuses to Derek Graham and Simon Brewer contingent upon the completion of projects and the duration of employment, and the closing of a future transaction,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Terminations</w:t>
      </w:r>
    </w:p>
    <w:p>
      <w:pPr>
        <w:spacing w:after="0" w:line="214"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On February 24, 2026, the Company entered into an Early Termination Agreement for the 2,590 square-foot warehouse facility in Salt Lake City, Utah (363 West 2720 South, Suite B). The lease terminated effective midnight February 28, 2026. The Company paid a buyout of $42,556.50 and forfeited its security deposit. The Company has no further liability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-386080</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In March, 2026, the Company entered into a Settlement, Release and Agreement to Terminate Lease for the 1,350 square-foot facility in Gainesville, Florida (2610 NW 43rd Street, Suite 2-C). The Company paid $30,000 and forfeited its $2,236.50 security deposit in exchange for full termination of the lease and a mutual release of all obligations. The Company has no further liability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-386080</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March 2, 2026, the Company entered into a Securities Purchase Agreement with First Finance Ltd. (its largest stockholder) and issued 437,500 shares of common stock at $4.00 per share and a warrant to purchase up to 437,500 additional shares at $5.00 per share for aggregate gross proceeds of $1,750. Of the proceeds, $500 became immediately available to the Company, and the remaining $1,250 will become available upon completion of the Company’s reincorporation from Delaware to Nevada.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Repurchase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2026, the Company entered into a Warrant Repurchase Agreement with CVI Investments, Inc. and repurchased certain outstanding common stock purchase warrants originally issued on September 12, 2021. The repurchased warrants were exercisable for an aggregate of 24,155 shares of the Company’s common stock. The Company paid an aggregate cash purchase price of $22,000 ($0.9108 per underlying share). Upon settlement, the warrants were cancelled and are of no further force or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Reincorporation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12, 2026, stockholders holding a majority of the voting power of the Company’s outstanding capital stock entitled to vote and a majority of the outstanding shares of Class A Redeemable Preferred Stock approved, by written consent in lieu of a meeting, the reincorporation of the Company from the State of Delaware to the State of Nevada by conversion (the “Nevada Reincorporation”). The reincorporation is expected to become effective no earlier than twenty (20) calendar days after the mailing of the Information Statement on Schedule 14C to the Company’s stockholders. This action satisfies the condition precedent in the March 2, 2026 Securities Purchase Agreement with First Finance Ltd. for the release of the remaining $1.25 million of proceeds from the $1.75 million private placement. See the Company’s Current Report on Form 8-K filed March 17, 2026 for additional information.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10080"/>
        <w:spacing w:after="0"/>
        <w:rPr>
          <w:sz w:val="20"/>
          <w:szCs w:val="20"/>
          <w:color w:val="auto"/>
        </w:rPr>
      </w:pPr>
      <w:r>
        <w:rPr>
          <w:rFonts w:ascii="Times New Roman" w:cs="Times New Roman" w:eastAsia="Times New Roman" w:hAnsi="Times New Roman"/>
          <w:sz w:val="18"/>
          <w:szCs w:val="18"/>
          <w:b w:val="1"/>
          <w:bCs w:val="1"/>
          <w:color w:val="auto"/>
        </w:rPr>
        <w:t>EXHIBIT 3.7</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RESOLUTIONS OF THE 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being all of directors of the Company, a Delaware corporation, by consent in writing pursuant to the authority contained in the corporate law of the State of Delaware, does hereby consent to the following actions of the Company, to be effective as of the 26th day of February,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BYLAWS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certificate of incorporation has been amended to eliminate the prohibition against stockholder action by written consent.</w:t>
      </w:r>
    </w:p>
    <w:p>
      <w:pPr>
        <w:spacing w:after="0" w:line="212" w:lineRule="exact"/>
        <w:rPr>
          <w:sz w:val="20"/>
          <w:szCs w:val="20"/>
          <w:color w:val="auto"/>
        </w:rPr>
      </w:pPr>
    </w:p>
    <w:p>
      <w:pPr>
        <w:ind w:right="20" w:firstLine="297"/>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it is in the best interests of the Company and its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Company’s bylaws to eliminate the prohibition against stockholder action by written consent, too.</w:t>
      </w:r>
    </w:p>
    <w:p>
      <w:pPr>
        <w:spacing w:after="0" w:line="155" w:lineRule="exact"/>
        <w:rPr>
          <w:sz w:val="20"/>
          <w:szCs w:val="20"/>
          <w:color w:val="auto"/>
        </w:rPr>
      </w:pPr>
    </w:p>
    <w:p>
      <w:pPr>
        <w:ind w:firstLine="297"/>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Company’s bylaws be amended by deleting in its entirety Article I, Section 1.11 and replacing 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 as follows: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1.11. Action by Written Consent.</w:t>
      </w:r>
    </w:p>
    <w:p>
      <w:pPr>
        <w:spacing w:after="0" w:line="22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87" w:lineRule="exact"/>
        <w:rPr>
          <w:sz w:val="20"/>
          <w:szCs w:val="20"/>
          <w:color w:val="auto"/>
        </w:rPr>
      </w:pPr>
    </w:p>
    <w:p>
      <w:pPr>
        <w:jc w:val="both"/>
        <w:ind w:firstLine="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any and all acts, transactions, agreements or certificates previously signed on behalf of the Company by the officers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(together, the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w:t>
      </w:r>
    </w:p>
    <w:p>
      <w:pPr>
        <w:spacing w:after="0" w:line="169" w:lineRule="exact"/>
        <w:rPr>
          <w:sz w:val="20"/>
          <w:szCs w:val="20"/>
          <w:color w:val="auto"/>
        </w:rPr>
      </w:pPr>
    </w:p>
    <w:p>
      <w:pPr>
        <w:jc w:val="both"/>
        <w:ind w:firstLine="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Authorized Officers and all other officers be, and each of them hereby is, authorized, empowered and directed,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the Company and in its name,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7" w:name="page58"/>
    <w:bookmarkEnd w:id="57"/>
    <w:p>
      <w:pPr>
        <w:jc w:val="both"/>
        <w:ind w:firstLine="297"/>
        <w:spacing w:after="0" w:line="257"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these resolutions may be executed in counterpart and such counterparts together shall constitute a single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an executed counterpart of these resolutions by electronic means, including by facsimile transmission or by electronic delivery in portable document format (“.pdf”), shall be equally effective as delivery of a manually executed counterpart hereof. Notwithstanding the date of execution of these resolutions by the undersigned, these resolutions shall be deemed to be executed as of the date set forth above.</w:t>
      </w:r>
    </w:p>
    <w:p>
      <w:pPr>
        <w:sectPr>
          <w:pgSz w:w="11900" w:h="16838" w:orient="portrait"/>
          <w:cols w:equalWidth="0" w:num="1">
            <w:col w:w="11240"/>
          </w:cols>
          <w:pgMar w:left="320" w:top="6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ERIC L. ROBINSON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BOEHNKE</w:t>
      </w:r>
    </w:p>
    <w:p>
      <w:pPr>
        <w:spacing w:after="0" w:line="200" w:lineRule="exact"/>
        <w:rPr>
          <w:sz w:val="20"/>
          <w:szCs w:val="20"/>
          <w:color w:val="auto"/>
        </w:rPr>
      </w:pPr>
    </w:p>
    <w:p>
      <w:pPr>
        <w:sectPr>
          <w:pgSz w:w="11900" w:h="16838" w:orient="portrait"/>
          <w:cols w:equalWidth="0" w:num="2">
            <w:col w:w="5000" w:space="720"/>
            <w:col w:w="5520"/>
          </w:cols>
          <w:pgMar w:left="320" w:top="6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LISA B. HIGLEY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YOUNGSUN PARK</w:t>
      </w:r>
    </w:p>
    <w:p>
      <w:pPr>
        <w:spacing w:after="0" w:line="200" w:lineRule="exact"/>
        <w:rPr>
          <w:sz w:val="20"/>
          <w:szCs w:val="20"/>
          <w:color w:val="auto"/>
        </w:rPr>
      </w:pPr>
    </w:p>
    <w:p>
      <w:pPr>
        <w:sectPr>
          <w:pgSz w:w="11900" w:h="16838" w:orient="portrait"/>
          <w:cols w:equalWidth="0" w:num="2">
            <w:col w:w="5000" w:space="720"/>
            <w:col w:w="5520"/>
          </w:cols>
          <w:pgMar w:left="320" w:top="6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BRUCE WHALEY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Registration Statements (Nos. 333-205356, 333-209130, 333-148789 and 333-137859) on Form S-</w:t>
      </w:r>
    </w:p>
    <w:p>
      <w:pPr>
        <w:spacing w:after="0" w:line="27" w:lineRule="exact"/>
        <w:rPr>
          <w:sz w:val="20"/>
          <w:szCs w:val="20"/>
          <w:color w:val="auto"/>
        </w:rPr>
      </w:pPr>
    </w:p>
    <w:p>
      <w:pPr>
        <w:jc w:val="both"/>
        <w:ind w:firstLine="8"/>
        <w:spacing w:after="0" w:line="255" w:lineRule="auto"/>
        <w:tabs>
          <w:tab w:leader="none" w:pos="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Form S-1 (No. 333-249506) and on Form S-3 (Nos. 333-259799 and 333-238085) of ClearOne, Inc. of our report dated March 31, 2026, relating to our audit of the consolidated financial statements, which appears in this Annual Report on Form 10-K of ClearOne, Inc.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Tanner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ectPr>
          <w:pgSz w:w="11900" w:h="16838" w:orient="portrait"/>
          <w:cols w:equalWidth="0" w:num="1">
            <w:col w:w="11240"/>
          </w:cols>
          <w:pgMar w:left="320" w:top="117" w:right="339" w:bottom="1440" w:gutter="0" w:footer="0" w:header="0"/>
        </w:sectPr>
      </w:pPr>
    </w:p>
    <w:bookmarkStart w:id="59" w:name="page60"/>
    <w:bookmarkEnd w:id="59"/>
    <w:p>
      <w:pPr>
        <w:ind w:left="99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171" w:lineRule="exact"/>
        <w:rPr>
          <w:sz w:val="20"/>
          <w:szCs w:val="20"/>
          <w:color w:val="auto"/>
        </w:rPr>
      </w:pPr>
    </w:p>
    <w:p>
      <w:pPr>
        <w:ind w:left="640" w:hanging="6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184" w:lineRule="exact"/>
        <w:rPr>
          <w:rFonts w:ascii="Times New Roman" w:cs="Times New Roman" w:eastAsia="Times New Roman" w:hAnsi="Times New Roman"/>
          <w:sz w:val="18"/>
          <w:szCs w:val="18"/>
          <w:color w:val="auto"/>
        </w:rPr>
      </w:pPr>
    </w:p>
    <w:p>
      <w:pPr>
        <w:jc w:val="both"/>
        <w:ind w:left="640" w:right="20" w:hanging="628"/>
        <w:spacing w:after="0" w:line="26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40" w:hanging="628"/>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40" w:hanging="628"/>
        <w:spacing w:after="0" w:line="26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60" w:hanging="600"/>
        <w:spacing w:after="0" w:line="266"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Times New Roman" w:cs="Times New Roman" w:eastAsia="Times New Roman" w:hAnsi="Times New Roman"/>
          <w:sz w:val="18"/>
          <w:szCs w:val="18"/>
          <w:color w:val="auto"/>
        </w:rPr>
      </w:pPr>
    </w:p>
    <w:p>
      <w:pPr>
        <w:ind w:left="640" w:right="20" w:hanging="628"/>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171" w:lineRule="exact"/>
        <w:rPr>
          <w:sz w:val="20"/>
          <w:szCs w:val="20"/>
          <w:color w:val="auto"/>
        </w:rPr>
      </w:pPr>
    </w:p>
    <w:p>
      <w:pPr>
        <w:ind w:left="640" w:hanging="6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184" w:lineRule="exact"/>
        <w:rPr>
          <w:rFonts w:ascii="Times New Roman" w:cs="Times New Roman" w:eastAsia="Times New Roman" w:hAnsi="Times New Roman"/>
          <w:sz w:val="18"/>
          <w:szCs w:val="18"/>
          <w:color w:val="auto"/>
        </w:rPr>
      </w:pPr>
    </w:p>
    <w:p>
      <w:pPr>
        <w:jc w:val="both"/>
        <w:ind w:left="640" w:right="20" w:hanging="628"/>
        <w:spacing w:after="0" w:line="26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40" w:hanging="628"/>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40" w:hanging="628"/>
        <w:spacing w:after="0" w:line="26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60" w:hanging="600"/>
        <w:spacing w:after="0" w:line="266"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40" w:right="20" w:hanging="628"/>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Simon Brewer</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bl>
    <w:p>
      <w:pPr>
        <w:sectPr>
          <w:pgSz w:w="11900" w:h="16838" w:orient="portrait"/>
          <w:cols w:equalWidth="0" w:num="1">
            <w:col w:w="11240"/>
          </w:cols>
          <w:pgMar w:left="320" w:top="104" w:right="339" w:bottom="1440" w:gutter="0" w:footer="0" w:header="0"/>
        </w:sectPr>
      </w:pPr>
    </w:p>
    <w:bookmarkStart w:id="61" w:name="page62"/>
    <w:bookmarkEnd w:id="6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Graham, certify, to my best knowledge and belief, pursuant to 18 U.S.C. Section 1350, as adopted pursuant to Section 906 of the Sarbanes-Oxley Act of 2002, that the annual report of ClearOne, Inc. (the “Company”) on Form 10-K for the year ended December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8"/>
        </w:trPr>
        <w:tc>
          <w:tcPr>
            <w:tcW w:w="3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Graham</w:t>
            </w:r>
          </w:p>
        </w:tc>
      </w:tr>
      <w:tr>
        <w:trPr>
          <w:trHeight w:val="229"/>
        </w:trPr>
        <w:tc>
          <w:tcPr>
            <w:tcW w:w="3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4" w:right="339" w:bottom="1440" w:gutter="0" w:footer="0" w:header="0"/>
        </w:sectPr>
      </w:pPr>
    </w:p>
    <w:bookmarkStart w:id="62" w:name="page63"/>
    <w:bookmarkEnd w:id="6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annual report of ClearOne, Inc. (the “Company”) on Form 10-K for the year ended December 31, 2025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191"/>
        </w:trPr>
        <w:tc>
          <w:tcPr>
            <w:tcW w:w="3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w:t>
            </w:r>
          </w:p>
        </w:tc>
      </w:tr>
      <w:tr>
        <w:trPr>
          <w:trHeight w:val="234"/>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 ("the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thereunder, and Section 5608 of the Nasdaq Stock Market Rules.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Rule 10D-1 promulgated thereunder, and the listing standards of the national securities exchange on which the Company's securities are listed, and such other senior executives/employees who may from time to time be deemed subject to the Policy by the Board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w:t>
      </w:r>
    </w:p>
    <w:p>
      <w:pPr>
        <w:ind w:left="700"/>
        <w:spacing w:after="0"/>
        <w:rPr>
          <w:sz w:val="20"/>
          <w:szCs w:val="20"/>
          <w:color w:val="auto"/>
        </w:rPr>
      </w:pPr>
      <w:r>
        <w:rPr>
          <w:rFonts w:ascii="Times New Roman" w:cs="Times New Roman" w:eastAsia="Times New Roman" w:hAnsi="Times New Roman"/>
          <w:sz w:val="18"/>
          <w:szCs w:val="18"/>
          <w:color w:val="auto"/>
        </w:rPr>
        <w:t>Annual bonuses and other short- and long-term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Deferred compensation plan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Executive Retirement Plan (“SERP”)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Long-term disability or life insurance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Financial reporting measures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Company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left="1840"/>
        <w:spacing w:after="0"/>
        <w:rPr>
          <w:sz w:val="20"/>
          <w:szCs w:val="20"/>
          <w:color w:val="auto"/>
        </w:rPr>
      </w:pP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Earnings measures such as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-88900</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which may include, without limitation:</w:t>
      </w:r>
    </w:p>
    <w:p>
      <w:pPr>
        <w:spacing w:after="0" w:line="117"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cancelling outstanding vested or unvested equity awards; and/or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taking any other remedial and recovery action permitted by law, as determined by the Board.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Rule 10D-1 promulgated thereunder and any applicable rules or standards adopted by the Securities and Exchange Commission or any national securities exchange on which the Company's securities are listed.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that date.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future amendments to Rule 10D-1 and to comply with any new or amended rules or standards adopted by a national securities exchange on which the Company's securities are listed. The Board may terminate this Policy at any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Impracticability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Successors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sectPr>
      <w:pgSz w:w="11900" w:h="16838" w:orient="portrait"/>
      <w:cols w:equalWidth="0" w:num="1">
        <w:col w:w="11220"/>
      </w:cols>
      <w:pgMar w:left="320" w:top="5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lvl w:ilvl="1">
      <w:lvlJc w:val="left"/>
      <w:lvlText w:val="%2"/>
      <w:numFmt w:val="decimal"/>
      <w:start w:val="104"/>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8"/>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50" Type="http://schemas.openxmlformats.org/officeDocument/2006/relationships/hyperlink" Target="http://www.sec.gov/Archives/edgar/data/840715/000143774918018953/ex_126578.htm" TargetMode="External"/><Relationship Id="rId51" Type="http://schemas.openxmlformats.org/officeDocument/2006/relationships/hyperlink" Target="http://www.sec.gov/Archives/edgar/data/840715/000175392625000914/ex31_1.htm" TargetMode="External"/><Relationship Id="rId52" Type="http://schemas.openxmlformats.org/officeDocument/2006/relationships/hyperlink" Target="http://www.sec.gov/Archives/edgar/data/840715/000175392625001345/ex34_1.htm" TargetMode="External"/><Relationship Id="rId53" Type="http://schemas.openxmlformats.org/officeDocument/2006/relationships/hyperlink" Target="http://www.sec.gov/Archives/edgar/data/840715/000175392625001008/ex31_1.htm" TargetMode="External"/><Relationship Id="rId54" Type="http://schemas.openxmlformats.org/officeDocument/2006/relationships/hyperlink" Target="http://www.sec.gov/Archives/edgar/data/840715/000175392625001008/ex32_2.htm" TargetMode="External"/><Relationship Id="rId55" Type="http://schemas.openxmlformats.org/officeDocument/2006/relationships/hyperlink" Target="http://www.sec.gov/Archives/edgar/data/840715/000143774918018953/ex_126579.htm" TargetMode="External"/><Relationship Id="rId56" Type="http://schemas.openxmlformats.org/officeDocument/2006/relationships/hyperlink" Target="http://www.sec.gov/Archives/edgar/data/840715/000175392620000071/ex41_7.htm" TargetMode="External"/><Relationship Id="rId57" Type="http://schemas.openxmlformats.org/officeDocument/2006/relationships/hyperlink" Target="http://www.sec.gov/Archives/edgar/data/840715/000175392626000443/ex41_1.htm" TargetMode="External"/><Relationship Id="rId58" Type="http://schemas.openxmlformats.org/officeDocument/2006/relationships/hyperlink" Target="http://www.sec.gov/Archives/edgar/data/840715/000084071516000065/exhibit48eip.htm" TargetMode="External"/><Relationship Id="rId59" Type="http://schemas.openxmlformats.org/officeDocument/2006/relationships/hyperlink" Target="http://www.sec.gov/Archives/edgar/data/840715/000084071515000019/exhibit411amendmentno1equi.htm" TargetMode="External"/><Relationship Id="rId60" Type="http://schemas.openxmlformats.org/officeDocument/2006/relationships/hyperlink" Target="http://www.sec.gov/Archives/edgar/data/840715/000084071515000022/exhibit43clearoneemployees.htm" TargetMode="External"/><Relationship Id="rId61" Type="http://schemas.openxmlformats.org/officeDocument/2006/relationships/hyperlink" Target="http://www.sec.gov/Archives/edgar/data/840715/000175392622001543/ex101_1.htm" TargetMode="External"/><Relationship Id="rId62" Type="http://schemas.openxmlformats.org/officeDocument/2006/relationships/hyperlink" Target="http://www.sec.gov/Archives/edgar/data/840715/000175392623001643/ex101_1.htm" TargetMode="External"/><Relationship Id="rId63" Type="http://schemas.openxmlformats.org/officeDocument/2006/relationships/hyperlink" Target="http://www.sec.gov/Archives/edgar/data/840715/000175392626000443/ex101_2.htm" TargetMode="External"/><Relationship Id="rId64" Type="http://schemas.openxmlformats.org/officeDocument/2006/relationships/hyperlink" Target="http://www.sec.gov/Archives/edgar/data/840715/000175392626000443/ex102_3.htm" TargetMode="External"/><Relationship Id="rId65" Type="http://schemas.openxmlformats.org/officeDocument/2006/relationships/hyperlink" Target="http://www.sec.gov/Archives/edgar/data/840715/000084071506000045/ex14_1.htm" TargetMode="External"/><Relationship Id="rId66" Type="http://schemas.openxmlformats.org/officeDocument/2006/relationships/hyperlink" Target="http://www.sec.gov/Archives/edgar/data/840715/000175392624000656/ex19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2026-03-31T16:01:41Z</dcterms:created>
  <dcterms:modified xsi:type="dcterms:W3CDTF">2026-03-31T16:01:41Z</dcterms:modified>
</cp:coreProperties>
</file>