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6" w:lineRule="exact"/>
        <w:rPr>
          <w:sz w:val="24"/>
          <w:szCs w:val="24"/>
          <w:color w:val="auto"/>
        </w:rPr>
      </w:pPr>
    </w:p>
    <w:p>
      <w:pPr>
        <w:ind w:left="1080" w:right="2420" w:hanging="1045"/>
        <w:spacing w:after="0" w:line="29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2012</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40"/>
              <w:spacing w:after="0"/>
              <w:rPr>
                <w:sz w:val="20"/>
                <w:szCs w:val="20"/>
                <w:color w:val="auto"/>
              </w:rPr>
            </w:pPr>
            <w:r>
              <w:rPr>
                <w:rFonts w:ascii="Arial" w:cs="Arial" w:eastAsia="Arial" w:hAnsi="Arial"/>
                <w:sz w:val="16"/>
                <w:szCs w:val="16"/>
                <w:color w:val="auto"/>
              </w:rPr>
              <w:t>[ ]</w:t>
            </w:r>
          </w:p>
        </w:tc>
        <w:tc>
          <w:tcPr>
            <w:tcW w:w="10800" w:type="dxa"/>
            <w:vAlign w:val="bottom"/>
            <w:gridSpan w:val="5"/>
          </w:tcPr>
          <w:p>
            <w:pPr>
              <w:ind w:left="4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06"/>
        </w:trPr>
        <w:tc>
          <w:tcPr>
            <w:tcW w:w="620" w:type="dxa"/>
            <w:vAlign w:val="bottom"/>
          </w:tcPr>
          <w:p>
            <w:pPr>
              <w:spacing w:after="0"/>
              <w:rPr>
                <w:sz w:val="17"/>
                <w:szCs w:val="17"/>
                <w:color w:val="auto"/>
              </w:rPr>
            </w:pPr>
          </w:p>
        </w:tc>
        <w:tc>
          <w:tcPr>
            <w:tcW w:w="5560" w:type="dxa"/>
            <w:vAlign w:val="bottom"/>
            <w:gridSpan w:val="4"/>
          </w:tcPr>
          <w:p>
            <w:pPr>
              <w:ind w:left="460"/>
              <w:spacing w:after="0"/>
              <w:rPr>
                <w:sz w:val="20"/>
                <w:szCs w:val="20"/>
                <w:color w:val="auto"/>
              </w:rPr>
            </w:pPr>
            <w:r>
              <w:rPr>
                <w:rFonts w:ascii="Arial" w:cs="Arial" w:eastAsia="Arial" w:hAnsi="Arial"/>
                <w:sz w:val="16"/>
                <w:szCs w:val="16"/>
                <w:color w:val="auto"/>
              </w:rPr>
              <w:t>For the transition period from _________ to ___________</w:t>
            </w:r>
          </w:p>
        </w:tc>
        <w:tc>
          <w:tcPr>
            <w:tcW w:w="5240" w:type="dxa"/>
            <w:vAlign w:val="bottom"/>
          </w:tcPr>
          <w:p>
            <w:pPr>
              <w:spacing w:after="0"/>
              <w:rPr>
                <w:sz w:val="17"/>
                <w:szCs w:val="17"/>
                <w:color w:val="auto"/>
              </w:rPr>
            </w:pPr>
          </w:p>
        </w:tc>
      </w:tr>
      <w:tr>
        <w:trPr>
          <w:trHeight w:val="411"/>
        </w:trPr>
        <w:tc>
          <w:tcPr>
            <w:tcW w:w="6180" w:type="dxa"/>
            <w:vAlign w:val="bottom"/>
            <w:gridSpan w:val="5"/>
          </w:tcPr>
          <w:p>
            <w:pPr>
              <w:spacing w:after="0"/>
              <w:rPr>
                <w:sz w:val="20"/>
                <w:szCs w:val="20"/>
                <w:color w:val="auto"/>
              </w:rPr>
            </w:pPr>
            <w:r>
              <w:rPr>
                <w:rFonts w:ascii="Arial" w:cs="Arial" w:eastAsia="Arial" w:hAnsi="Arial"/>
                <w:sz w:val="16"/>
                <w:szCs w:val="16"/>
                <w:color w:val="auto"/>
              </w:rPr>
              <w:t>Commission file number 001-33660</w:t>
            </w:r>
          </w:p>
        </w:tc>
        <w:tc>
          <w:tcPr>
            <w:tcW w:w="5240" w:type="dxa"/>
            <w:vAlign w:val="bottom"/>
          </w:tcPr>
          <w:p>
            <w:pPr>
              <w:spacing w:after="0"/>
              <w:rPr>
                <w:sz w:val="24"/>
                <w:szCs w:val="24"/>
                <w:color w:val="auto"/>
              </w:rPr>
            </w:pPr>
          </w:p>
        </w:tc>
      </w:tr>
      <w:tr>
        <w:trPr>
          <w:trHeight w:val="209"/>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060" w:type="dxa"/>
            <w:vAlign w:val="bottom"/>
            <w:gridSpan w:val="3"/>
          </w:tcPr>
          <w:p>
            <w:pPr>
              <w:jc w:val="center"/>
              <w:ind w:right="2259"/>
              <w:spacing w:after="0"/>
              <w:rPr>
                <w:sz w:val="20"/>
                <w:szCs w:val="20"/>
                <w:color w:val="auto"/>
              </w:rPr>
            </w:pPr>
            <w:r>
              <w:rPr>
                <w:rFonts w:ascii="Arial" w:cs="Arial" w:eastAsia="Arial" w:hAnsi="Arial"/>
                <w:sz w:val="18"/>
                <w:szCs w:val="18"/>
                <w:b w:val="1"/>
                <w:bCs w:val="1"/>
                <w:color w:val="auto"/>
              </w:rPr>
              <w:t>CLEARONE, INC.</w:t>
            </w:r>
          </w:p>
        </w:tc>
      </w:tr>
      <w:tr>
        <w:trPr>
          <w:trHeight w:val="230"/>
        </w:trPr>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60" w:type="dxa"/>
            <w:vAlign w:val="bottom"/>
            <w:gridSpan w:val="3"/>
          </w:tcPr>
          <w:p>
            <w:pPr>
              <w:jc w:val="center"/>
              <w:ind w:right="225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9"/>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gridSpan w:val="2"/>
          </w:tcPr>
          <w:p>
            <w:pPr>
              <w:jc w:val="center"/>
              <w:ind w:right="2480"/>
              <w:spacing w:after="0"/>
              <w:rPr>
                <w:sz w:val="20"/>
                <w:szCs w:val="20"/>
                <w:color w:val="auto"/>
              </w:rPr>
            </w:pPr>
            <w:r>
              <w:rPr>
                <w:rFonts w:ascii="Arial" w:cs="Arial" w:eastAsia="Arial" w:hAnsi="Arial"/>
                <w:sz w:val="16"/>
                <w:szCs w:val="16"/>
                <w:b w:val="1"/>
                <w:bCs w:val="1"/>
                <w:color w:val="auto"/>
                <w:w w:val="95"/>
              </w:rPr>
              <w:t>Utah</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16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right"/>
              <w:ind w:right="2559"/>
              <w:spacing w:after="0"/>
              <w:rPr>
                <w:sz w:val="20"/>
                <w:szCs w:val="20"/>
                <w:color w:val="auto"/>
              </w:rPr>
            </w:pPr>
            <w:r>
              <w:rPr>
                <w:rFonts w:ascii="Arial" w:cs="Arial" w:eastAsia="Arial" w:hAnsi="Arial"/>
                <w:sz w:val="16"/>
                <w:szCs w:val="16"/>
                <w:color w:val="auto"/>
                <w:w w:val="94"/>
              </w:rPr>
              <w:t>(I.R.S. employer identification number)</w:t>
            </w:r>
          </w:p>
        </w:tc>
      </w:tr>
      <w:tr>
        <w:trPr>
          <w:trHeight w:val="581"/>
        </w:trPr>
        <w:tc>
          <w:tcPr>
            <w:tcW w:w="620" w:type="dxa"/>
            <w:vAlign w:val="bottom"/>
          </w:tcPr>
          <w:p>
            <w:pPr>
              <w:spacing w:after="0"/>
              <w:rPr>
                <w:sz w:val="24"/>
                <w:szCs w:val="24"/>
                <w:color w:val="auto"/>
              </w:rPr>
            </w:pPr>
          </w:p>
        </w:tc>
        <w:tc>
          <w:tcPr>
            <w:tcW w:w="5560" w:type="dxa"/>
            <w:vAlign w:val="bottom"/>
            <w:gridSpan w:val="4"/>
          </w:tcPr>
          <w:p>
            <w:pPr>
              <w:jc w:val="center"/>
              <w:ind w:right="74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84116</w:t>
            </w:r>
          </w:p>
        </w:tc>
      </w:tr>
      <w:tr>
        <w:trPr>
          <w:trHeight w:val="47"/>
        </w:trPr>
        <w:tc>
          <w:tcPr>
            <w:tcW w:w="6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20" w:type="dxa"/>
            <w:vAlign w:val="bottom"/>
            <w:gridSpan w:val="3"/>
          </w:tcPr>
          <w:p>
            <w:pPr>
              <w:jc w:val="center"/>
              <w:ind w:right="178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right"/>
              <w:ind w:right="2179"/>
              <w:spacing w:after="0"/>
              <w:rPr>
                <w:sz w:val="20"/>
                <w:szCs w:val="20"/>
                <w:color w:val="auto"/>
              </w:rPr>
            </w:pPr>
            <w:r>
              <w:rPr>
                <w:rFonts w:ascii="Arial" w:cs="Arial" w:eastAsia="Arial" w:hAnsi="Arial"/>
                <w:sz w:val="16"/>
                <w:szCs w:val="16"/>
                <w:color w:val="auto"/>
              </w:rPr>
              <w:t>(Zip Code)</w:t>
            </w:r>
          </w:p>
        </w:tc>
      </w:tr>
      <w:tr>
        <w:trPr>
          <w:trHeight w:val="392"/>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20" w:type="dxa"/>
            <w:vAlign w:val="bottom"/>
            <w:gridSpan w:val="3"/>
          </w:tcPr>
          <w:p>
            <w:pPr>
              <w:ind w:left="320"/>
              <w:spacing w:after="0"/>
              <w:rPr>
                <w:sz w:val="20"/>
                <w:szCs w:val="20"/>
                <w:color w:val="auto"/>
              </w:rPr>
            </w:pPr>
            <w:r>
              <w:rPr>
                <w:rFonts w:ascii="Arial" w:cs="Arial" w:eastAsia="Arial" w:hAnsi="Arial"/>
                <w:sz w:val="16"/>
                <w:szCs w:val="16"/>
                <w:color w:val="auto"/>
              </w:rPr>
              <w:t>(Registrant’s telephone number, including area code)</w:t>
            </w:r>
          </w:p>
        </w:tc>
        <w:tc>
          <w:tcPr>
            <w:tcW w:w="5240" w:type="dxa"/>
            <w:vAlign w:val="bottom"/>
          </w:tcPr>
          <w:p>
            <w:pPr>
              <w:jc w:val="right"/>
              <w:ind w:right="2959"/>
              <w:spacing w:after="0"/>
              <w:rPr>
                <w:sz w:val="20"/>
                <w:szCs w:val="20"/>
                <w:color w:val="auto"/>
              </w:rPr>
            </w:pPr>
            <w:r>
              <w:rPr>
                <w:rFonts w:ascii="Arial" w:cs="Arial" w:eastAsia="Arial" w:hAnsi="Arial"/>
                <w:sz w:val="16"/>
                <w:szCs w:val="16"/>
                <w:b w:val="1"/>
                <w:bCs w:val="1"/>
                <w:color w:val="auto"/>
              </w:rPr>
              <w:t>801-975-7200</w:t>
            </w:r>
          </w:p>
        </w:tc>
      </w:tr>
    </w:tbl>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5"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840" w:type="dxa"/>
            <w:vAlign w:val="bottom"/>
            <w:gridSpan w:val="2"/>
          </w:tcPr>
          <w:p>
            <w:pPr>
              <w:jc w:val="center"/>
              <w:ind w:right="2760"/>
              <w:spacing w:after="0"/>
              <w:rPr>
                <w:sz w:val="20"/>
                <w:szCs w:val="20"/>
                <w:color w:val="auto"/>
              </w:rPr>
            </w:pPr>
            <w:r>
              <w:rPr>
                <w:rFonts w:ascii="Arial" w:cs="Arial" w:eastAsia="Arial" w:hAnsi="Arial"/>
                <w:sz w:val="14"/>
                <w:szCs w:val="14"/>
                <w:b w:val="1"/>
                <w:bCs w:val="1"/>
                <w:color w:val="auto"/>
                <w:w w:val="89"/>
              </w:rPr>
              <w:t>Title of each class</w:t>
            </w:r>
          </w:p>
        </w:tc>
        <w:tc>
          <w:tcPr>
            <w:tcW w:w="1120" w:type="dxa"/>
            <w:vAlign w:val="bottom"/>
          </w:tcPr>
          <w:p>
            <w:pPr>
              <w:spacing w:after="0"/>
              <w:rPr>
                <w:sz w:val="14"/>
                <w:szCs w:val="14"/>
                <w:color w:val="auto"/>
              </w:rPr>
            </w:pP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on each exchange on which registered</w:t>
            </w:r>
          </w:p>
        </w:tc>
      </w:tr>
      <w:tr>
        <w:trPr>
          <w:trHeight w:val="20"/>
        </w:trPr>
        <w:tc>
          <w:tcPr>
            <w:tcW w:w="1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2"/>
            <w:shd w:val="clear" w:color="auto" w:fill="000000"/>
          </w:tcPr>
          <w:p>
            <w:pPr>
              <w:spacing w:after="0" w:line="20" w:lineRule="exact"/>
              <w:rPr>
                <w:sz w:val="1"/>
                <w:szCs w:val="1"/>
                <w:color w:val="auto"/>
              </w:rPr>
            </w:pPr>
          </w:p>
        </w:tc>
      </w:tr>
      <w:tr>
        <w:trPr>
          <w:trHeight w:val="312"/>
        </w:trPr>
        <w:tc>
          <w:tcPr>
            <w:tcW w:w="5100" w:type="dxa"/>
            <w:vAlign w:val="bottom"/>
            <w:gridSpan w:val="3"/>
          </w:tcPr>
          <w:p>
            <w:pPr>
              <w:jc w:val="center"/>
              <w:ind w:right="1480"/>
              <w:spacing w:after="0"/>
              <w:rPr>
                <w:sz w:val="20"/>
                <w:szCs w:val="20"/>
                <w:color w:val="auto"/>
              </w:rPr>
            </w:pPr>
            <w:r>
              <w:rPr>
                <w:rFonts w:ascii="Arial" w:cs="Arial" w:eastAsia="Arial" w:hAnsi="Arial"/>
                <w:sz w:val="16"/>
                <w:szCs w:val="16"/>
                <w:color w:val="auto"/>
                <w:w w:val="91"/>
              </w:rPr>
              <w:t>Common Stock, $0.001 par value</w:t>
            </w:r>
          </w:p>
        </w:tc>
        <w:tc>
          <w:tcPr>
            <w:tcW w:w="11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color w:val="auto"/>
                <w:w w:val="95"/>
              </w:rPr>
              <w:t>The NASDAQ Capital Market</w:t>
            </w:r>
          </w:p>
        </w:tc>
      </w:tr>
      <w:tr>
        <w:trPr>
          <w:trHeight w:val="486"/>
        </w:trPr>
        <w:tc>
          <w:tcPr>
            <w:tcW w:w="5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1120" w:type="dxa"/>
            <w:vAlign w:val="bottom"/>
          </w:tcPr>
          <w:p>
            <w:pPr>
              <w:spacing w:after="0"/>
              <w:rPr>
                <w:sz w:val="24"/>
                <w:szCs w:val="24"/>
                <w:color w:val="auto"/>
              </w:rPr>
            </w:pPr>
          </w:p>
        </w:tc>
        <w:tc>
          <w:tcPr>
            <w:tcW w:w="2700" w:type="dxa"/>
            <w:vAlign w:val="bottom"/>
            <w:gridSpan w:val="2"/>
          </w:tcPr>
          <w:p>
            <w:pPr>
              <w:ind w:left="60"/>
              <w:spacing w:after="0"/>
              <w:rPr>
                <w:sz w:val="20"/>
                <w:szCs w:val="20"/>
                <w:color w:val="auto"/>
              </w:rPr>
            </w:pPr>
            <w:r>
              <w:rPr>
                <w:rFonts w:ascii="Arial" w:cs="Arial" w:eastAsia="Arial" w:hAnsi="Arial"/>
                <w:sz w:val="16"/>
                <w:szCs w:val="16"/>
                <w:b w:val="1"/>
                <w:bCs w:val="1"/>
                <w:color w:val="auto"/>
              </w:rPr>
              <w:t>None</w:t>
            </w:r>
          </w:p>
        </w:tc>
      </w:tr>
      <w:tr>
        <w:trPr>
          <w:trHeight w:val="33"/>
        </w:trPr>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149" w:lineRule="exact"/>
        <w:rPr>
          <w:sz w:val="24"/>
          <w:szCs w:val="24"/>
          <w:color w:val="auto"/>
        </w:rPr>
      </w:pPr>
    </w:p>
    <w:p>
      <w:pPr>
        <w:ind w:right="2840"/>
        <w:spacing w:after="0" w:line="222"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4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w:t>
      </w:r>
    </w:p>
    <w:p>
      <w:pPr>
        <w:spacing w:after="0" w:line="46"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48" w:lineRule="exact"/>
        <w:rPr>
          <w:sz w:val="24"/>
          <w:szCs w:val="24"/>
          <w:color w:val="auto"/>
        </w:rPr>
      </w:pPr>
    </w:p>
    <w:p>
      <w:pPr>
        <w:ind w:right="140"/>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00" w:hanging="192"/>
        <w:spacing w:after="0" w:line="184" w:lineRule="exact"/>
        <w:tabs>
          <w:tab w:leader="none" w:pos="20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“larger accelerated filer,” “accelerated filer” and “smaller reporting company” in Rule 12b-2 of the Exchange Act. (Check one):</w:t>
      </w:r>
    </w:p>
    <w:p>
      <w:pPr>
        <w:spacing w:after="0" w:line="89" w:lineRule="exact"/>
        <w:rPr>
          <w:sz w:val="24"/>
          <w:szCs w:val="24"/>
          <w:color w:val="auto"/>
        </w:rPr>
      </w:pPr>
    </w:p>
    <w:p>
      <w:pPr>
        <w:ind w:left="40"/>
        <w:spacing w:after="0" w:line="184" w:lineRule="exact"/>
        <w:tabs>
          <w:tab w:leader="none" w:pos="2300" w:val="left"/>
          <w:tab w:leader="none" w:pos="4500" w:val="left"/>
          <w:tab w:leader="none" w:pos="6720" w:val="left"/>
        </w:tabs>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 x</w:t>
      </w:r>
    </w:p>
    <w:p>
      <w:pPr>
        <w:spacing w:after="0" w:line="9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(Do not check if a smaller reporting company)</w:t>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0" w:lineRule="exact"/>
        <w:rPr>
          <w:sz w:val="24"/>
          <w:szCs w:val="24"/>
          <w:color w:val="auto"/>
        </w:rPr>
      </w:pPr>
    </w:p>
    <w:p>
      <w:pPr>
        <w:ind w:right="180"/>
        <w:spacing w:after="0" w:line="252"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$24.6 million at June 30, 2012 (the Company's most recently completed second fiscal quarter), based on the $4.09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ClearOne common stock outstanding as of March 21, 2013 was 9,121,314.</w:t>
      </w:r>
    </w:p>
    <w:p>
      <w:pPr>
        <w:sectPr>
          <w:pgSz w:w="11900" w:h="16838" w:orient="portrait"/>
          <w:cols w:equalWidth="0" w:num="1">
            <w:col w:w="11420"/>
          </w:cols>
          <w:pgMar w:left="240" w:top="684" w:right="2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600" w:type="dxa"/>
            <w:vAlign w:val="bottom"/>
          </w:tcPr>
          <w:p>
            <w:pPr>
              <w:jc w:val="center"/>
              <w:spacing w:after="0"/>
              <w:rPr>
                <w:sz w:val="20"/>
                <w:szCs w:val="20"/>
                <w:color w:val="auto"/>
              </w:rPr>
            </w:pPr>
            <w:r>
              <w:rPr>
                <w:rFonts w:ascii="Arial" w:cs="Arial" w:eastAsia="Arial" w:hAnsi="Arial"/>
                <w:sz w:val="18"/>
                <w:szCs w:val="18"/>
                <w:b w:val="1"/>
                <w:bCs w:val="1"/>
                <w:color w:val="auto"/>
              </w:rPr>
              <w:t>CLEARONE, INC.</w:t>
            </w:r>
          </w:p>
        </w:tc>
        <w:tc>
          <w:tcPr>
            <w:tcW w:w="36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7600" w:type="dxa"/>
            <w:vAlign w:val="bottom"/>
          </w:tcPr>
          <w:p>
            <w:pPr>
              <w:jc w:val="center"/>
              <w:spacing w:after="0"/>
              <w:rPr>
                <w:sz w:val="20"/>
                <w:szCs w:val="20"/>
                <w:color w:val="auto"/>
              </w:rPr>
            </w:pPr>
            <w:r>
              <w:rPr>
                <w:rFonts w:ascii="Arial" w:cs="Arial" w:eastAsia="Arial" w:hAnsi="Arial"/>
                <w:sz w:val="18"/>
                <w:szCs w:val="18"/>
                <w:b w:val="1"/>
                <w:bCs w:val="1"/>
                <w:color w:val="auto"/>
                <w:w w:val="99"/>
              </w:rPr>
              <w:t>ANNUAL REPORT ON FORM 10-K FOR THE YEAR ENDED DECEMBER 31, 2012</w:t>
            </w:r>
          </w:p>
        </w:tc>
        <w:tc>
          <w:tcPr>
            <w:tcW w:w="36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600" w:type="dxa"/>
            <w:vAlign w:val="bottom"/>
          </w:tcPr>
          <w:p>
            <w:pPr>
              <w:jc w:val="center"/>
              <w:spacing w:after="0"/>
              <w:rPr>
                <w:sz w:val="20"/>
                <w:szCs w:val="20"/>
                <w:color w:val="auto"/>
              </w:rPr>
            </w:pPr>
            <w:r>
              <w:rPr>
                <w:rFonts w:ascii="Arial" w:cs="Arial" w:eastAsia="Arial" w:hAnsi="Arial"/>
                <w:sz w:val="18"/>
                <w:szCs w:val="18"/>
                <w:b w:val="1"/>
                <w:bCs w:val="1"/>
                <w:color w:val="auto"/>
                <w:w w:val="99"/>
              </w:rPr>
              <w:t>TABLE OF CONTENTS</w:t>
            </w:r>
          </w:p>
        </w:tc>
        <w:tc>
          <w:tcPr>
            <w:tcW w:w="360" w:type="dxa"/>
            <w:vAlign w:val="bottom"/>
          </w:tcPr>
          <w:p>
            <w:pPr>
              <w:spacing w:after="0"/>
              <w:rPr>
                <w:sz w:val="24"/>
                <w:szCs w:val="24"/>
                <w:color w:val="auto"/>
              </w:rPr>
            </w:pPr>
          </w:p>
        </w:tc>
      </w:tr>
      <w:tr>
        <w:trPr>
          <w:trHeight w:val="419"/>
        </w:trPr>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8"/>
              </w:rPr>
              <w:t>Page</w:t>
            </w:r>
          </w:p>
        </w:tc>
      </w:tr>
      <w:tr>
        <w:trPr>
          <w:trHeight w:val="291"/>
        </w:trPr>
        <w:tc>
          <w:tcPr>
            <w:tcW w:w="820" w:type="dxa"/>
            <w:vAlign w:val="bottom"/>
          </w:tcPr>
          <w:p>
            <w:pPr>
              <w:spacing w:after="0"/>
              <w:rPr>
                <w:sz w:val="24"/>
                <w:szCs w:val="24"/>
                <w:color w:val="auto"/>
              </w:rPr>
            </w:pPr>
          </w:p>
        </w:tc>
        <w:tc>
          <w:tcPr>
            <w:tcW w:w="7600" w:type="dxa"/>
            <w:vAlign w:val="bottom"/>
          </w:tcPr>
          <w:p>
            <w:pPr>
              <w:ind w:left="3260"/>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24"/>
                <w:szCs w:val="24"/>
                <w:color w:val="auto"/>
              </w:rPr>
            </w:pPr>
          </w:p>
        </w:tc>
      </w:tr>
      <w:tr>
        <w:trPr>
          <w:trHeight w:val="270"/>
        </w:trPr>
        <w:tc>
          <w:tcPr>
            <w:tcW w:w="82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7600" w:type="dxa"/>
            <w:vAlign w:val="bottom"/>
          </w:tcPr>
          <w:p>
            <w:pPr>
              <w:ind w:left="18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360" w:type="dxa"/>
            <w:vAlign w:val="bottom"/>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r>
      <w:tr>
        <w:trPr>
          <w:trHeight w:val="270"/>
        </w:trPr>
        <w:tc>
          <w:tcPr>
            <w:tcW w:w="820" w:type="dxa"/>
            <w:vAlign w:val="bottom"/>
          </w:tcPr>
          <w:p>
            <w:pPr>
              <w:spacing w:after="0"/>
              <w:rPr>
                <w:rFonts w:ascii="Arial" w:cs="Arial" w:eastAsia="Arial" w:hAnsi="Arial"/>
                <w:sz w:val="18"/>
                <w:szCs w:val="18"/>
                <w:color w:val="auto"/>
              </w:rPr>
            </w:pPr>
            <w:hyperlink w:anchor="page10">
              <w:r>
                <w:rPr>
                  <w:rFonts w:ascii="Arial" w:cs="Arial" w:eastAsia="Arial" w:hAnsi="Arial"/>
                  <w:sz w:val="18"/>
                  <w:szCs w:val="18"/>
                  <w:color w:val="auto"/>
                </w:rPr>
                <w:t>Item 1A.</w:t>
              </w:r>
            </w:hyperlink>
          </w:p>
        </w:tc>
        <w:tc>
          <w:tcPr>
            <w:tcW w:w="7600" w:type="dxa"/>
            <w:vAlign w:val="bottom"/>
          </w:tcPr>
          <w:p>
            <w:pPr>
              <w:ind w:left="180"/>
              <w:spacing w:after="0"/>
              <w:rPr>
                <w:rFonts w:ascii="Arial" w:cs="Arial" w:eastAsia="Arial" w:hAnsi="Arial"/>
                <w:sz w:val="18"/>
                <w:szCs w:val="18"/>
                <w:color w:val="auto"/>
              </w:rPr>
            </w:pPr>
            <w:hyperlink w:anchor="page10">
              <w:r>
                <w:rPr>
                  <w:rFonts w:ascii="Arial" w:cs="Arial" w:eastAsia="Arial" w:hAnsi="Arial"/>
                  <w:sz w:val="18"/>
                  <w:szCs w:val="18"/>
                  <w:color w:val="auto"/>
                </w:rPr>
                <w:t>Risk Factors</w:t>
              </w:r>
            </w:hyperlink>
          </w:p>
        </w:tc>
        <w:tc>
          <w:tcPr>
            <w:tcW w:w="360" w:type="dxa"/>
            <w:vAlign w:val="bottom"/>
          </w:tcPr>
          <w:p>
            <w:pPr>
              <w:jc w:val="center"/>
              <w:spacing w:after="0"/>
              <w:rPr>
                <w:rFonts w:ascii="Arial" w:cs="Arial" w:eastAsia="Arial" w:hAnsi="Arial"/>
                <w:sz w:val="18"/>
                <w:szCs w:val="18"/>
                <w:color w:val="auto"/>
                <w:w w:val="79"/>
              </w:rPr>
            </w:pPr>
            <w:hyperlink w:anchor="page10">
              <w:r>
                <w:rPr>
                  <w:rFonts w:ascii="Arial" w:cs="Arial" w:eastAsia="Arial" w:hAnsi="Arial"/>
                  <w:sz w:val="18"/>
                  <w:szCs w:val="18"/>
                  <w:color w:val="auto"/>
                  <w:w w:val="79"/>
                </w:rPr>
                <w:t>9</w:t>
              </w:r>
            </w:hyperlink>
          </w:p>
        </w:tc>
      </w:tr>
      <w:tr>
        <w:trPr>
          <w:trHeight w:val="270"/>
        </w:trPr>
        <w:tc>
          <w:tcPr>
            <w:tcW w:w="820" w:type="dxa"/>
            <w:vAlign w:val="bottom"/>
          </w:tcPr>
          <w:p>
            <w:pPr>
              <w:spacing w:after="0"/>
              <w:rPr>
                <w:rFonts w:ascii="Arial" w:cs="Arial" w:eastAsia="Arial" w:hAnsi="Arial"/>
                <w:sz w:val="18"/>
                <w:szCs w:val="18"/>
                <w:color w:val="auto"/>
              </w:rPr>
            </w:pPr>
            <w:hyperlink w:anchor="page17">
              <w:r>
                <w:rPr>
                  <w:rFonts w:ascii="Arial" w:cs="Arial" w:eastAsia="Arial" w:hAnsi="Arial"/>
                  <w:sz w:val="18"/>
                  <w:szCs w:val="18"/>
                  <w:color w:val="auto"/>
                </w:rPr>
                <w:t>Item 1B.</w:t>
              </w:r>
            </w:hyperlink>
          </w:p>
        </w:tc>
        <w:tc>
          <w:tcPr>
            <w:tcW w:w="7600" w:type="dxa"/>
            <w:vAlign w:val="bottom"/>
          </w:tcPr>
          <w:p>
            <w:pPr>
              <w:ind w:left="180"/>
              <w:spacing w:after="0"/>
              <w:rPr>
                <w:rFonts w:ascii="Arial" w:cs="Arial" w:eastAsia="Arial" w:hAnsi="Arial"/>
                <w:sz w:val="18"/>
                <w:szCs w:val="18"/>
                <w:color w:val="auto"/>
              </w:rPr>
            </w:pPr>
            <w:hyperlink w:anchor="page17">
              <w:r>
                <w:rPr>
                  <w:rFonts w:ascii="Arial" w:cs="Arial" w:eastAsia="Arial" w:hAnsi="Arial"/>
                  <w:sz w:val="18"/>
                  <w:szCs w:val="18"/>
                  <w:color w:val="auto"/>
                </w:rPr>
                <w:t>Unresolved Staff Comments</w:t>
              </w:r>
            </w:hyperlink>
          </w:p>
        </w:tc>
        <w:tc>
          <w:tcPr>
            <w:tcW w:w="360" w:type="dxa"/>
            <w:vAlign w:val="bottom"/>
          </w:tcPr>
          <w:p>
            <w:pPr>
              <w:jc w:val="center"/>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16</w:t>
              </w:r>
            </w:hyperlink>
          </w:p>
        </w:tc>
      </w:tr>
      <w:tr>
        <w:trPr>
          <w:trHeight w:val="270"/>
        </w:trPr>
        <w:tc>
          <w:tcPr>
            <w:tcW w:w="820" w:type="dxa"/>
            <w:vAlign w:val="bottom"/>
          </w:tcPr>
          <w:p>
            <w:pPr>
              <w:spacing w:after="0"/>
              <w:rPr>
                <w:rFonts w:ascii="Arial" w:cs="Arial" w:eastAsia="Arial" w:hAnsi="Arial"/>
                <w:sz w:val="18"/>
                <w:szCs w:val="18"/>
                <w:color w:val="auto"/>
              </w:rPr>
            </w:pPr>
            <w:hyperlink w:anchor="page18">
              <w:r>
                <w:rPr>
                  <w:rFonts w:ascii="Arial" w:cs="Arial" w:eastAsia="Arial" w:hAnsi="Arial"/>
                  <w:sz w:val="18"/>
                  <w:szCs w:val="18"/>
                  <w:color w:val="auto"/>
                </w:rPr>
                <w:t>Item 2.</w:t>
              </w:r>
            </w:hyperlink>
          </w:p>
        </w:tc>
        <w:tc>
          <w:tcPr>
            <w:tcW w:w="7600" w:type="dxa"/>
            <w:vAlign w:val="bottom"/>
          </w:tcPr>
          <w:p>
            <w:pPr>
              <w:ind w:left="180"/>
              <w:spacing w:after="0"/>
              <w:rPr>
                <w:rFonts w:ascii="Arial" w:cs="Arial" w:eastAsia="Arial" w:hAnsi="Arial"/>
                <w:sz w:val="18"/>
                <w:szCs w:val="18"/>
                <w:color w:val="auto"/>
              </w:rPr>
            </w:pPr>
            <w:hyperlink w:anchor="page18">
              <w:r>
                <w:rPr>
                  <w:rFonts w:ascii="Arial" w:cs="Arial" w:eastAsia="Arial" w:hAnsi="Arial"/>
                  <w:sz w:val="18"/>
                  <w:szCs w:val="18"/>
                  <w:color w:val="auto"/>
                </w:rPr>
                <w:t>Properties</w:t>
              </w:r>
            </w:hyperlink>
          </w:p>
        </w:tc>
        <w:tc>
          <w:tcPr>
            <w:tcW w:w="360" w:type="dxa"/>
            <w:vAlign w:val="bottom"/>
          </w:tcPr>
          <w:p>
            <w:pPr>
              <w:jc w:val="center"/>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16</w:t>
              </w:r>
            </w:hyperlink>
          </w:p>
        </w:tc>
      </w:tr>
      <w:tr>
        <w:trPr>
          <w:trHeight w:val="270"/>
        </w:trPr>
        <w:tc>
          <w:tcPr>
            <w:tcW w:w="820" w:type="dxa"/>
            <w:vAlign w:val="bottom"/>
          </w:tcPr>
          <w:p>
            <w:pPr>
              <w:spacing w:after="0"/>
              <w:rPr>
                <w:rFonts w:ascii="Arial" w:cs="Arial" w:eastAsia="Arial" w:hAnsi="Arial"/>
                <w:sz w:val="18"/>
                <w:szCs w:val="18"/>
                <w:color w:val="auto"/>
              </w:rPr>
            </w:pPr>
            <w:hyperlink w:anchor="page18">
              <w:r>
                <w:rPr>
                  <w:rFonts w:ascii="Arial" w:cs="Arial" w:eastAsia="Arial" w:hAnsi="Arial"/>
                  <w:sz w:val="18"/>
                  <w:szCs w:val="18"/>
                  <w:color w:val="auto"/>
                </w:rPr>
                <w:t>Item 3.</w:t>
              </w:r>
            </w:hyperlink>
          </w:p>
        </w:tc>
        <w:tc>
          <w:tcPr>
            <w:tcW w:w="7600" w:type="dxa"/>
            <w:vAlign w:val="bottom"/>
          </w:tcPr>
          <w:p>
            <w:pPr>
              <w:ind w:left="180"/>
              <w:spacing w:after="0"/>
              <w:rPr>
                <w:rFonts w:ascii="Arial" w:cs="Arial" w:eastAsia="Arial" w:hAnsi="Arial"/>
                <w:sz w:val="18"/>
                <w:szCs w:val="18"/>
                <w:color w:val="auto"/>
              </w:rPr>
            </w:pPr>
            <w:hyperlink w:anchor="page18">
              <w:r>
                <w:rPr>
                  <w:rFonts w:ascii="Arial" w:cs="Arial" w:eastAsia="Arial" w:hAnsi="Arial"/>
                  <w:sz w:val="18"/>
                  <w:szCs w:val="18"/>
                  <w:color w:val="auto"/>
                </w:rPr>
                <w:t>Legal Proceedings</w:t>
              </w:r>
            </w:hyperlink>
          </w:p>
        </w:tc>
        <w:tc>
          <w:tcPr>
            <w:tcW w:w="360" w:type="dxa"/>
            <w:vAlign w:val="bottom"/>
          </w:tcPr>
          <w:p>
            <w:pPr>
              <w:jc w:val="center"/>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16</w:t>
              </w:r>
            </w:hyperlink>
          </w:p>
        </w:tc>
      </w:tr>
      <w:tr>
        <w:trPr>
          <w:trHeight w:val="270"/>
        </w:trPr>
        <w:tc>
          <w:tcPr>
            <w:tcW w:w="820" w:type="dxa"/>
            <w:vAlign w:val="bottom"/>
          </w:tcPr>
          <w:p>
            <w:pPr>
              <w:spacing w:after="0"/>
              <w:rPr>
                <w:rFonts w:ascii="Arial" w:cs="Arial" w:eastAsia="Arial" w:hAnsi="Arial"/>
                <w:sz w:val="18"/>
                <w:szCs w:val="18"/>
                <w:color w:val="auto"/>
              </w:rPr>
            </w:pPr>
            <w:hyperlink w:anchor="page18">
              <w:r>
                <w:rPr>
                  <w:rFonts w:ascii="Arial" w:cs="Arial" w:eastAsia="Arial" w:hAnsi="Arial"/>
                  <w:sz w:val="18"/>
                  <w:szCs w:val="18"/>
                  <w:color w:val="auto"/>
                </w:rPr>
                <w:t>Item 4.</w:t>
              </w:r>
            </w:hyperlink>
          </w:p>
        </w:tc>
        <w:tc>
          <w:tcPr>
            <w:tcW w:w="7600" w:type="dxa"/>
            <w:vAlign w:val="bottom"/>
          </w:tcPr>
          <w:p>
            <w:pPr>
              <w:ind w:left="180"/>
              <w:spacing w:after="0"/>
              <w:rPr>
                <w:rFonts w:ascii="Arial" w:cs="Arial" w:eastAsia="Arial" w:hAnsi="Arial"/>
                <w:sz w:val="18"/>
                <w:szCs w:val="18"/>
                <w:color w:val="auto"/>
              </w:rPr>
            </w:pPr>
            <w:hyperlink w:anchor="page18">
              <w:r>
                <w:rPr>
                  <w:rFonts w:ascii="Arial" w:cs="Arial" w:eastAsia="Arial" w:hAnsi="Arial"/>
                  <w:sz w:val="18"/>
                  <w:szCs w:val="18"/>
                  <w:color w:val="auto"/>
                </w:rPr>
                <w:t>Mine Safety Disclosures</w:t>
              </w:r>
            </w:hyperlink>
          </w:p>
        </w:tc>
        <w:tc>
          <w:tcPr>
            <w:tcW w:w="360" w:type="dxa"/>
            <w:vAlign w:val="bottom"/>
          </w:tcPr>
          <w:p>
            <w:pPr>
              <w:jc w:val="center"/>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16</w:t>
              </w:r>
            </w:hyperlink>
          </w:p>
        </w:tc>
      </w:tr>
      <w:tr>
        <w:trPr>
          <w:trHeight w:val="270"/>
        </w:trPr>
        <w:tc>
          <w:tcPr>
            <w:tcW w:w="820" w:type="dxa"/>
            <w:vAlign w:val="bottom"/>
          </w:tcPr>
          <w:p>
            <w:pPr>
              <w:spacing w:after="0"/>
              <w:rPr>
                <w:sz w:val="23"/>
                <w:szCs w:val="23"/>
                <w:color w:val="auto"/>
              </w:rPr>
            </w:pPr>
          </w:p>
        </w:tc>
        <w:tc>
          <w:tcPr>
            <w:tcW w:w="7600" w:type="dxa"/>
            <w:vAlign w:val="bottom"/>
          </w:tcPr>
          <w:p>
            <w:pPr>
              <w:ind w:left="18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3"/>
                <w:szCs w:val="23"/>
                <w:color w:val="auto"/>
              </w:rPr>
            </w:pPr>
          </w:p>
        </w:tc>
      </w:tr>
      <w:tr>
        <w:trPr>
          <w:trHeight w:val="256"/>
        </w:trPr>
        <w:tc>
          <w:tcPr>
            <w:tcW w:w="820" w:type="dxa"/>
            <w:vAlign w:val="bottom"/>
          </w:tcPr>
          <w:p>
            <w:pPr>
              <w:spacing w:after="0"/>
              <w:rPr>
                <w:sz w:val="22"/>
                <w:szCs w:val="22"/>
                <w:color w:val="auto"/>
              </w:rPr>
            </w:pPr>
          </w:p>
        </w:tc>
        <w:tc>
          <w:tcPr>
            <w:tcW w:w="7600" w:type="dxa"/>
            <w:vAlign w:val="bottom"/>
          </w:tcPr>
          <w:p>
            <w:pPr>
              <w:ind w:left="180"/>
              <w:spacing w:after="0"/>
              <w:rPr>
                <w:rFonts w:ascii="Arial" w:cs="Arial" w:eastAsia="Arial" w:hAnsi="Arial"/>
                <w:sz w:val="18"/>
                <w:szCs w:val="18"/>
                <w:color w:val="auto"/>
                <w:w w:val="98"/>
              </w:rPr>
            </w:pPr>
            <w:hyperlink w:anchor="page19">
              <w:r>
                <w:rPr>
                  <w:rFonts w:ascii="Arial" w:cs="Arial" w:eastAsia="Arial" w:hAnsi="Arial"/>
                  <w:sz w:val="18"/>
                  <w:szCs w:val="18"/>
                  <w:color w:val="auto"/>
                  <w:w w:val="98"/>
                </w:rPr>
                <w:t>Market for Registrant’s Common Equity, Related Stockholder Matters and Issuer Purchases of</w:t>
              </w:r>
            </w:hyperlink>
          </w:p>
        </w:tc>
        <w:tc>
          <w:tcPr>
            <w:tcW w:w="360" w:type="dxa"/>
            <w:vAlign w:val="bottom"/>
          </w:tcPr>
          <w:p>
            <w:pPr>
              <w:spacing w:after="0"/>
              <w:rPr>
                <w:sz w:val="22"/>
                <w:szCs w:val="22"/>
                <w:color w:val="auto"/>
              </w:rPr>
            </w:pPr>
          </w:p>
        </w:tc>
      </w:tr>
      <w:tr>
        <w:trPr>
          <w:trHeight w:val="230"/>
        </w:trPr>
        <w:tc>
          <w:tcPr>
            <w:tcW w:w="82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Item 5.</w:t>
              </w:r>
            </w:hyperlink>
          </w:p>
        </w:tc>
        <w:tc>
          <w:tcPr>
            <w:tcW w:w="7600" w:type="dxa"/>
            <w:vAlign w:val="bottom"/>
          </w:tcPr>
          <w:p>
            <w:pPr>
              <w:ind w:left="420"/>
              <w:spacing w:after="0"/>
              <w:rPr>
                <w:rFonts w:ascii="Arial" w:cs="Arial" w:eastAsia="Arial" w:hAnsi="Arial"/>
                <w:sz w:val="18"/>
                <w:szCs w:val="18"/>
                <w:color w:val="auto"/>
              </w:rPr>
            </w:pPr>
            <w:hyperlink w:anchor="page19">
              <w:r>
                <w:rPr>
                  <w:rFonts w:ascii="Arial" w:cs="Arial" w:eastAsia="Arial" w:hAnsi="Arial"/>
                  <w:sz w:val="18"/>
                  <w:szCs w:val="18"/>
                  <w:color w:val="auto"/>
                </w:rPr>
                <w:t>Equity Securities</w:t>
              </w:r>
            </w:hyperlink>
          </w:p>
        </w:tc>
        <w:tc>
          <w:tcPr>
            <w:tcW w:w="360" w:type="dxa"/>
            <w:vAlign w:val="bottom"/>
          </w:tcPr>
          <w:p>
            <w:pPr>
              <w:jc w:val="center"/>
              <w:spacing w:after="0"/>
              <w:rPr>
                <w:rFonts w:ascii="Arial" w:cs="Arial" w:eastAsia="Arial" w:hAnsi="Arial"/>
                <w:sz w:val="18"/>
                <w:szCs w:val="18"/>
                <w:color w:val="auto"/>
                <w:w w:val="89"/>
              </w:rPr>
            </w:pPr>
            <w:hyperlink w:anchor="page19">
              <w:r>
                <w:rPr>
                  <w:rFonts w:ascii="Arial" w:cs="Arial" w:eastAsia="Arial" w:hAnsi="Arial"/>
                  <w:sz w:val="18"/>
                  <w:szCs w:val="18"/>
                  <w:color w:val="auto"/>
                  <w:w w:val="89"/>
                </w:rPr>
                <w:t>17</w:t>
              </w:r>
            </w:hyperlink>
          </w:p>
        </w:tc>
      </w:tr>
      <w:tr>
        <w:trPr>
          <w:trHeight w:val="270"/>
        </w:trPr>
        <w:tc>
          <w:tcPr>
            <w:tcW w:w="82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6.</w:t>
              </w:r>
            </w:hyperlink>
          </w:p>
        </w:tc>
        <w:tc>
          <w:tcPr>
            <w:tcW w:w="7600" w:type="dxa"/>
            <w:vAlign w:val="bottom"/>
          </w:tcPr>
          <w:p>
            <w:pPr>
              <w:ind w:left="180"/>
              <w:spacing w:after="0"/>
              <w:rPr>
                <w:rFonts w:ascii="Arial" w:cs="Arial" w:eastAsia="Arial" w:hAnsi="Arial"/>
                <w:sz w:val="18"/>
                <w:szCs w:val="18"/>
                <w:color w:val="auto"/>
              </w:rPr>
            </w:pPr>
            <w:hyperlink w:anchor="page20">
              <w:r>
                <w:rPr>
                  <w:rFonts w:ascii="Arial" w:cs="Arial" w:eastAsia="Arial" w:hAnsi="Arial"/>
                  <w:sz w:val="18"/>
                  <w:szCs w:val="18"/>
                  <w:color w:val="auto"/>
                </w:rPr>
                <w:t>Selected Financial Data</w:t>
              </w:r>
            </w:hyperlink>
          </w:p>
        </w:tc>
        <w:tc>
          <w:tcPr>
            <w:tcW w:w="360" w:type="dxa"/>
            <w:vAlign w:val="bottom"/>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18</w:t>
              </w:r>
            </w:hyperlink>
          </w:p>
        </w:tc>
      </w:tr>
      <w:tr>
        <w:trPr>
          <w:trHeight w:val="270"/>
        </w:trPr>
        <w:tc>
          <w:tcPr>
            <w:tcW w:w="82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7.</w:t>
              </w:r>
            </w:hyperlink>
          </w:p>
        </w:tc>
        <w:tc>
          <w:tcPr>
            <w:tcW w:w="7600" w:type="dxa"/>
            <w:vAlign w:val="bottom"/>
          </w:tcPr>
          <w:p>
            <w:pPr>
              <w:ind w:left="18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360" w:type="dxa"/>
            <w:vAlign w:val="bottom"/>
          </w:tcPr>
          <w:p>
            <w:pPr>
              <w:jc w:val="center"/>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19</w:t>
              </w:r>
            </w:hyperlink>
          </w:p>
        </w:tc>
      </w:tr>
      <w:tr>
        <w:trPr>
          <w:trHeight w:val="270"/>
        </w:trPr>
        <w:tc>
          <w:tcPr>
            <w:tcW w:w="820" w:type="dxa"/>
            <w:vAlign w:val="bottom"/>
          </w:tcPr>
          <w:p>
            <w:pPr>
              <w:spacing w:after="0"/>
              <w:rPr>
                <w:rFonts w:ascii="Arial" w:cs="Arial" w:eastAsia="Arial" w:hAnsi="Arial"/>
                <w:sz w:val="18"/>
                <w:szCs w:val="18"/>
                <w:color w:val="auto"/>
              </w:rPr>
            </w:pPr>
            <w:hyperlink w:anchor="page27">
              <w:r>
                <w:rPr>
                  <w:rFonts w:ascii="Arial" w:cs="Arial" w:eastAsia="Arial" w:hAnsi="Arial"/>
                  <w:sz w:val="18"/>
                  <w:szCs w:val="18"/>
                  <w:color w:val="auto"/>
                </w:rPr>
                <w:t>Item 7A.</w:t>
              </w:r>
            </w:hyperlink>
          </w:p>
        </w:tc>
        <w:tc>
          <w:tcPr>
            <w:tcW w:w="7600" w:type="dxa"/>
            <w:vAlign w:val="bottom"/>
          </w:tcPr>
          <w:p>
            <w:pPr>
              <w:ind w:left="180"/>
              <w:spacing w:after="0"/>
              <w:rPr>
                <w:rFonts w:ascii="Arial" w:cs="Arial" w:eastAsia="Arial" w:hAnsi="Arial"/>
                <w:sz w:val="18"/>
                <w:szCs w:val="18"/>
                <w:color w:val="auto"/>
              </w:rPr>
            </w:pPr>
            <w:hyperlink w:anchor="page27">
              <w:r>
                <w:rPr>
                  <w:rFonts w:ascii="Arial" w:cs="Arial" w:eastAsia="Arial" w:hAnsi="Arial"/>
                  <w:sz w:val="18"/>
                  <w:szCs w:val="18"/>
                  <w:color w:val="auto"/>
                </w:rPr>
                <w:t>Quantitative and Qualitative Disclosures about Market Risk</w:t>
              </w:r>
            </w:hyperlink>
          </w:p>
        </w:tc>
        <w:tc>
          <w:tcPr>
            <w:tcW w:w="360" w:type="dxa"/>
            <w:vAlign w:val="bottom"/>
          </w:tcPr>
          <w:p>
            <w:pPr>
              <w:jc w:val="center"/>
              <w:spacing w:after="0"/>
              <w:rPr>
                <w:rFonts w:ascii="Arial" w:cs="Arial" w:eastAsia="Arial" w:hAnsi="Arial"/>
                <w:sz w:val="18"/>
                <w:szCs w:val="18"/>
                <w:color w:val="auto"/>
                <w:w w:val="89"/>
              </w:rPr>
            </w:pPr>
            <w:hyperlink w:anchor="page27">
              <w:r>
                <w:rPr>
                  <w:rFonts w:ascii="Arial" w:cs="Arial" w:eastAsia="Arial" w:hAnsi="Arial"/>
                  <w:sz w:val="18"/>
                  <w:szCs w:val="18"/>
                  <w:color w:val="auto"/>
                  <w:w w:val="89"/>
                </w:rPr>
                <w:t>26</w:t>
              </w:r>
            </w:hyperlink>
          </w:p>
        </w:tc>
      </w:tr>
      <w:tr>
        <w:trPr>
          <w:trHeight w:val="270"/>
        </w:trPr>
        <w:tc>
          <w:tcPr>
            <w:tcW w:w="82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8.</w:t>
              </w:r>
            </w:hyperlink>
          </w:p>
        </w:tc>
        <w:tc>
          <w:tcPr>
            <w:tcW w:w="7600" w:type="dxa"/>
            <w:vAlign w:val="bottom"/>
          </w:tcPr>
          <w:p>
            <w:pPr>
              <w:ind w:left="180"/>
              <w:spacing w:after="0"/>
              <w:rPr>
                <w:rFonts w:ascii="Arial" w:cs="Arial" w:eastAsia="Arial" w:hAnsi="Arial"/>
                <w:sz w:val="18"/>
                <w:szCs w:val="18"/>
                <w:color w:val="auto"/>
              </w:rPr>
            </w:pPr>
            <w:hyperlink w:anchor="page28">
              <w:r>
                <w:rPr>
                  <w:rFonts w:ascii="Arial" w:cs="Arial" w:eastAsia="Arial" w:hAnsi="Arial"/>
                  <w:sz w:val="18"/>
                  <w:szCs w:val="18"/>
                  <w:color w:val="auto"/>
                </w:rPr>
                <w:t>Financial Statements and Supplementary Data</w:t>
              </w:r>
            </w:hyperlink>
          </w:p>
        </w:tc>
        <w:tc>
          <w:tcPr>
            <w:tcW w:w="36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70"/>
        </w:trPr>
        <w:tc>
          <w:tcPr>
            <w:tcW w:w="82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9.</w:t>
              </w:r>
            </w:hyperlink>
          </w:p>
        </w:tc>
        <w:tc>
          <w:tcPr>
            <w:tcW w:w="7600" w:type="dxa"/>
            <w:vAlign w:val="bottom"/>
          </w:tcPr>
          <w:p>
            <w:pPr>
              <w:ind w:left="180"/>
              <w:spacing w:after="0"/>
              <w:rPr>
                <w:rFonts w:ascii="Arial" w:cs="Arial" w:eastAsia="Arial" w:hAnsi="Arial"/>
                <w:sz w:val="18"/>
                <w:szCs w:val="18"/>
                <w:color w:val="auto"/>
              </w:rPr>
            </w:pPr>
            <w:hyperlink w:anchor="page28">
              <w:r>
                <w:rPr>
                  <w:rFonts w:ascii="Arial" w:cs="Arial" w:eastAsia="Arial" w:hAnsi="Arial"/>
                  <w:sz w:val="18"/>
                  <w:szCs w:val="18"/>
                  <w:color w:val="auto"/>
                </w:rPr>
                <w:t>Changes in and Disagreements with Accountants on Accounting and Financial Disclosure</w:t>
              </w:r>
            </w:hyperlink>
          </w:p>
        </w:tc>
        <w:tc>
          <w:tcPr>
            <w:tcW w:w="36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70"/>
        </w:trPr>
        <w:tc>
          <w:tcPr>
            <w:tcW w:w="820" w:type="dxa"/>
            <w:vAlign w:val="bottom"/>
          </w:tcPr>
          <w:p>
            <w:pPr>
              <w:spacing w:after="0"/>
              <w:rPr>
                <w:rFonts w:ascii="Arial" w:cs="Arial" w:eastAsia="Arial" w:hAnsi="Arial"/>
                <w:sz w:val="18"/>
                <w:szCs w:val="18"/>
                <w:color w:val="auto"/>
              </w:rPr>
            </w:pPr>
            <w:hyperlink w:anchor="page28">
              <w:r>
                <w:rPr>
                  <w:rFonts w:ascii="Arial" w:cs="Arial" w:eastAsia="Arial" w:hAnsi="Arial"/>
                  <w:sz w:val="18"/>
                  <w:szCs w:val="18"/>
                  <w:color w:val="auto"/>
                </w:rPr>
                <w:t>Item 9A.</w:t>
              </w:r>
            </w:hyperlink>
          </w:p>
        </w:tc>
        <w:tc>
          <w:tcPr>
            <w:tcW w:w="7600" w:type="dxa"/>
            <w:vAlign w:val="bottom"/>
          </w:tcPr>
          <w:p>
            <w:pPr>
              <w:ind w:left="180"/>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360" w:type="dxa"/>
            <w:vAlign w:val="bottom"/>
          </w:tcPr>
          <w:p>
            <w:pPr>
              <w:jc w:val="center"/>
              <w:spacing w:after="0"/>
              <w:rPr>
                <w:rFonts w:ascii="Arial" w:cs="Arial" w:eastAsia="Arial" w:hAnsi="Arial"/>
                <w:sz w:val="18"/>
                <w:szCs w:val="18"/>
                <w:color w:val="auto"/>
                <w:w w:val="89"/>
              </w:rPr>
            </w:pPr>
            <w:hyperlink w:anchor="page28">
              <w:r>
                <w:rPr>
                  <w:rFonts w:ascii="Arial" w:cs="Arial" w:eastAsia="Arial" w:hAnsi="Arial"/>
                  <w:sz w:val="18"/>
                  <w:szCs w:val="18"/>
                  <w:color w:val="auto"/>
                  <w:w w:val="89"/>
                </w:rPr>
                <w:t>26</w:t>
              </w:r>
            </w:hyperlink>
          </w:p>
        </w:tc>
      </w:tr>
      <w:tr>
        <w:trPr>
          <w:trHeight w:val="270"/>
        </w:trPr>
        <w:tc>
          <w:tcPr>
            <w:tcW w:w="82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9B.</w:t>
              </w:r>
            </w:hyperlink>
          </w:p>
        </w:tc>
        <w:tc>
          <w:tcPr>
            <w:tcW w:w="7600" w:type="dxa"/>
            <w:vAlign w:val="bottom"/>
          </w:tcPr>
          <w:p>
            <w:pPr>
              <w:ind w:left="180"/>
              <w:spacing w:after="0"/>
              <w:rPr>
                <w:rFonts w:ascii="Arial" w:cs="Arial" w:eastAsia="Arial" w:hAnsi="Arial"/>
                <w:sz w:val="18"/>
                <w:szCs w:val="18"/>
                <w:color w:val="auto"/>
              </w:rPr>
            </w:pPr>
            <w:hyperlink w:anchor="page29">
              <w:r>
                <w:rPr>
                  <w:rFonts w:ascii="Arial" w:cs="Arial" w:eastAsia="Arial" w:hAnsi="Arial"/>
                  <w:sz w:val="18"/>
                  <w:szCs w:val="18"/>
                  <w:color w:val="auto"/>
                </w:rPr>
                <w:t>Other Information</w:t>
              </w:r>
            </w:hyperlink>
          </w:p>
        </w:tc>
        <w:tc>
          <w:tcPr>
            <w:tcW w:w="360" w:type="dxa"/>
            <w:vAlign w:val="bottom"/>
          </w:tcPr>
          <w:p>
            <w:pPr>
              <w:jc w:val="center"/>
              <w:spacing w:after="0"/>
              <w:rPr>
                <w:rFonts w:ascii="Arial" w:cs="Arial" w:eastAsia="Arial" w:hAnsi="Arial"/>
                <w:sz w:val="18"/>
                <w:szCs w:val="18"/>
                <w:color w:val="auto"/>
                <w:w w:val="89"/>
              </w:rPr>
            </w:pPr>
            <w:hyperlink w:anchor="page29">
              <w:r>
                <w:rPr>
                  <w:rFonts w:ascii="Arial" w:cs="Arial" w:eastAsia="Arial" w:hAnsi="Arial"/>
                  <w:sz w:val="18"/>
                  <w:szCs w:val="18"/>
                  <w:color w:val="auto"/>
                  <w:w w:val="89"/>
                </w:rPr>
                <w:t>27</w:t>
              </w:r>
            </w:hyperlink>
          </w:p>
        </w:tc>
      </w:tr>
      <w:tr>
        <w:trPr>
          <w:trHeight w:val="270"/>
        </w:trPr>
        <w:tc>
          <w:tcPr>
            <w:tcW w:w="820" w:type="dxa"/>
            <w:vAlign w:val="bottom"/>
          </w:tcPr>
          <w:p>
            <w:pPr>
              <w:spacing w:after="0"/>
              <w:rPr>
                <w:sz w:val="23"/>
                <w:szCs w:val="23"/>
                <w:color w:val="auto"/>
              </w:rPr>
            </w:pPr>
          </w:p>
        </w:tc>
        <w:tc>
          <w:tcPr>
            <w:tcW w:w="7600" w:type="dxa"/>
            <w:vAlign w:val="bottom"/>
          </w:tcPr>
          <w:p>
            <w:pPr>
              <w:ind w:left="318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3"/>
                <w:szCs w:val="23"/>
                <w:color w:val="auto"/>
              </w:rPr>
            </w:pPr>
          </w:p>
        </w:tc>
      </w:tr>
      <w:tr>
        <w:trPr>
          <w:trHeight w:val="270"/>
        </w:trPr>
        <w:tc>
          <w:tcPr>
            <w:tcW w:w="82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10.</w:t>
              </w:r>
            </w:hyperlink>
          </w:p>
        </w:tc>
        <w:tc>
          <w:tcPr>
            <w:tcW w:w="760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Directors , Executive Officers and Corporate Governance</w:t>
              </w:r>
            </w:hyperlink>
          </w:p>
        </w:tc>
        <w:tc>
          <w:tcPr>
            <w:tcW w:w="36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82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11.</w:t>
              </w:r>
            </w:hyperlink>
          </w:p>
        </w:tc>
        <w:tc>
          <w:tcPr>
            <w:tcW w:w="760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Executive Compensation</w:t>
              </w:r>
            </w:hyperlink>
          </w:p>
        </w:tc>
        <w:tc>
          <w:tcPr>
            <w:tcW w:w="36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56"/>
        </w:trPr>
        <w:tc>
          <w:tcPr>
            <w:tcW w:w="820" w:type="dxa"/>
            <w:vAlign w:val="bottom"/>
          </w:tcPr>
          <w:p>
            <w:pPr>
              <w:spacing w:after="0"/>
              <w:rPr>
                <w:sz w:val="22"/>
                <w:szCs w:val="22"/>
                <w:color w:val="auto"/>
              </w:rPr>
            </w:pPr>
          </w:p>
        </w:tc>
        <w:tc>
          <w:tcPr>
            <w:tcW w:w="760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Security Ownership of Certain Beneficial Owners and Management and Related Stockholder</w:t>
              </w:r>
            </w:hyperlink>
          </w:p>
        </w:tc>
        <w:tc>
          <w:tcPr>
            <w:tcW w:w="360" w:type="dxa"/>
            <w:vAlign w:val="bottom"/>
          </w:tcPr>
          <w:p>
            <w:pPr>
              <w:spacing w:after="0"/>
              <w:rPr>
                <w:sz w:val="22"/>
                <w:szCs w:val="22"/>
                <w:color w:val="auto"/>
              </w:rPr>
            </w:pPr>
          </w:p>
        </w:tc>
      </w:tr>
      <w:tr>
        <w:trPr>
          <w:trHeight w:val="230"/>
        </w:trPr>
        <w:tc>
          <w:tcPr>
            <w:tcW w:w="82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12.</w:t>
              </w:r>
            </w:hyperlink>
          </w:p>
        </w:tc>
        <w:tc>
          <w:tcPr>
            <w:tcW w:w="760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Matters</w:t>
              </w:r>
            </w:hyperlink>
          </w:p>
        </w:tc>
        <w:tc>
          <w:tcPr>
            <w:tcW w:w="36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82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13.</w:t>
              </w:r>
            </w:hyperlink>
          </w:p>
        </w:tc>
        <w:tc>
          <w:tcPr>
            <w:tcW w:w="760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Certain Relationships and Related Transactions, and Director Independence</w:t>
              </w:r>
            </w:hyperlink>
          </w:p>
        </w:tc>
        <w:tc>
          <w:tcPr>
            <w:tcW w:w="36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82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14.</w:t>
              </w:r>
            </w:hyperlink>
          </w:p>
        </w:tc>
        <w:tc>
          <w:tcPr>
            <w:tcW w:w="7600" w:type="dxa"/>
            <w:vAlign w:val="bottom"/>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Principal Accounting Fees and Services</w:t>
              </w:r>
            </w:hyperlink>
          </w:p>
        </w:tc>
        <w:tc>
          <w:tcPr>
            <w:tcW w:w="360" w:type="dxa"/>
            <w:vAlign w:val="bottom"/>
          </w:tcPr>
          <w:p>
            <w:pPr>
              <w:jc w:val="center"/>
              <w:spacing w:after="0"/>
              <w:rPr>
                <w:rFonts w:ascii="Arial" w:cs="Arial" w:eastAsia="Arial" w:hAnsi="Arial"/>
                <w:sz w:val="18"/>
                <w:szCs w:val="18"/>
                <w:color w:val="auto"/>
                <w:w w:val="89"/>
              </w:rPr>
            </w:pPr>
            <w:hyperlink w:anchor="page30">
              <w:r>
                <w:rPr>
                  <w:rFonts w:ascii="Arial" w:cs="Arial" w:eastAsia="Arial" w:hAnsi="Arial"/>
                  <w:sz w:val="18"/>
                  <w:szCs w:val="18"/>
                  <w:color w:val="auto"/>
                  <w:w w:val="89"/>
                </w:rPr>
                <w:t>28</w:t>
              </w:r>
            </w:hyperlink>
          </w:p>
        </w:tc>
      </w:tr>
      <w:tr>
        <w:trPr>
          <w:trHeight w:val="270"/>
        </w:trPr>
        <w:tc>
          <w:tcPr>
            <w:tcW w:w="820" w:type="dxa"/>
            <w:vAlign w:val="bottom"/>
          </w:tcPr>
          <w:p>
            <w:pPr>
              <w:spacing w:after="0"/>
              <w:rPr>
                <w:sz w:val="23"/>
                <w:szCs w:val="23"/>
                <w:color w:val="auto"/>
              </w:rPr>
            </w:pPr>
          </w:p>
        </w:tc>
        <w:tc>
          <w:tcPr>
            <w:tcW w:w="7600" w:type="dxa"/>
            <w:vAlign w:val="bottom"/>
          </w:tcPr>
          <w:p>
            <w:pPr>
              <w:ind w:left="318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3"/>
                <w:szCs w:val="23"/>
                <w:color w:val="auto"/>
              </w:rPr>
            </w:pPr>
          </w:p>
        </w:tc>
      </w:tr>
      <w:tr>
        <w:trPr>
          <w:trHeight w:val="270"/>
        </w:trPr>
        <w:tc>
          <w:tcPr>
            <w:tcW w:w="82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15.</w:t>
              </w:r>
            </w:hyperlink>
          </w:p>
        </w:tc>
        <w:tc>
          <w:tcPr>
            <w:tcW w:w="7600" w:type="dxa"/>
            <w:vAlign w:val="bottom"/>
          </w:tcPr>
          <w:p>
            <w:pPr>
              <w:ind w:left="180"/>
              <w:spacing w:after="0"/>
              <w:rPr>
                <w:rFonts w:ascii="Arial" w:cs="Arial" w:eastAsia="Arial" w:hAnsi="Arial"/>
                <w:sz w:val="18"/>
                <w:szCs w:val="18"/>
                <w:color w:val="auto"/>
              </w:rPr>
            </w:pPr>
            <w:hyperlink w:anchor="page31">
              <w:r>
                <w:rPr>
                  <w:rFonts w:ascii="Arial" w:cs="Arial" w:eastAsia="Arial" w:hAnsi="Arial"/>
                  <w:sz w:val="18"/>
                  <w:szCs w:val="18"/>
                  <w:color w:val="auto"/>
                </w:rPr>
                <w:t>Exhibits, Financial Statement Schedules</w:t>
              </w:r>
            </w:hyperlink>
          </w:p>
        </w:tc>
        <w:tc>
          <w:tcPr>
            <w:tcW w:w="360" w:type="dxa"/>
            <w:vAlign w:val="bottom"/>
          </w:tcPr>
          <w:p>
            <w:pPr>
              <w:jc w:val="cente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29</w:t>
              </w:r>
            </w:hyperlink>
          </w:p>
        </w:tc>
      </w:tr>
    </w:tbl>
    <w:p>
      <w:pPr>
        <w:sectPr>
          <w:pgSz w:w="11900" w:h="16838" w:orient="portrait"/>
          <w:cols w:equalWidth="0" w:num="1">
            <w:col w:w="10219"/>
          </w:cols>
          <w:pgMar w:left="240" w:top="121" w:right="1440"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“Business” included in Item 1 of Part I,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Inc., a Utah corporation, and, unless the context otherwise requires or is otherwise expressly stated, its subsidiaries.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ClearOne was formed as a Utah corporation in 1983 organized under the laws of the State of Utah. The company is headquartered in Salt Lake City, Utah, with offices in Austin, Texas, Corvallis, Oregon, Hong Kong, the United Kingdom and Israel.</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global market share position, with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60"/>
          </w:cols>
          <w:pgMar w:left="240" w:top="121" w:right="2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6, 2011, ClearOne acquired the business of MagicBox, Inc. (MagicBox), a manufacturer of hardware and software solutions delivering digital content and information to digital displays. Under the terms of an asset purchase agreement with MagicBox, an Oregon corporation, ClearOne paid approximately $980 thousand in cash consideration for all the assets, including intellectual property, fixed assets and current assets of MagicBox and assumed no debt.</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MagicBox was a manufacturer of small-scale digital signage and video messaging systems for public or private broadcast. As a result of this acquisition, we now design digital signage and video messaging systems that emphasize ease-of-use with the flexibility and power to take on any task. Custom hardware and software packages allow customers to design and deliver solutions online.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16, 2012, we completed the acquisition of the video conferencing business of Israel-based VCON Video Conferencing, Ltd. (“VCON”). VCON was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our streaming and digital signage technologies has provided us with complementary technology opportunities allowing us to enter new growth markets. Pursuant to the asset purchase agreement, ClearOne paid consideration of $4.6 million in cash to VCON in consideration for all the assets, including intellectual property, fixed assets and inventory, and assumed no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Our website address is 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audio visual, including audio conferencing and video conferencing;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Unified communications, including telephony;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Multimedia streaming and control;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signage.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video conferencing, streaming and digital signage technologies we recently acquired to enter new growth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through emerging information technology channels;</w:t>
      </w:r>
    </w:p>
    <w:p>
      <w:pPr>
        <w:spacing w:after="0" w:line="128" w:lineRule="exact"/>
        <w:rPr>
          <w:rFonts w:ascii="Arial" w:cs="Arial" w:eastAsia="Arial" w:hAnsi="Arial"/>
          <w:sz w:val="17"/>
          <w:szCs w:val="17"/>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Providing a superior conferencing and collaboration experience;</w:t>
      </w:r>
    </w:p>
    <w:p>
      <w:pPr>
        <w:spacing w:after="0" w:line="225"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impacting multimedia and control distribution;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Offering greater value to our customers and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Leveraging and extending ClearOne technology leadership and innovation;</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Leveraging our strong domestic and international channels to distribute new products;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Strengthening existing customer and partner relationships through dedicated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audio communication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Unified communications audio end points;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Visual communication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AUDIO COMMUNICATION PRODUCTS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full range of professional audio communication products include (i) professional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and (iii) professional microphones used in various applications.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professional audio communication products contributed 70% and 73% of our consolidated revenue in 2012 and 2011, respectively.</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professional audio communication products and unified communications audio end points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Conferencing, Sound Reinforcement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occupy the number one position in the global professional audio conferencing market with nearly 50% of the total global market share. We have been developing high-end, professional conferencing products since 1991 and believe we have established strong brand recognition for these products worldwide. Our professional conferencing products include the CONVERGE® Pro and Converge SR product lines.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flagship Converge Pro product line leads our professionally installed audio products line. The Converge Pro product line includes the Converge Pro 880, Converge Pro 880T, Converge Pro 880TA, Converge Pro 840, Converge Pro 8i, Converge Pro TH20 and Converge Pro VH20, which together offer various levels of integration and features to allow a commercial system integrator to optimize a system to fit diverse conferencing applications and environments.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Mid-Tier Premium Conferencing</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INTERACT®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20"/>
          </w:cols>
          <w:pgMar w:left="24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analog POTS lines, existing HD video codecs and soft video clients. These INTERACT systems also include a USB audio interface to connect to PCs, laptops and tablets, as well as to rich multimedia devices, such as video or web conferencing systems and emerging unified communicate on systems for enhanced collaboration.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Professional Microphones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ClearOne Ceiling Microphone Array introduced in November 2011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UNIFIED COMMUNICATIONS AUDIO END POINTS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unified communications audio end points include (i) traditional tabletop conferencing phones used in conference rooms and offices and (ii) affordable personal conferencing products that can be used with PCs, laptops, tablets, smartphones, and other portable devices. Our unified communications audio end points contributed approximately 22% of our consolidated revenue in both 2012 and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Traditional Tabletop Conferencing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MAX® product line is comprised of the following product families: MAX EX and MAXAttach® wired phones; MAX Wireless and MAXAttach Wireless; and MAX IP and MAXAttach IP VoIP tabletop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Personal Conferencing Products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Our CHAT® product line includes affordable and stylish personal speakerphones and USB headsets. CHAT speaker phones provide full-duplex and rich full bandwidth frequency response for superior audio clarity. CHAT products are designed for a wide variety of applications and devices (fixed or portable) for greatly enhanced collaboration wherever and whenever needed. CHAT speaker phones are offered as personal speakerphones and group speakerphones.</w:t>
      </w:r>
    </w:p>
    <w:p>
      <w:pPr>
        <w:spacing w:after="0" w:line="14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CHAT personal speakerphones are approximately the size of a deck of cards, and connect to PCs and MACs, laptops, tablets, enterprise handsets, smartphones, cell phones, and MP3 players for rich, clear, hands-free audio and playback. CHAT group speakerphones are designed for small group use. These can also connect many of the same devices and applications as the CHAT personal speaker phones, but features three microphones in larger design for use by a larger number of participants. CHAT group speakerphones have the ability to add high-quality, full-duplex speaker phones to user enterprise telephone handsets such as Avaya and Cisco. CHAT group speakerphones make it possible to introduce rich, crystal clear conferencing capability without the need for introducing a separate traditional conference phone. CHATAttach®, is comprised of two CHAT group speakerphones which can be daisy-chained together to function as a single conferencing system.</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CHAT USB headsets for unified communications combine comfort, durability and legacy audio quality for which ClearOne is renowned. These affordable USB headsets incorporate advanced microphone noise canceling technology and acoustic shock protection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VISUAL COMMUNICATION PRODUCTS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visual communication products are sold under following three broad categories: (i) video conferencing, (ii) streaming and (iii) digital signage.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Video Conferencing Products</w:t>
      </w:r>
      <w:r>
        <w:rPr>
          <w:rFonts w:ascii="Arial" w:cs="Arial" w:eastAsia="Arial" w:hAnsi="Arial"/>
          <w:sz w:val="18"/>
          <w:szCs w:val="18"/>
          <w:color w:val="000000"/>
        </w:rPr>
        <w: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comprehensive portfolio of industry-leading COLLABORATE® branded HD videoconferencing solutions bring cutting-edge software-based full HD (1080p) video conferencing technology with H.264 High Profile encoding that reduces bandwidth utilization up to 50 percent. COLLABORATE is comprised of feature-rich room systems and desktop video applications, as well as enhanced network management, infrastructure solutions and software development kits. Unique features of our software-based video endpoint solutions include:</w:t>
      </w:r>
    </w:p>
    <w:p>
      <w:pPr>
        <w:spacing w:after="0" w:line="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Embedded multipoint video conferencing;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Embedded SIP/H.323 bridging interoperability with all leading standards-based hardware and software video conferencing endpoints;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Built-in recording and streaming;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Built-in remote content and data sharing;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Built-in interactive multicast.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video-conferencing industry is moving towards software-based solutions for a variety of reasons as software-based solutions: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 higher scalability and capacity at lower cost than hardware-based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Enable faster implementation time for new, latest or custom features;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easy customization for different needs of vertical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 easy upgrades and seamless feature additions after the initial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 more flexibility to expand with business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more highly secured for IT infrastructure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the use of existing equipment and infrastructure with easier installation and maintenance;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a higher return on investment with multiple capabilities and applications in a single-box solution;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Facilitate easier migration to user-friendly devices (e.g. tablets, phones, MAC, PC, etc.).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Streaming Products</w:t>
      </w:r>
      <w:r>
        <w:rPr>
          <w:rFonts w:ascii="Arial" w:cs="Arial" w:eastAsia="Arial" w:hAnsi="Arial"/>
          <w:sz w:val="18"/>
          <w:szCs w:val="18"/>
          <w:color w:val="000000"/>
        </w:rPr>
        <w: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Streaming products sold under VIEW™ and NetStreams brands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systems have no limits on the numbers of sources, displays, or amplifiers in a project and can be used in venues from high-end residential homes to large-scale commercial projects.</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contained when they were encoded. The addition of Digital Encoder and Digital Decoder products with DVI/HDMI input and output enhances the flexibility of complete AV distribution system and makes it as easy to use as analog devices.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MagicBox Digital Signage Products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make digital signage and video messaging systems with an emphasis on ease of use and flexibility with hardware and software applications. Our Aavelin branded media players come with different hardware configurations for Digital Signage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applications. Using the Composer software application with Aavelin media players, the contents can be managed, scheduled and published to one or many media players to display on screens. Our RoomRoster branded room information solution is a combination of display and data wrapped in one design. It consists of the room sign and database integration used to display room schedules and other information in real-time.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primarily use a two-tier channel model through which we sell our commercial products to a worldwide network of independent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audio-video consultants. We also sell our commercial products directly to certain dealers, systems integrators, value-added resellers, and end-users. We sell our residential products through a global network of residential electronics dealers, system integrators, and other value-added resellers.</w:t>
      </w:r>
    </w:p>
    <w:p>
      <w:pPr>
        <w:spacing w:after="0" w:line="15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During the year ended December 31, 2012, approximately $30.3 million, or 65% of our total product sales, were generated in the United States and product sales of approximately $16.1 million, or 35% of our total product sales, were generated outside the United States. Revenue from product sales to customers outside of the United States accounted for approximately 37% of our total product sales for the year ended December 31, 2011. We sell directly to our distributors, resellers and end-users in approximately 70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Distributors, Resellers and Independent Integrators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sold our products directly to approximately 600 distributors and direct resellers throughout the world during 2012. Distributors and resellers purchase our products at a discount from list price and resell them worldwide to hundreds of independent system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Marketing</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 branded commercial products on our website www.clearone.com and our MagicBox branded digital signage products on our website www.magicboxinc.com. We also conduct public relations initiatives to get press coverage and product reviews in industry and non-industry publications alike.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We do not get any reports from our distributors and resellers that identify our end-users. As a result, we do not know whether any end-user accounted for more than 10 percent of our total revenue during any of the periods reported in this Annual Report. However, revenues included sales to Starin Marketing, that represented approximately 17.5% of consolidated revenue during the year ended December 31, 2012. During the year ended December 31, 2011, revenues included sales to two distributors, Starin Marketing and VSO Marketing, that represented 30% of our consolidated revenue, with each of these distributors accounting for more than 10 percent of the consolidated revenue during that period. As discussed above, these distributors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3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As of December 31, 2012, our shipped orders on which we had not recognized revenue were $3.6 million and our backlog of unshipped orders was approximately $621,000.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audio 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customer and partner sales and technical support services;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professional audio conferencing system and sound reinforcement markets, our main competitors include Biamp, Crestron, Extron, Harman/BSS, Lectrosonics, Peavey, Phoenix, Polycom, Shure and Vaddio and their original equipment manufacturing (OEM) partners, along with several other companies potentially poised to enter the market. We occupy the number one position in the global professional audio conferencing market with nearly 50% of the global market share. In the traditional tabletop conferencing market, we face significant competition from Avaya (Konftel), Phoenix, and Polycom, and especially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 In the professional microphones market our primary competitors include Audio-technica, Audix, Polycom, Revolabs, Sennheiser, Shure, and their OEM partners. Our primary competitors in the personal conferencing market are GN Netcom (Jabra), Phoenix Audio, Plantronics, Polycom, Yamaha and their OEM partners. Our video conferencing products face tremendous competition from well established players, including Avaya (Radvision), CISCO, Logitech (Lifesize), Polycom and Vidyo. We believe the migration of video conferencing from hardware-based codecs to software-based codecs provides an opportunity for us to differentiate our products and win market share. Our commercial streaming products face intense competition from a few well-established corporations of diversified capabilities and strengths, including AMX, BiAmp, Crestron, Extron, and Haivision. We believe that our pioneering and patented StreamNet technology delivers superior audio and video streaming performance and flexibility and provides us with a competitive edge over other industry players. In digital signage, our primary competitors include Scala, Tightrope and Visix.</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Regulations regarding product safety, product operational agency compliance, the materials used in manufacturing, the process of disposing of electronic equipment and the efficient use of energy may require extensive time to obtain regulatory approvals of new products in both domestic and international markets. Such regulations may impact our ability to expand our sales in a timely and cost-effective manner and, as a result, our business could be harmed.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all of our products except digital signage products are manufactured by EMS providers. Our primary EMS provider is Flextronics. The digital signage products are assembled in our Salt Lake City, Utah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revenue has historically been the strongest in the fourth quarter and the weakest in the first quarter, even though a consistent pattern could not be established for seasonality between the quarters. There can be no assurance that any historic sales patterns will continue and, as a result, sales for any prior quarter are not necessarily indicative of the sales to be expected in any future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$8.3 million during the year ended December 31, 2012 and $7.1 million during the year ended December 31, 2011.</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and (c) video technologies. We also have expertise in wireless technologies, VoIP, software and network application, and digital signage system development. We believe that continued investment in our core technological competencies is vital to developing new products and to enhancing existing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2012, we had 145 full-time employees. Of these employees, 88 were located in our Salt Lake City office, 37 in other U.S. locations, and 20 outside the U.S. None of our employees is subject to a collective bargaining agreement and we believe our relationship with our employees is good. We also hire contractors with specific skill sets to meet our operational needs.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0000FF"/>
        </w:rPr>
        <w:t>We face intense competition in all markets for our products and services and our operating results will be adversely affected if we cannot compete effectively against other companies.</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plan to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estimating customer demand in our products segment could harm our profit margins.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sales depend to a certain extent on government funding and regulation.</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Environmental laws and regulations subject us to a number of risks and could result in significant costs and impact on revenue.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profitability may be adversely affected by our continuing dependence on our distribution channels.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value-added resellers cannot easily be replaced and any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loss of revenues from these and other sources or the our inability to reduce expenses to compensate for such loss of revenue could adversely affect our net revenue and profit margins.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development delays or defects could harm our competitive position and reduce our 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0000FF"/>
        </w:rPr>
        <w:t>We rely on reporting of distribution channel inventory by our distributors to recognize revenue from product sales to them, which could turn out to be inaccurate.</w:t>
      </w:r>
    </w:p>
    <w:p>
      <w:pPr>
        <w:spacing w:after="0" w:line="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At each quarter-end, we evaluate the inventory in the channel through information provided by our distributors. We use this information to determine the amount of inventory in the channel, and the appropriate revenue and cost of goods sold associated with those channel products. We cannot guarantee that the third party data as reported will be accurate. We periodically audit a limited number of distributors.</w:t>
      </w:r>
    </w:p>
    <w:p>
      <w:pPr>
        <w:spacing w:after="0" w:line="15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0000FF"/>
        </w:rPr>
        <w:t>We depend on an outsourced manufacturing strategy, and any disruption in outsourced services could negatively impact our product availability and revenues.</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outsource the manufacturing of all of our products to electronics manufacturing services ("EMS") providers located in both the U.S. and Asia. If any of these EMS providers experience (i) difficulties in obtaining sufficient supplies of components, (ii) component prices significantly exceeding anticipated costs,</w:t>
      </w:r>
    </w:p>
    <w:p>
      <w:pPr>
        <w:ind w:firstLine="8"/>
        <w:spacing w:after="0" w:line="290"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interruption in their operations, or (iv) otherwise suffers capacity constraints, we could experience a delay in shipping these products, which would have a negative impact on our revenue. Should there be any disruption in services due to natural disaster, such as the natural disaster in Japan in 2011,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Switching from one EMS provider to another is an expensive, difficult and a time 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2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Recent regulatory requirements regarding the use of “conflict minerals” could affect the sourcing and availability of raw materials to our EMS providers in the manufacture of certain of our products. We may be subject to costs associated with the new regulations, including for the diligence pertaining to the presence of any conflict minerals used in our products and the cost of remediation and other changes to products, processes, or sources of supply as a consequence of such verification activities. The impact of the regulations may result in a limited pool of suppliers who provide conflict free minerals, and we cannot assure you that we will be able to obtain products in sufficient quantities or at competitive prices. We may face reputational challenges with our customers and other stakeholders if we are unable to sufficiently verify the origins for the metals used in the products we sell.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0000FF"/>
        </w:rPr>
        <w:t>Global economic conditions have adversely affected our business in the past and could adversely affect our revenues and harm our business in the future.</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the recent sovereign debt crisis in Europe, domestic debt and budget issues, the possibility of a slowdown in China’s economic growth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0000FF"/>
        </w:rPr>
        <w:t>We are a smaller company than some of our competitors and may be more susceptible to market fluctuations, other adverse events, increased costs and less favorable purchasing terms.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Difficulties in integrating past or future acquisitions could adversely affect our business.</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acquired NetStreams, a pioneer in digital media networks based on Internet Protocol (TCP/IP), in November 2009 and MagicBox, a leading provider of digital signage services, in September 2011. In addition, we acquired substantially all of the assets of VCON Video Conferencing, Ltd, a high-performance, end-to-end, software video conferencing solutions company in Israel, in February 2012. The efficient and effective integration of these businesses into our organization is important to our growth. Any acquisition involves numerous risks, including difficulties in integrating the operations, technologies and products of the acquired companies, the diversion of our management's attention from other business concerns, and the potential loss of key customers or employees of an acquired company. Failure to achieve the anticipated benefits of these and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these acquisitions or any future acquisitions we may make.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Conditions in Israel and the Middle East may affect the operations of our new subsidiary in Israel.</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have recently formed a subsidiary located in Israel in connection with the acquisition of the assets of VCON Video Conferencing, Ltd. Political, economic, security and military conditions in the Middle East in general, and in Israel in particular, directly affect our Israeli subsidiary’s operations. Since the establishment of the State of Israel in 1948, a number of armed conflicts have taken place between Israel and its Arab neighbors and a state of hostility, varying in degree and intensity, has led to security and economic problems for Israel. Despite negotiations to effect peace between Israel and its Arab neighbors, the future of these peace efforts is uncertain.</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early 2011, riots and popular uprisings in various countries in the Middle East have led to severe political instability in those countries. This continuing instability may lead to deterioration of the political and trade relationships that exist between the State of Israel and these countries. In addition, this instability may affect the economy in the Middle East as well as the global economy and marketplace. Any armed conflicts or political instability in the region, including acts of terrorism or any other hostilities involving or threatening Israel, would likely negatively affect business conditions and could make it more difficult for us to conduct our operations in Israel, which could increase our costs and adversely affect our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Product obsolescence could harm demand for our products and could adversely affect our revenue and our results of operations.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If we are unable to protect our intellectual property rights or have insufficient proprietary rights, our business would be materially impaired.</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Our industry is characterized by vigorous protection of intellectual property rights. Such claims and the resulting litigation can be expensive and could divert our attention, regardless of the merit of such claims. In the event of a successful claim, we might be required to license third-party technology or redesign our products, which may not be possible or economically feasible.</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 With respect to any patent application we have filed, we cannot ensure that a patent will be awarded.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International sales account for a significant portion of our net revenue and risks inherent in international sales could harm our business.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5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0000FF"/>
        </w:rPr>
        <w:t>We may not be able to hire and retain qualified key and highly-skilled technical employees, which could affect our ability to compete effectively and may cause our revenue and profitability to decline.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rely on third-party technology and license agreements, the loss of any of which could negatively impact our business.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may have difficulty in collecting outstanding receivables.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meet their obligations. Future losses could be significant and, if incurred, could harm our business and have a material adverse effect on our operating results and financial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Interruptions to our business could adversely affect our operations.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 based problems. To help guard against such risks, we carry business interruption loss insurance to help compensate us for losses that may occur, but we cannot assure that such coverage would protect us from all such possible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Changes in our tax rates could adversely affect our future results.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U.S. based company subject to tax in U.S. and foreign tax jurisdictions. Unanticipated changes in our tax rates could affect our future results of operations. Our future effective tax rates, which are difficult to predict, could be unfavorably affected by changes in, or interpretation of, tax rules and regulations in the jurisdictions in which we do business, by unanticipated decreases in the amount of revenue or earnings in countries with low statutory tax rates, by changes in the valuation of our deferred tax assets and liabilities, or by lapses of the availability of the U.S. research and development tax credit, which occurred for 2012 but was reinstated on January 2, 2013 as part of the “American Taxpayer Relief Act of 2012.” The new law provides for an extension of the federal research credit retroactive for 2012 and extended through 2013. Further, the accounting for stock compensation expense in accordance with ASC 718 and uncertain tax positions in accordance with ASC 740 could result in more unpredictability and variability to our future effective tax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Our stock price fluctuates as a result of the conduct of our business and stock market fluctuations.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70" w:lineRule="exact"/>
        <w:rPr>
          <w:sz w:val="20"/>
          <w:szCs w:val="20"/>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60"/>
          </w:cols>
          <w:pgMar w:left="240" w:top="122" w:right="29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 RISK FACTORS</w:t>
      </w:r>
    </w:p>
    <w:p>
      <w:pPr>
        <w:spacing w:after="0" w:line="23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Rights to acquire our common stock could result in dilution to other holders of our common stock.</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2012, we had outstanding options to acquire approximately 1.1 million shares of our common stock at a weighted average exercise price of $4.63 per share. An additional 357,000 shares remain available for grant under our 2007 Equity Incentive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The sale of additional shares of our common stock could have a negative effect on the market price of our common stock.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000FF"/>
        </w:rPr>
        <w:t>We have previously identified material weaknesses in our internal controls.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our Form 10-K for the fiscal year ending June 30, 2006 and Form 10-K/A-2 for the fiscal year ending June 30, 2008, we reported and identified a material weakness in our internal controls.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Although we believe we have remedied this weakness through the commitment of considerable resources, we are always at risk that any future failure of our own internal controls or the internal controls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2016 which supports our principal administrative, sales, marketing, customer support, and research and product development facility.</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occupy a 40,000 square-foot warehouse in Salt Lake City, Utah under the terms of an operating lease expiring in December 2017 which serves as our primary inventory fulfillment and repair center. This facility also serves as our assembly workshop for digital signage products. Our earlier lease for a 24,000 square-foot warehouse in Salt Lake City, Utah terminated in January 2012.</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also lease approximately 5,600 square-feet of warehouse space in Hong Kong under an operating lease which expires in February 2014 to support our partners and customers located in the Asia-Pacific region. Our earlier leases for smaller Hong Kong warehouses totaling 3,700 square-feet expired in February 2012.</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also occupy a 11,100 square-foot facility in Austin, Texas under the terms of an operating lease expiring in August 2016, which serves as an additional facility to support our administrative, sales, marketing, customer support, and research and development activities. Our earlier lease for a 9,400 square-foot office space in Austin, Texas expired in May 2012.</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lease two facilities in Israel - a 4,700 square-foot office facility in Hod Hasharon to primarily support our research and development activities and a 1,000 square-foot warehouse in Tzur Yigal. The Hod Hasharon lease expires in December 2013 with options to extend from two to six years. The Tzur Yigal lease expires in August 2013.</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to the above, we also occupy a 2,300 square-foot office space in Corvallis, Oregon under a month-to-month operating lease to support our digital signage business operations and research and development facilities.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1">
        <w:r>
          <w:rPr>
            <w:rFonts w:ascii="Arial" w:cs="Arial" w:eastAsia="Arial" w:hAnsi="Arial"/>
            <w:sz w:val="18"/>
            <w:szCs w:val="18"/>
            <w:u w:val="single" w:color="auto"/>
            <w:color w:val="0000FF"/>
          </w:rPr>
          <w:t>Note 8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(Part II, Item 8) for information regarding legal proceedings in which we are involved, which is incorporated in this Item 3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common stock has been traded on the NASDAQ Capital Market under the symbol CLRO since August 14, 2007. The following table sets forth high and low sale prices (or high and low bid quotations) of our common stock for each fiscal quarter indicated as reported on the NASDAQ Capital Market.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0" w:type="dxa"/>
            <w:vAlign w:val="bottom"/>
            <w:gridSpan w:val="4"/>
          </w:tcPr>
          <w:p>
            <w:pPr>
              <w:jc w:val="right"/>
              <w:ind w:right="474"/>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4"/>
              </w:rPr>
              <w:t>2012</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4"/>
              </w:rPr>
              <w:t>2011</w:t>
            </w:r>
          </w:p>
        </w:tc>
        <w:tc>
          <w:tcPr>
            <w:tcW w:w="1120" w:type="dxa"/>
            <w:vAlign w:val="bottom"/>
          </w:tcPr>
          <w:p>
            <w:pPr>
              <w:spacing w:after="0"/>
              <w:rPr>
                <w:sz w:val="20"/>
                <w:szCs w:val="20"/>
                <w:color w:val="auto"/>
              </w:rPr>
            </w:pPr>
          </w:p>
        </w:tc>
      </w:tr>
      <w:tr>
        <w:trPr>
          <w:trHeight w:val="33"/>
        </w:trPr>
        <w:tc>
          <w:tcPr>
            <w:tcW w:w="2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280" w:type="dxa"/>
            <w:vAlign w:val="bottom"/>
            <w:shd w:val="clear" w:color="auto" w:fill="CCEEFF"/>
          </w:tcPr>
          <w:p>
            <w:pPr>
              <w:spacing w:after="0"/>
              <w:rPr>
                <w:sz w:val="22"/>
                <w:szCs w:val="22"/>
                <w:color w:val="auto"/>
              </w:rPr>
            </w:pPr>
          </w:p>
        </w:tc>
        <w:tc>
          <w:tcPr>
            <w:tcW w:w="48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43"/>
        </w:trPr>
        <w:tc>
          <w:tcPr>
            <w:tcW w:w="280" w:type="dxa"/>
            <w:vAlign w:val="bottom"/>
          </w:tcPr>
          <w:p>
            <w:pPr>
              <w:ind w:left="40"/>
              <w:spacing w:after="0"/>
              <w:rPr>
                <w:sz w:val="20"/>
                <w:szCs w:val="20"/>
                <w:color w:val="auto"/>
              </w:rPr>
            </w:pPr>
            <w:r>
              <w:rPr>
                <w:rFonts w:ascii="Arial" w:cs="Arial" w:eastAsia="Arial" w:hAnsi="Arial"/>
                <w:sz w:val="18"/>
                <w:szCs w:val="18"/>
                <w:color w:val="auto"/>
                <w:w w:val="91"/>
              </w:rPr>
              <w:t>Q1</w:t>
            </w:r>
          </w:p>
        </w:tc>
        <w:tc>
          <w:tcPr>
            <w:tcW w:w="4860" w:type="dxa"/>
            <w:vAlign w:val="bottom"/>
          </w:tcPr>
          <w:p>
            <w:pPr>
              <w:ind w:left="20"/>
              <w:spacing w:after="0"/>
              <w:rPr>
                <w:sz w:val="20"/>
                <w:szCs w:val="20"/>
                <w:color w:val="auto"/>
              </w:rPr>
            </w:pPr>
            <w:r>
              <w:rPr>
                <w:rFonts w:ascii="Arial" w:cs="Arial" w:eastAsia="Arial" w:hAnsi="Arial"/>
                <w:sz w:val="18"/>
                <w:szCs w:val="18"/>
                <w:color w:val="auto"/>
              </w:rPr>
              <w:t>- Jan 1 to Mar 31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3.75</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Q2</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Apr 1 to Jun 30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w:t>
            </w:r>
          </w:p>
        </w:tc>
      </w:tr>
      <w:tr>
        <w:trPr>
          <w:trHeight w:val="243"/>
        </w:trPr>
        <w:tc>
          <w:tcPr>
            <w:tcW w:w="280" w:type="dxa"/>
            <w:vAlign w:val="bottom"/>
          </w:tcPr>
          <w:p>
            <w:pPr>
              <w:ind w:left="40"/>
              <w:spacing w:after="0"/>
              <w:rPr>
                <w:sz w:val="20"/>
                <w:szCs w:val="20"/>
                <w:color w:val="auto"/>
              </w:rPr>
            </w:pPr>
            <w:r>
              <w:rPr>
                <w:rFonts w:ascii="Arial" w:cs="Arial" w:eastAsia="Arial" w:hAnsi="Arial"/>
                <w:sz w:val="18"/>
                <w:szCs w:val="18"/>
                <w:color w:val="auto"/>
                <w:w w:val="91"/>
              </w:rPr>
              <w:t>Q3</w:t>
            </w:r>
          </w:p>
        </w:tc>
        <w:tc>
          <w:tcPr>
            <w:tcW w:w="4860" w:type="dxa"/>
            <w:vAlign w:val="bottom"/>
          </w:tcPr>
          <w:p>
            <w:pPr>
              <w:ind w:left="20"/>
              <w:spacing w:after="0"/>
              <w:rPr>
                <w:sz w:val="20"/>
                <w:szCs w:val="20"/>
                <w:color w:val="auto"/>
              </w:rPr>
            </w:pPr>
            <w:r>
              <w:rPr>
                <w:rFonts w:ascii="Arial" w:cs="Arial" w:eastAsia="Arial" w:hAnsi="Arial"/>
                <w:sz w:val="18"/>
                <w:szCs w:val="18"/>
                <w:color w:val="auto"/>
              </w:rPr>
              <w:t>- Jul 1 to Sep 30</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4.90</w:t>
            </w: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Q4</w:t>
            </w: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Oct 1 to Dec 31</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r>
      <w:tr>
        <w:trPr>
          <w:trHeight w:val="27"/>
        </w:trPr>
        <w:tc>
          <w:tcPr>
            <w:tcW w:w="28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21, 2013, the closing price for our common stock as reported on the NASDAQ Capital Market was $6.88.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21, 2013, there were 9,121,314 shares of our common stock issued and outstanding and held by approximately 369 shareholders of record. This number includes each broker dealer and clearing corporation that holds shares for customers as a single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May 2012, our Board of Directors authorized a stock repurchase program. Under the program, we were authorized to repurchase up to $3 million of our outstanding common stock. In February of 2013, the Board updated the program by authorizing an increase in the amount available for the stock repurchase program from $3 million to $10 million.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We may suspend or discontinue the stock repurchase program at any time without prior notice.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issuer purchases of equity securities during the three months ended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currently have one equity compensation plan, our 2007 Equity Incentive Plan (the “2007 Plan”). Our 1998 stock option plan terminated in June 2008 and no further awards may be issued under this plan.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information as of December 31, 2012 with respect to compensation plans under which equity securities of ClearOne are authorized for issuance.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 to be</w:t>
            </w:r>
          </w:p>
        </w:tc>
        <w:tc>
          <w:tcPr>
            <w:tcW w:w="1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Weighted-average exercise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 available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980" w:type="dxa"/>
            <w:vAlign w:val="bottom"/>
            <w:gridSpan w:val="3"/>
            <w:vMerge w:val="continue"/>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 equity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1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compensation plans (excluding securities</w:t>
            </w: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2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and rights</w:t>
            </w:r>
          </w:p>
        </w:tc>
        <w:tc>
          <w:tcPr>
            <w:tcW w:w="280" w:type="dxa"/>
            <w:vAlign w:val="bottom"/>
          </w:tcPr>
          <w:p>
            <w:pPr>
              <w:spacing w:after="0"/>
              <w:rPr>
                <w:sz w:val="13"/>
                <w:szCs w:val="13"/>
                <w:color w:val="auto"/>
              </w:rPr>
            </w:pPr>
          </w:p>
        </w:tc>
        <w:tc>
          <w:tcPr>
            <w:tcW w:w="17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warrants and rights</w:t>
            </w:r>
          </w:p>
        </w:tc>
        <w:tc>
          <w:tcPr>
            <w:tcW w:w="2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w:t>
            </w:r>
          </w:p>
        </w:tc>
        <w:tc>
          <w:tcPr>
            <w:tcW w:w="280" w:type="dxa"/>
            <w:vAlign w:val="bottom"/>
          </w:tcPr>
          <w:p>
            <w:pPr>
              <w:spacing w:after="0"/>
              <w:rPr>
                <w:sz w:val="16"/>
                <w:szCs w:val="16"/>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color w:val="auto"/>
              </w:rPr>
              <w:t>(b)</w:t>
            </w:r>
          </w:p>
        </w:tc>
        <w:tc>
          <w:tcPr>
            <w:tcW w:w="272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36"/>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w:t>
            </w:r>
          </w:p>
        </w:tc>
        <w:tc>
          <w:tcPr>
            <w:tcW w:w="196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1,137,283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72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357,410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w:t>
            </w:r>
          </w:p>
        </w:tc>
        <w:tc>
          <w:tcPr>
            <w:tcW w:w="2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7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1,137,283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357,410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020"/>
          </w:cols>
          <w:pgMar w:left="240" w:top="121" w:right="6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Throughout this discussion, we compare results of operations for the year ended December 31, 2012 ("2012") to the year ended December 31, 2011 (“2011” or "the comparable period").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Despite a poor start in the first quarter of 2012 and very little revenue growth in the second and third quarters of 2012, we attained higher revenue in 2012 when compared to 2011 due to a strong finish in the fourth quarter of 2012.</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February 16, 2012, we completed the acquisition of the video conferencing business of Israel-based VCON Video Conferencing, Ltd. (“VCON”). VCON was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have provided us with complementary technology opportunities allowing us to enter new growth markets. Pursuant to the asset purchase agreement, ClearOne paid consideration of $4.6 million in cash to VCON for all VCON's assets, including intellectual property, fixed assets and inventory and assumed no debt.</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Overall revenue increased marginally in 2012 due to the contribution of additional revenue from the businesses acquired in 2011 and 2012 and due to growth in revenue from unified communications audio end points. Revenue from our professional audio communication products declined slightly in 2012. Our gross profit during 2012 declined marginally while our net income surged to $26.6 million from $6.9 million in 2011. Net income in 2012 and 2011 benefited by credits of $38.5 million and $3.7 million, respectively, from litigation proceeds.</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derive a major portion (approximately 69%) of our revenue from the Americas, which include North America and Latin America. Our share of revenue from foreign markets outside the Americas was slightly higher in 2012 when compared to 2011.</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audio visual products market is characterized by intense competition and rapidly evolving technology. Our competitors vary within each product category. The professional audio communication products, which contribute the most to our revenue, despite a small decline in revenues in 2012, continues to perform strongly largely due to our professional microphone products and our popular mid-tier premium conferencing products. Despite our strong leadership position in the professional audio communications products market, we face challenges to revenue growth due to continuing popularity of mid-tier premium conferencing products within the product mix in opposition to higher cost professional conferencing products. Revenue from unified communications audio end points grew in 2012 despite increasing competition in the personal conferencing products market. The additional revenue from visual communication products through acquisitions in 2011 and 2012 contributed to our overall growth.</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the recently introduced professional microphone products will complement our professional conferencing products and drive our revenue growth. We intend to increase our penetration of the unified communications audio end points market through deepening and expanding our partnerships with large IT distributors. We believe we are also well positioned to capitalize on the continuing migration away from the traditional hardware based video conferencing to software based video conferencing.</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the momentum derived from the strong fourth quarter in 2012 will continue into 2013 if the underlying global economic conditions do not weaken. Even though our cash position has increased due to the recent receipt of settlement proceeds, recent acquisitions will increase our operating costs. We will continue to exercise fiscal discipline and balance the need to invest in the growth of our product offerings' future against the need to maintain the profitability of the company.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RESULTS OF OPERATIONS - YEAR ENDED DECEMBER 31, 2012 COMPARED TO YEAR ENDED DECEMBER 31, 2011</w:t>
      </w: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years ended December 31, 2012 and 2011, together with the percentage of total revenue which each item represents.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700"/>
              <w:spacing w:after="0"/>
              <w:rPr>
                <w:sz w:val="20"/>
                <w:szCs w:val="20"/>
                <w:color w:val="auto"/>
              </w:rPr>
            </w:pPr>
            <w:r>
              <w:rPr>
                <w:rFonts w:ascii="Arial" w:cs="Arial" w:eastAsia="Arial" w:hAnsi="Arial"/>
                <w:sz w:val="14"/>
                <w:szCs w:val="14"/>
                <w:b w:val="1"/>
                <w:bCs w:val="1"/>
                <w:color w:val="auto"/>
              </w:rPr>
              <w:t>Variance</w:t>
            </w:r>
          </w:p>
        </w:tc>
        <w:tc>
          <w:tcPr>
            <w:tcW w:w="800" w:type="dxa"/>
            <w:vAlign w:val="bottom"/>
          </w:tcPr>
          <w:p>
            <w:pPr>
              <w:spacing w:after="0"/>
              <w:rPr>
                <w:sz w:val="16"/>
                <w:szCs w:val="16"/>
                <w:color w:val="auto"/>
              </w:rPr>
            </w:pPr>
          </w:p>
        </w:tc>
      </w:tr>
      <w:tr>
        <w:trPr>
          <w:trHeight w:val="276"/>
        </w:trPr>
        <w:tc>
          <w:tcPr>
            <w:tcW w:w="3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Favorable (Unfavorable)</w:t>
            </w:r>
          </w:p>
        </w:tc>
      </w:tr>
      <w:tr>
        <w:trPr>
          <w:trHeight w:val="264"/>
        </w:trPr>
        <w:tc>
          <w:tcPr>
            <w:tcW w:w="3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 Revenue</w:t>
            </w:r>
          </w:p>
        </w:tc>
        <w:tc>
          <w:tcPr>
            <w:tcW w:w="240" w:type="dxa"/>
            <w:vAlign w:val="bottom"/>
          </w:tcPr>
          <w:p>
            <w:pPr>
              <w:spacing w:after="0"/>
              <w:rPr>
                <w:sz w:val="22"/>
                <w:szCs w:val="22"/>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Revenue</w:t>
            </w:r>
          </w:p>
        </w:tc>
        <w:tc>
          <w:tcPr>
            <w:tcW w:w="240" w:type="dxa"/>
            <w:vAlign w:val="bottom"/>
          </w:tcPr>
          <w:p>
            <w:pPr>
              <w:spacing w:after="0"/>
              <w:rPr>
                <w:sz w:val="22"/>
                <w:szCs w:val="22"/>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19,089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18,522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27,328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8,261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42,521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31,949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302.2 %</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42,555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31,959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301.6 %</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333.8 %</w:t>
            </w:r>
          </w:p>
        </w:tc>
      </w:tr>
      <w:tr>
        <w:trPr>
          <w:trHeight w:val="25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26,647</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19,718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284.6 %</w:t>
            </w: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revenue was $46.4 million for the year ended December 31, 2012 compared to $46.1 million for the comparable period. Revenue during 2012 increased by approximately $350 thousand, or 0.8%, from the comparable period. The additional revenue in 2012 from visual audio products resulting from our acquisitions and the increase in revenue by 3% from unified communications audio end points contributed to the marginal increase in revenue in 2012. The above increases were partially offset by a decline of 3% in revenue from professional audio communications products. The share of professional audio communications products in our mix decreased from approximately 73% in 2011 to approximately 70% in 2012. During 2012 revenue from Europe, Middle East and Africa grew by 13% while revenue from the Americas declined by 1%.</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At each quarter 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During 2012 and 2011, the change in deferred revenue based on the movement of inventory in the channel was a deferral of revenue of $190 thousand and a recognition of revenue of $902 thousand,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gross profit during 2012 was approximately $27.3 million compared to approximately $27.5 million in the comparable period, a decrease of 0.8%. The decrease in gross profit was primarily due to increased obsolescence costs associated with inventory. Gross profit margins (“GPM”), or gross profit as a percentage of sales, declined to 59% in 2012 from 60% in 2011.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audio communications products. We hold considerable amounts of long-term inventory and if we are unable to sell our long-term inventory, profitability might be affected by inventory write-offs and price mark-downs.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Operating profits (losses),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after excluding net litigation proceeds were $23.3 million in 2012 compared to $20.7 million during the comparable period. Net litigation proceeds were $38.5 million in 2012 compared to $3.7 million in 2011. Following is a more detailed discussion of expenses related to sales and marketing, research and product development, general and administrative, and other items.</w:t>
      </w:r>
    </w:p>
    <w:p>
      <w:pPr>
        <w:spacing w:after="0" w:line="169"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b w:val="1"/>
          <w:bCs w:val="1"/>
          <w:u w:val="single" w:color="auto"/>
          <w:color w:val="auto"/>
        </w:rPr>
        <w:t>Sales and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sales, customer service, and marketing expense such as employee-related costs, allocations of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trade shows, and other advertising and selling expenses. Total S&amp;M expenses were approximately $8.1 million in both 2012 and 2011. S&amp;M expenses as a percentage of revenue also remained the same in both 2012 and 2011.</w:t>
      </w:r>
    </w:p>
    <w:p>
      <w:pPr>
        <w:spacing w:after="0" w:line="176"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u w:val="single" w:color="auto"/>
          <w:color w:val="auto"/>
        </w:rPr>
        <w:t>Research and Product Development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 Total R&amp;D expenses were $8.3 million in 2012 compared to $7.1 million during the comparable period. As a percentage of revenue, R&amp;D expenses increased to</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17.8% in 2012 compared to 15.5% in 2011. The increase in R&amp;D expenses was primarily due to increases in employee-related costs due to recent acquisitions and increased headcount, increase in consulting fees and accelerated amortization of certain R&amp;D assets.</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u w:val="single" w:color="auto"/>
          <w:color w:val="auto"/>
        </w:rPr>
        <w:t>General and Administrative</w:t>
      </w:r>
      <w:r>
        <w:rPr>
          <w:rFonts w:ascii="Arial" w:cs="Arial" w:eastAsia="Arial" w:hAnsi="Arial"/>
          <w:sz w:val="17"/>
          <w:szCs w:val="17"/>
          <w:b w:val="1"/>
          <w:bCs w:val="1"/>
          <w:color w:val="auto"/>
        </w:rPr>
        <w:t xml:space="preserve">. </w:t>
      </w:r>
      <w:r>
        <w:rPr>
          <w:rFonts w:ascii="Arial" w:cs="Arial" w:eastAsia="Arial" w:hAnsi="Arial"/>
          <w:sz w:val="17"/>
          <w:szCs w:val="17"/>
          <w:color w:val="auto"/>
        </w:rPr>
        <w:t>G&amp;A expenses include employee-related costs, professional service fees, allocations of overhead expenses, litigation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administrative costs, including costs related to finance and human resources. Total G&amp;A expenses were approximately $6.9 million in 2012 compared with approximately $5.4 million in 2011. The increase in G&amp;A expenses was primarily due to special bonuses awarded to key contributors to litigation settlement, increased costs associated with the recently acquired operations of video conferencing business, an increase in amortization of intangibles, an increase in legal expenses. These increases were partially offset by a reduction in bad debts.</w:t>
      </w:r>
    </w:p>
    <w:p>
      <w:pPr>
        <w:spacing w:after="0" w:line="168" w:lineRule="exact"/>
        <w:rPr>
          <w:sz w:val="20"/>
          <w:szCs w:val="20"/>
          <w:color w:val="auto"/>
        </w:rPr>
      </w:pPr>
    </w:p>
    <w:p>
      <w:pPr>
        <w:ind w:right="60"/>
        <w:spacing w:after="0" w:line="277" w:lineRule="auto"/>
        <w:rPr>
          <w:rFonts w:ascii="Arial" w:cs="Arial" w:eastAsia="Arial" w:hAnsi="Arial"/>
          <w:sz w:val="17"/>
          <w:szCs w:val="17"/>
          <w:color w:val="000000"/>
        </w:rPr>
      </w:pPr>
      <w:r>
        <w:rPr>
          <w:rFonts w:ascii="Arial" w:cs="Arial" w:eastAsia="Arial" w:hAnsi="Arial"/>
          <w:sz w:val="17"/>
          <w:szCs w:val="17"/>
          <w:b w:val="1"/>
          <w:bCs w:val="1"/>
          <w:u w:val="single" w:color="auto"/>
          <w:color w:val="auto"/>
        </w:rPr>
        <w:t>Proceeds from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We received $45 million from UBS as settlement of a dispute, that was under arbitration. The settlement award was subject to a</w:t>
      </w:r>
      <w:r>
        <w:rPr>
          <w:rFonts w:ascii="Arial" w:cs="Arial" w:eastAsia="Arial" w:hAnsi="Arial"/>
          <w:sz w:val="17"/>
          <w:szCs w:val="17"/>
          <w:b w:val="1"/>
          <w:bCs w:val="1"/>
          <w:color w:val="auto"/>
        </w:rPr>
        <w:t xml:space="preserve"> </w:t>
      </w:r>
      <w:hyperlink w:anchor="page51">
        <w:r>
          <w:rPr>
            <w:rFonts w:ascii="Arial" w:cs="Arial" w:eastAsia="Arial" w:hAnsi="Arial"/>
            <w:sz w:val="17"/>
            <w:szCs w:val="17"/>
            <w:color w:val="auto"/>
          </w:rPr>
          <w:t xml:space="preserve">15% contingency legal fee of $6.75 million paid in December 2012 to our litigation counsel. (See section titled "ARS Special Arbitration" under </w:t>
        </w:r>
        <w:r>
          <w:rPr>
            <w:rFonts w:ascii="Arial" w:cs="Arial" w:eastAsia="Arial" w:hAnsi="Arial"/>
            <w:sz w:val="17"/>
            <w:szCs w:val="17"/>
            <w:u w:val="single" w:color="auto"/>
            <w:color w:val="0000FF"/>
          </w:rPr>
          <w:t>Note 8 -</w:t>
        </w:r>
      </w:hyperlink>
      <w:r>
        <w:rPr>
          <w:rFonts w:ascii="Arial" w:cs="Arial" w:eastAsia="Arial" w:hAnsi="Arial"/>
          <w:sz w:val="17"/>
          <w:szCs w:val="17"/>
          <w:color w:val="auto"/>
        </w:rPr>
        <w:t xml:space="preserve"> </w:t>
      </w:r>
      <w:hyperlink w:anchor="page51">
        <w:r>
          <w:rPr>
            <w:rFonts w:ascii="Arial" w:cs="Arial" w:eastAsia="Arial" w:hAnsi="Arial"/>
            <w:sz w:val="17"/>
            <w:szCs w:val="17"/>
            <w:u w:val="single" w:color="auto"/>
            <w:color w:val="0000FF"/>
          </w:rPr>
          <w:t>Commitments and Contingencies</w:t>
        </w:r>
        <w:r>
          <w:rPr>
            <w:rFonts w:ascii="Arial" w:cs="Arial" w:eastAsia="Arial" w:hAnsi="Arial"/>
            <w:sz w:val="17"/>
            <w:szCs w:val="17"/>
            <w:color w:val="0000FF"/>
          </w:rPr>
          <w:t xml:space="preserve"> </w:t>
        </w:r>
        <w:r>
          <w:rPr>
            <w:rFonts w:ascii="Arial" w:cs="Arial" w:eastAsia="Arial" w:hAnsi="Arial"/>
            <w:sz w:val="17"/>
            <w:szCs w:val="17"/>
            <w:color w:val="000000"/>
          </w:rPr>
          <w:t xml:space="preserve">to our Consolidated Financial Statements). We recognized in 2011 income of approximately $3.7 million received from </w:t>
        </w:r>
      </w:hyperlink>
      <w:r>
        <w:rPr>
          <w:rFonts w:ascii="Arial" w:cs="Arial" w:eastAsia="Arial" w:hAnsi="Arial"/>
          <w:sz w:val="17"/>
          <w:szCs w:val="17"/>
          <w:color w:val="0000FF"/>
        </w:rPr>
        <w:t xml:space="preserve">one </w:t>
      </w:r>
      <w:r>
        <w:rPr>
          <w:rFonts w:ascii="Arial" w:cs="Arial" w:eastAsia="Arial" w:hAnsi="Arial"/>
          <w:sz w:val="17"/>
          <w:szCs w:val="17"/>
          <w:color w:val="000000"/>
        </w:rPr>
        <w:t xml:space="preserve">of our competitors upon our successful litigation in the matter related to the theft of our intellectual property. (See section titled "Theft of our Intellectual Property and Related Cases” under </w:t>
      </w:r>
      <w:hyperlink w:anchor="page51">
        <w:r>
          <w:rPr>
            <w:rFonts w:ascii="Arial" w:cs="Arial" w:eastAsia="Arial" w:hAnsi="Arial"/>
            <w:sz w:val="17"/>
            <w:szCs w:val="17"/>
            <w:u w:val="single" w:color="auto"/>
            <w:color w:val="0000FF"/>
          </w:rPr>
          <w:t>Note 8 - Commitments and Contingencies</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to our Consolidated Financial Statements).</w:t>
      </w:r>
    </w:p>
    <w:p>
      <w:pPr>
        <w:spacing w:after="0" w:line="16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rFonts w:ascii="Arial" w:cs="Arial" w:eastAsia="Arial" w:hAnsi="Arial"/>
          <w:sz w:val="17"/>
          <w:szCs w:val="17"/>
          <w:color w:val="auto"/>
        </w:rPr>
      </w:pPr>
    </w:p>
    <w:p>
      <w:pPr>
        <w:ind w:right="160"/>
        <w:spacing w:after="0" w:line="277" w:lineRule="auto"/>
        <w:rPr>
          <w:sz w:val="20"/>
          <w:szCs w:val="20"/>
          <w:color w:val="auto"/>
        </w:rPr>
      </w:pPr>
      <w:r>
        <w:rPr>
          <w:rFonts w:ascii="Arial" w:cs="Arial" w:eastAsia="Arial" w:hAnsi="Arial"/>
          <w:sz w:val="18"/>
          <w:szCs w:val="18"/>
          <w:color w:val="auto"/>
        </w:rPr>
        <w:t>The tax expense of $15.9 million during 2012 was primarily the result of tax on current year income. This compared to a tax expense of $3.7 million during 2011.</w:t>
      </w:r>
    </w:p>
    <w:p>
      <w:pPr>
        <w:spacing w:after="0" w:line="166"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rFonts w:ascii="Arial" w:cs="Arial" w:eastAsia="Arial" w:hAnsi="Arial"/>
          <w:sz w:val="17"/>
          <w:szCs w:val="17"/>
          <w:color w:val="auto"/>
        </w:rPr>
      </w:pPr>
    </w:p>
    <w:p>
      <w:pPr>
        <w:ind w:right="20"/>
        <w:spacing w:after="0" w:line="277" w:lineRule="auto"/>
        <w:rPr>
          <w:sz w:val="20"/>
          <w:szCs w:val="20"/>
          <w:color w:val="auto"/>
        </w:rPr>
      </w:pPr>
      <w:r>
        <w:rPr>
          <w:rFonts w:ascii="Arial" w:cs="Arial" w:eastAsia="Arial" w:hAnsi="Arial"/>
          <w:sz w:val="18"/>
          <w:szCs w:val="18"/>
          <w:color w:val="auto"/>
        </w:rPr>
        <w:t>As of December 31, 2012, our cash and cash equivalents were approximately $55.5 million compared to $16.7 million as of December 31, 2011. Our working capital was $56.5 million and $32.7 million as of December 31, 2012 and December 31, 2011, respectively.</w:t>
      </w:r>
    </w:p>
    <w:p>
      <w:pPr>
        <w:spacing w:after="0" w:line="170" w:lineRule="exact"/>
        <w:rPr>
          <w:rFonts w:ascii="Arial" w:cs="Arial" w:eastAsia="Arial" w:hAnsi="Arial"/>
          <w:sz w:val="17"/>
          <w:szCs w:val="17"/>
          <w:color w:val="auto"/>
        </w:rPr>
      </w:pPr>
    </w:p>
    <w:p>
      <w:pPr>
        <w:ind w:right="60"/>
        <w:spacing w:after="0" w:line="286" w:lineRule="auto"/>
        <w:rPr>
          <w:sz w:val="20"/>
          <w:szCs w:val="20"/>
          <w:color w:val="auto"/>
        </w:rPr>
      </w:pPr>
      <w:r>
        <w:rPr>
          <w:rFonts w:ascii="Arial" w:cs="Arial" w:eastAsia="Arial" w:hAnsi="Arial"/>
          <w:sz w:val="17"/>
          <w:szCs w:val="17"/>
          <w:color w:val="auto"/>
        </w:rPr>
        <w:t>Net cash flows provided by operating activities were approximately $43.9 million during 2012, an increase of approximately $38.1 million, compared to $5.8 million in 2011. The increase was primarily due to higher net income resulting from net litigation proceeds, an increase in deferred revenue and increased cash inflows on inventory. These increases in cash inflows were partially offset by outflows on reduced accounts payable.</w:t>
      </w:r>
    </w:p>
    <w:p>
      <w:pPr>
        <w:spacing w:after="0" w:line="200" w:lineRule="exact"/>
        <w:rPr>
          <w:rFonts w:ascii="Arial" w:cs="Arial" w:eastAsia="Arial" w:hAnsi="Arial"/>
          <w:sz w:val="17"/>
          <w:szCs w:val="17"/>
          <w:color w:val="auto"/>
        </w:rPr>
      </w:pPr>
    </w:p>
    <w:p>
      <w:pPr>
        <w:spacing w:after="0" w:line="209"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1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Net cash flows used in investing activities were $5.2 million during 2012 compared to net cash flows used in investing activities of $1.4 million during 2011. During 2012, the cash outflows on investing activities consisted of the acquisition of VCON's business for $4.6 million and the purchase of property and equipment. During 2011, the cash outflows on investing activities consisted of the acquisition of MagicBox's business for $980 thousand and the purchase of property and equipment. Please refer to </w:t>
      </w:r>
      <w:hyperlink w:anchor="page46">
        <w:r>
          <w:rPr>
            <w:rFonts w:ascii="Arial" w:cs="Arial" w:eastAsia="Arial" w:hAnsi="Arial"/>
            <w:sz w:val="18"/>
            <w:szCs w:val="18"/>
            <w:u w:val="single" w:color="auto"/>
            <w:color w:val="0000FF"/>
          </w:rPr>
          <w:t>Note 3 - Business Combinations, Goodwill and Intangible Assets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Consolidated Financial Statements (Part II, Item 8) for details on the acquisitions in 2012 and 2011.</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provided by financing activities in 2012 consisted of proceeds received from the exercise of stock options amounting to $490 thousand and associated tax benefits of $2 thousand, offset by the acquisition of outstanding stock totaling $384 thousand under the stock repurchase program. Net cash provided by financing activities in 2011 consisted of proceeds from the exercise of stock options totaling $747 thousand and associated tax benefits totaling $66 thousand.</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5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At December 31, 2012, we had open purchase orders related to our electronics manufacturing service providers and other contractual obligations of approximately $4.0 million, primarily related to inventory purchases.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2012, we had inventory totaling $12.8 million out of which non-current inventory accounted for $2.0 million. This compares to total inventories of $14.5 million and non-current inventory of $1.9 million as of December 31, 2011. As our business prospects continue to improve, we expect to continue to reduce our non-current inventory and convert it into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0" w:lineRule="auto"/>
        <w:rPr>
          <w:rFonts w:ascii="Arial" w:cs="Arial" w:eastAsia="Arial" w:hAnsi="Arial"/>
          <w:sz w:val="17"/>
          <w:szCs w:val="17"/>
          <w:color w:val="0000FF"/>
        </w:rPr>
      </w:pPr>
      <w:r>
        <w:rPr>
          <w:rFonts w:ascii="Arial" w:cs="Arial" w:eastAsia="Arial" w:hAnsi="Arial"/>
          <w:sz w:val="17"/>
          <w:szCs w:val="17"/>
          <w:color w:val="auto"/>
        </w:rPr>
        <w:t xml:space="preserve">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w:t>
      </w:r>
      <w:hyperlink w:anchor="page42">
        <w:r>
          <w:rPr>
            <w:rFonts w:ascii="Arial" w:cs="Arial" w:eastAsia="Arial" w:hAnsi="Arial"/>
            <w:sz w:val="17"/>
            <w:szCs w:val="17"/>
            <w:color w:val="auto"/>
          </w:rPr>
          <w:t xml:space="preserve">estimates we use are reasonable; however, actual results could differ from those estimates. Our significant accounting policies are described in </w:t>
        </w:r>
        <w:r>
          <w:rPr>
            <w:rFonts w:ascii="Arial" w:cs="Arial" w:eastAsia="Arial" w:hAnsi="Arial"/>
            <w:sz w:val="17"/>
            <w:szCs w:val="17"/>
            <w:u w:val="single" w:color="auto"/>
            <w:color w:val="0000FF"/>
          </w:rPr>
          <w:t>Note 2 -</w:t>
        </w:r>
      </w:hyperlink>
      <w:r>
        <w:rPr>
          <w:rFonts w:ascii="Arial" w:cs="Arial" w:eastAsia="Arial" w:hAnsi="Arial"/>
          <w:sz w:val="17"/>
          <w:szCs w:val="17"/>
          <w:color w:val="auto"/>
        </w:rPr>
        <w:t xml:space="preserve"> </w:t>
      </w:r>
      <w:hyperlink w:anchor="page42">
        <w:r>
          <w:rPr>
            <w:rFonts w:ascii="Arial" w:cs="Arial" w:eastAsia="Arial" w:hAnsi="Arial"/>
            <w:sz w:val="17"/>
            <w:szCs w:val="17"/>
            <w:u w:val="single" w:color="auto"/>
            <w:color w:val="0000FF"/>
          </w:rPr>
          <w:t>Summary of Significant Accounting Policies</w:t>
        </w:r>
        <w:r>
          <w:rPr>
            <w:rFonts w:ascii="Arial" w:cs="Arial" w:eastAsia="Arial" w:hAnsi="Arial"/>
            <w:sz w:val="17"/>
            <w:szCs w:val="17"/>
            <w:color w:val="0000FF"/>
          </w:rPr>
          <w:t xml:space="preserve"> </w:t>
        </w:r>
        <w:r>
          <w:rPr>
            <w:rFonts w:ascii="Arial" w:cs="Arial" w:eastAsia="Arial" w:hAnsi="Arial"/>
            <w:sz w:val="17"/>
            <w:szCs w:val="17"/>
            <w:color w:val="000000"/>
          </w:rPr>
          <w:t>to the Consolidated Financial Statements included in Part II, Item 8 of this report. We believe the following</w:t>
        </w:r>
      </w:hyperlink>
      <w:r>
        <w:rPr>
          <w:rFonts w:ascii="Arial" w:cs="Arial" w:eastAsia="Arial" w:hAnsi="Arial"/>
          <w:sz w:val="17"/>
          <w:szCs w:val="17"/>
          <w:color w:val="0000FF"/>
        </w:rPr>
        <w:t xml:space="preserve"> </w:t>
      </w:r>
      <w:r>
        <w:rPr>
          <w:rFonts w:ascii="Arial" w:cs="Arial" w:eastAsia="Arial" w:hAnsi="Arial"/>
          <w:sz w:val="17"/>
          <w:szCs w:val="17"/>
          <w:color w:val="000000"/>
        </w:rPr>
        <w:t>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 used program, once a quarter, a distributor is allowed to return products purchased during the prior quarter for a total value generally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As of December 31,</w:t>
            </w:r>
          </w:p>
        </w:tc>
        <w:tc>
          <w:tcPr>
            <w:tcW w:w="1640" w:type="dxa"/>
            <w:vAlign w:val="bottom"/>
            <w:tcBorders>
              <w:bottom w:val="single" w:sz="8" w:color="auto"/>
            </w:tcBorders>
          </w:tcPr>
          <w:p>
            <w:pPr>
              <w:spacing w:after="0"/>
              <w:rPr>
                <w:sz w:val="16"/>
                <w:szCs w:val="16"/>
                <w:color w:val="auto"/>
              </w:rPr>
            </w:pPr>
          </w:p>
        </w:tc>
      </w:tr>
      <w:tr>
        <w:trPr>
          <w:trHeight w:val="264"/>
        </w:trPr>
        <w:tc>
          <w:tcPr>
            <w:tcW w:w="63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2011</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3,404</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7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1,199</w:t>
            </w:r>
          </w:p>
        </w:tc>
      </w:tr>
      <w:tr>
        <w:trPr>
          <w:trHeight w:val="27"/>
        </w:trPr>
        <w:tc>
          <w:tcPr>
            <w:tcW w:w="63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2,205</w:t>
            </w:r>
          </w:p>
        </w:tc>
      </w:tr>
      <w:tr>
        <w:trPr>
          <w:trHeight w:val="20"/>
        </w:trPr>
        <w:tc>
          <w:tcPr>
            <w:tcW w:w="6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allocated the purchase price for the acquisitions of NetStreams in 2009, MagicBox in 2011 and VCON in 2012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association with the acquisition of NetStreams, $726 thousand and $400 thousand were recorded as goodwill and intangible assets with indefinite useful life, respectively. With respect to the MagicBox acquisition, $427 thousand and $159 thousand were recorded as goodwill and intangible assets with indefinite useful life, respectively. Goodwill of $2.3 million was recorded in connection with the VCON acquisition. There were no impairments recorded in 2012 or 2011 as no impairment indicators existed. However, due to uncertainty in the industrial, technological, and competitive environments in which we operate, we might be required to exit or dispose of the assets acquired through the NetStreams, MagicBox or VCON acquisitions, which could result in an impairment of goodwill and intangible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40"/>
        <w:spacing w:after="0" w:line="297" w:lineRule="auto"/>
        <w:rPr>
          <w:rFonts w:ascii="Arial" w:cs="Arial" w:eastAsia="Arial" w:hAnsi="Arial"/>
          <w:sz w:val="16"/>
          <w:szCs w:val="16"/>
          <w:color w:val="auto"/>
        </w:rPr>
      </w:pPr>
      <w:r>
        <w:rPr>
          <w:rFonts w:ascii="Arial" w:cs="Arial" w:eastAsia="Arial" w:hAnsi="Arial"/>
          <w:sz w:val="16"/>
          <w:szCs w:val="16"/>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2012 and determined that based upon available evidence it is more likely than not that certain of our deferred tax assets related to capital loss carryovers and state research and development credits will not be realized and, accordingly, we have recorded a valuation allowance against these deferred tax assets in the amount of $270 thousand. Please refer to </w:t>
      </w:r>
      <w:hyperlink w:anchor="page55">
        <w:r>
          <w:rPr>
            <w:rFonts w:ascii="Arial" w:cs="Arial" w:eastAsia="Arial" w:hAnsi="Arial"/>
            <w:sz w:val="16"/>
            <w:szCs w:val="16"/>
            <w:u w:val="single" w:color="auto"/>
            <w:color w:val="0000FF"/>
          </w:rPr>
          <w:t>Note 11 - Income Taxes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Consolidated Financial Statements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Prior to June 30, 2005, and as permitted under the then existing FASB guidelines under SFAS No. 123, “Accounting for Stock-Based Compensation,” we accounted for our share-based payments following the recognition and measurement principles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00" w:lineRule="exact"/>
        <w:rPr>
          <w:sz w:val="20"/>
          <w:szCs w:val="20"/>
          <w:color w:val="auto"/>
        </w:rPr>
      </w:pPr>
    </w:p>
    <w:p>
      <w:pPr>
        <w:spacing w:after="0" w:line="26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After evaluating the recent accounting pronouncements through the date of this filing, the Company has concluded that application of them will have no material impact on the Company’s financial results.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Financial statements and supplementary data required by this are included herein as a </w:t>
      </w:r>
      <w:hyperlink w:anchor="page33">
        <w:r>
          <w:rPr>
            <w:rFonts w:ascii="Arial" w:cs="Arial" w:eastAsia="Arial" w:hAnsi="Arial"/>
            <w:sz w:val="18"/>
            <w:szCs w:val="18"/>
            <w:u w:val="single" w:color="auto"/>
            <w:color w:val="0000FF"/>
          </w:rPr>
          <w:t>separate section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 beginning on page F-1 and are incorporated in this Item 8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Principal Financial Officer, of the effectiveness and the design and operation of our disclosure controls and procedures as of December 31, 2012. Our disclosure controls and procedures are designed to provide reasonable assurance of achieving their objectives, and based upon this evaluation, our Chief Executive Officer and Principal Financial Officer concluded that, as of the end of the period covered by this Annual Report, our disclosure controls and procedures are effective at a reasonable assurance level.</w:t>
      </w:r>
    </w:p>
    <w:p>
      <w:pPr>
        <w:spacing w:after="0" w:line="193"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r>
        <w:rPr>
          <w:rFonts w:ascii="Arial" w:cs="Arial" w:eastAsia="Arial" w:hAnsi="Arial"/>
          <w:sz w:val="19"/>
          <w:szCs w:val="19"/>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December 31, 2012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our assessment using that criteria, management concluded that the design and operation of our internal control over financial reporting were effective as of December 31, 2012.</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the rules of the SEC applicable to smaller reporting companies.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significant changes in our internal control over financial reporting that occurred during the fourth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to the definitive proxy statement for our 2013 annual meeting of shareholders.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to the definitive proxy statement for our 2013 annual meeting of shareholders.</w:t>
      </w:r>
    </w:p>
    <w:p>
      <w:pPr>
        <w:spacing w:after="0" w:line="3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to the definitive proxy statement for our 2013 annual meeting of shareholders.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to the definitive proxy statement for our 2013 annual meeting of shareholders.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to the definitive proxy statement for our 2013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40"/>
          </w:cols>
          <w:pgMar w:left="240" w:top="121" w:right="7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line="277" w:lineRule="auto"/>
        <w:tabs>
          <w:tab w:leader="none" w:pos="1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 are filed in a separate section of this Form 10-K. See "Index to Consolidated Financial Statements" on page F-1.</w:t>
      </w:r>
    </w:p>
    <w:p>
      <w:pPr>
        <w:spacing w:after="0" w:line="278" w:lineRule="exact"/>
        <w:rPr>
          <w:rFonts w:ascii="Arial" w:cs="Arial" w:eastAsia="Arial" w:hAnsi="Arial"/>
          <w:sz w:val="18"/>
          <w:szCs w:val="18"/>
          <w:color w:val="auto"/>
        </w:rPr>
      </w:pPr>
    </w:p>
    <w:p>
      <w:pPr>
        <w:ind w:left="260" w:right="640" w:hanging="252"/>
        <w:spacing w:after="0" w:line="277" w:lineRule="auto"/>
        <w:tabs>
          <w:tab w:leader="none" w:pos="1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278"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180"/>
          </w:cols>
          <w:pgMar w:left="240" w:top="121" w:right="4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766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4"/>
                <w:szCs w:val="14"/>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4"/>
                <w:szCs w:val="14"/>
                <w:color w:val="auto"/>
              </w:rPr>
            </w:pP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05"/>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7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tcPr>
          <w:p>
            <w:pPr>
              <w:ind w:lef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w w:val="93"/>
              </w:rPr>
              <w:t>Agreement and Plan of Merger, dated as of November 3, 2009, by and among ClearOne Communications, Inc., Alta-</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11/9/2009</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Wasatch Acquisition Corporation, NetStreams, Inc., Austin Ventures VIII, L.P., and Kevin A. Reinis.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40" w:type="dxa"/>
            <w:vAlign w:val="bottom"/>
          </w:tcPr>
          <w:p>
            <w:pPr>
              <w:ind w:lef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Bylaws</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10-K</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3/31/2011</w:t>
            </w:r>
          </w:p>
        </w:tc>
        <w:tc>
          <w:tcPr>
            <w:tcW w:w="0" w:type="dxa"/>
            <w:vAlign w:val="bottom"/>
          </w:tcPr>
          <w:p>
            <w:pPr>
              <w:spacing w:after="0"/>
              <w:rPr>
                <w:sz w:val="1"/>
                <w:szCs w:val="1"/>
                <w:color w:val="auto"/>
              </w:rPr>
            </w:pPr>
          </w:p>
        </w:tc>
      </w:tr>
      <w:tr>
        <w:trPr>
          <w:trHeight w:val="266"/>
        </w:trPr>
        <w:tc>
          <w:tcPr>
            <w:tcW w:w="1040" w:type="dxa"/>
            <w:vAlign w:val="bottom"/>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3"/>
                <w:szCs w:val="23"/>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w w:val="92"/>
              </w:rPr>
              <w:t>Employment Separation Agreement between ClearOne Communications, Inc. and Frances Flood, dated December 5,</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10-K</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8/18/2005</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tcPr>
          <w:p>
            <w:pPr>
              <w:ind w:left="40"/>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40" w:type="dxa"/>
            <w:vAlign w:val="bottom"/>
          </w:tcPr>
          <w:p>
            <w:pPr>
              <w:ind w:lef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w w:val="94"/>
              </w:rPr>
              <w:t>Employment Termination Agreement between ClearOne Communications, Inc. and Susie Strohm, dated December</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10-K</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8/18/2005</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tcPr>
          <w:p>
            <w:pPr>
              <w:ind w:left="40"/>
              <w:spacing w:after="0"/>
              <w:rPr>
                <w:sz w:val="20"/>
                <w:szCs w:val="20"/>
                <w:color w:val="auto"/>
              </w:rPr>
            </w:pPr>
            <w:r>
              <w:rPr>
                <w:rFonts w:ascii="Arial" w:cs="Arial" w:eastAsia="Arial" w:hAnsi="Arial"/>
                <w:sz w:val="16"/>
                <w:szCs w:val="16"/>
                <w:color w:val="auto"/>
              </w:rPr>
              <w:t>5, 2003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40" w:type="dxa"/>
            <w:vAlign w:val="bottom"/>
          </w:tcPr>
          <w:p>
            <w:pPr>
              <w:ind w:lef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1997 Employee Stock Purchase Plan</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S-8</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10/6/2006</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1998 Stock Option Plan</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S-8</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10/6/2006</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2007 Equity Incentive Plan</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S-8</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1/22/2008</w:t>
            </w:r>
          </w:p>
        </w:tc>
        <w:tc>
          <w:tcPr>
            <w:tcW w:w="0" w:type="dxa"/>
            <w:vAlign w:val="bottom"/>
          </w:tcPr>
          <w:p>
            <w:pPr>
              <w:spacing w:after="0"/>
              <w:rPr>
                <w:sz w:val="1"/>
                <w:szCs w:val="1"/>
                <w:color w:val="auto"/>
              </w:rPr>
            </w:pPr>
          </w:p>
        </w:tc>
      </w:tr>
      <w:tr>
        <w:trPr>
          <w:trHeight w:val="270"/>
        </w:trPr>
        <w:tc>
          <w:tcPr>
            <w:tcW w:w="1040" w:type="dxa"/>
            <w:vAlign w:val="bottom"/>
          </w:tcPr>
          <w:p>
            <w:pPr>
              <w:ind w:left="4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w w:val="97"/>
              </w:rPr>
              <w:t>Office Lease between Edgewater Corporate Park, LLC and ClearOne Communications, Inc. dated June 5, 2006</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10-K</w:t>
            </w:r>
          </w:p>
        </w:tc>
        <w:tc>
          <w:tcPr>
            <w:tcW w:w="660" w:type="dxa"/>
            <w:vAlign w:val="bottom"/>
          </w:tcPr>
          <w:p>
            <w:pPr>
              <w:jc w:val="center"/>
              <w:spacing w:after="0"/>
              <w:rPr>
                <w:sz w:val="20"/>
                <w:szCs w:val="20"/>
                <w:color w:val="auto"/>
              </w:rPr>
            </w:pPr>
            <w:r>
              <w:rPr>
                <w:rFonts w:ascii="Arial" w:cs="Arial" w:eastAsia="Arial" w:hAnsi="Arial"/>
                <w:sz w:val="16"/>
                <w:szCs w:val="16"/>
                <w:color w:val="auto"/>
                <w:w w:val="94"/>
              </w:rPr>
              <w:t>10.19</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9/14/2006</w:t>
            </w:r>
          </w:p>
        </w:tc>
        <w:tc>
          <w:tcPr>
            <w:tcW w:w="0" w:type="dxa"/>
            <w:vAlign w:val="bottom"/>
          </w:tcPr>
          <w:p>
            <w:pPr>
              <w:spacing w:after="0"/>
              <w:rPr>
                <w:sz w:val="1"/>
                <w:szCs w:val="1"/>
                <w:color w:val="auto"/>
              </w:rPr>
            </w:pPr>
          </w:p>
        </w:tc>
      </w:tr>
      <w:tr>
        <w:trPr>
          <w:trHeight w:val="266"/>
        </w:trPr>
        <w:tc>
          <w:tcPr>
            <w:tcW w:w="1040" w:type="dxa"/>
            <w:vAlign w:val="bottom"/>
          </w:tcPr>
          <w:p>
            <w:pPr>
              <w:ind w:left="4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3"/>
                <w:szCs w:val="23"/>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Margin Loan Agreement between ClearOne Communications, Inc. and UBS Financial Services, Inc. dated</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9/11/2008</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September 10, 2008</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40" w:type="dxa"/>
            <w:vAlign w:val="bottom"/>
          </w:tcPr>
          <w:p>
            <w:pPr>
              <w:ind w:lef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1"/>
                <w:szCs w:val="21"/>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w w:val="95"/>
              </w:rPr>
              <w:t>Manufacturing Services Agreement between Flextronics Industrial, Ltd. and ClearOne Communications, Inc. dated</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10-K</w:t>
            </w:r>
          </w:p>
        </w:tc>
        <w:tc>
          <w:tcPr>
            <w:tcW w:w="660" w:type="dxa"/>
            <w:vAlign w:val="bottom"/>
          </w:tcPr>
          <w:p>
            <w:pPr>
              <w:jc w:val="center"/>
              <w:spacing w:after="0"/>
              <w:rPr>
                <w:sz w:val="20"/>
                <w:szCs w:val="20"/>
                <w:color w:val="auto"/>
              </w:rPr>
            </w:pPr>
            <w:r>
              <w:rPr>
                <w:rFonts w:ascii="Arial" w:cs="Arial" w:eastAsia="Arial" w:hAnsi="Arial"/>
                <w:sz w:val="16"/>
                <w:szCs w:val="16"/>
                <w:color w:val="auto"/>
                <w:w w:val="94"/>
              </w:rPr>
              <w:t>10.21</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10/13/2009</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November 3, 2008</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40" w:type="dxa"/>
            <w:vAlign w:val="bottom"/>
          </w:tcPr>
          <w:p>
            <w:pPr>
              <w:ind w:left="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1"/>
                <w:szCs w:val="21"/>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Joinder to Loan and Security Agreement, dated as of November 3, 2009, by and between ClearOne</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660" w:type="dxa"/>
            <w:vAlign w:val="bottom"/>
          </w:tcPr>
          <w:p>
            <w:pPr>
              <w:jc w:val="center"/>
              <w:spacing w:after="0"/>
              <w:rPr>
                <w:sz w:val="20"/>
                <w:szCs w:val="20"/>
                <w:color w:val="auto"/>
              </w:rPr>
            </w:pPr>
            <w:r>
              <w:rPr>
                <w:rFonts w:ascii="Arial" w:cs="Arial" w:eastAsia="Arial" w:hAnsi="Arial"/>
                <w:sz w:val="16"/>
                <w:szCs w:val="16"/>
                <w:color w:val="auto"/>
                <w:w w:val="94"/>
              </w:rPr>
              <w:t>10.23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11/9/2009</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Communications, Inc. and Square 1 Bank.</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40" w:type="dxa"/>
            <w:vAlign w:val="bottom"/>
          </w:tcPr>
          <w:p>
            <w:pPr>
              <w:ind w:left="40"/>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1"/>
                <w:szCs w:val="21"/>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w w:val="96"/>
              </w:rPr>
              <w:t>Seventh Amendment to Loan and Security Agreement, dated as of November 3, 2009, by and between Square 1</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660" w:type="dxa"/>
            <w:vAlign w:val="bottom"/>
          </w:tcPr>
          <w:p>
            <w:pPr>
              <w:jc w:val="center"/>
              <w:spacing w:after="0"/>
              <w:rPr>
                <w:sz w:val="20"/>
                <w:szCs w:val="20"/>
                <w:color w:val="auto"/>
              </w:rPr>
            </w:pPr>
            <w:r>
              <w:rPr>
                <w:rFonts w:ascii="Arial" w:cs="Arial" w:eastAsia="Arial" w:hAnsi="Arial"/>
                <w:sz w:val="16"/>
                <w:szCs w:val="16"/>
                <w:color w:val="auto"/>
                <w:w w:val="94"/>
              </w:rPr>
              <w:t>10.24</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11/9/2009</w:t>
            </w:r>
          </w:p>
        </w:tc>
        <w:tc>
          <w:tcPr>
            <w:tcW w:w="0" w:type="dxa"/>
            <w:vAlign w:val="bottom"/>
          </w:tcPr>
          <w:p>
            <w:pPr>
              <w:spacing w:after="0"/>
              <w:rPr>
                <w:sz w:val="1"/>
                <w:szCs w:val="1"/>
                <w:color w:val="auto"/>
              </w:rPr>
            </w:pPr>
          </w:p>
        </w:tc>
      </w:tr>
      <w:tr>
        <w:trPr>
          <w:trHeight w:val="20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Bank, ClearOne Communications, Inc., NetStreams Inc., and NetStreams, LLC.</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40" w:type="dxa"/>
            <w:vAlign w:val="bottom"/>
          </w:tcPr>
          <w:p>
            <w:pPr>
              <w:ind w:left="4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2"/>
                <w:szCs w:val="22"/>
                <w:color w:val="auto"/>
              </w:rPr>
            </w:pP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Code of Ethics, approved by the Board of Directors on August 23, 2006</w:t>
            </w:r>
          </w:p>
        </w:tc>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10-K</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9/14/2006</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3.1†</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Amended and Restated Articles of Incorporation of ClearOne, Inc.</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21.1†</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Subsidiaries of the registrant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23.1†</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Consent of McGladrey LLP, Independent Registered Public Accounting Firm</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23.2†</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Consent of Jones Simkins P.C., Independent Registered Public Accounting Firm</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31.1†</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Executive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31.2†</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Section 302 Certification of Chief Financial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32.1†</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Executive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32.2†</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Section 906 Certification of Chief Financial Officer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XBRL Instance Document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Schema</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Calculation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Definitions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Label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7780" w:type="dxa"/>
            <w:vAlign w:val="bottom"/>
            <w:gridSpan w:val="2"/>
          </w:tcPr>
          <w:p>
            <w:pPr>
              <w:ind w:left="40"/>
              <w:spacing w:after="0"/>
              <w:rPr>
                <w:sz w:val="20"/>
                <w:szCs w:val="20"/>
                <w:color w:val="auto"/>
              </w:rPr>
            </w:pPr>
            <w:r>
              <w:rPr>
                <w:rFonts w:ascii="Arial" w:cs="Arial" w:eastAsia="Arial" w:hAnsi="Arial"/>
                <w:sz w:val="16"/>
                <w:szCs w:val="16"/>
                <w:color w:val="auto"/>
              </w:rPr>
              <w:t>XBRL Taxonomy Extension Presentation Linkbase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spacing w:after="0" w:line="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Information furnished herewith shall not be deemed to be “filed” for the purposes of Section 18 of the 1934 Act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5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22, 2013</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/s/ Narsi Narayanan</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Zeynep Hakimoglu</w:t>
            </w:r>
          </w:p>
        </w:tc>
        <w:tc>
          <w:tcPr>
            <w:tcW w:w="4780" w:type="dxa"/>
            <w:vAlign w:val="bottom"/>
          </w:tcPr>
          <w:p>
            <w:pPr>
              <w:ind w:left="40"/>
              <w:spacing w:after="0"/>
              <w:rPr>
                <w:sz w:val="20"/>
                <w:szCs w:val="20"/>
                <w:color w:val="auto"/>
              </w:rPr>
            </w:pPr>
            <w:r>
              <w:rPr>
                <w:rFonts w:ascii="Arial" w:cs="Arial" w:eastAsia="Arial" w:hAnsi="Arial"/>
                <w:sz w:val="18"/>
                <w:szCs w:val="18"/>
                <w:color w:val="auto"/>
              </w:rPr>
              <w:t>Narsi Narayanan</w:t>
            </w:r>
          </w:p>
        </w:tc>
      </w:tr>
      <w:tr>
        <w:trPr>
          <w:trHeight w:val="256"/>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Chairman of the Board</w:t>
            </w:r>
          </w:p>
        </w:tc>
        <w:tc>
          <w:tcPr>
            <w:tcW w:w="4780" w:type="dxa"/>
            <w:vAlign w:val="bottom"/>
          </w:tcPr>
          <w:p>
            <w:pPr>
              <w:ind w:left="40"/>
              <w:spacing w:after="0"/>
              <w:rPr>
                <w:sz w:val="20"/>
                <w:szCs w:val="20"/>
                <w:color w:val="auto"/>
              </w:rPr>
            </w:pPr>
            <w:r>
              <w:rPr>
                <w:rFonts w:ascii="Arial" w:cs="Arial" w:eastAsia="Arial" w:hAnsi="Arial"/>
                <w:sz w:val="18"/>
                <w:szCs w:val="18"/>
                <w:color w:val="auto"/>
              </w:rPr>
              <w:t>Vice President of Finance</w:t>
            </w:r>
          </w:p>
        </w:tc>
      </w:t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March 22, 2013</w:t>
            </w:r>
          </w:p>
        </w:tc>
        <w:tc>
          <w:tcPr>
            <w:tcW w:w="4780" w:type="dxa"/>
            <w:vAlign w:val="bottom"/>
          </w:tcPr>
          <w:p>
            <w:pPr>
              <w:ind w:left="40"/>
              <w:spacing w:after="0"/>
              <w:rPr>
                <w:sz w:val="20"/>
                <w:szCs w:val="20"/>
                <w:color w:val="auto"/>
              </w:rPr>
            </w:pPr>
            <w:r>
              <w:rPr>
                <w:rFonts w:ascii="Arial" w:cs="Arial" w:eastAsia="Arial" w:hAnsi="Arial"/>
                <w:sz w:val="18"/>
                <w:szCs w:val="18"/>
                <w:color w:val="auto"/>
              </w:rPr>
              <w:t>March 22,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Larry R. Hendricks</w:t>
            </w:r>
          </w:p>
        </w:tc>
      </w:tr>
      <w:tr>
        <w:trPr>
          <w:trHeight w:val="27"/>
        </w:trPr>
        <w:tc>
          <w:tcPr>
            <w:tcW w:w="56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Brad R. Baldwin</w:t>
            </w:r>
          </w:p>
        </w:tc>
        <w:tc>
          <w:tcPr>
            <w:tcW w:w="4780" w:type="dxa"/>
            <w:vAlign w:val="bottom"/>
          </w:tcPr>
          <w:p>
            <w:pPr>
              <w:ind w:left="40"/>
              <w:spacing w:after="0"/>
              <w:rPr>
                <w:sz w:val="20"/>
                <w:szCs w:val="20"/>
                <w:color w:val="auto"/>
              </w:rPr>
            </w:pPr>
            <w:r>
              <w:rPr>
                <w:rFonts w:ascii="Arial" w:cs="Arial" w:eastAsia="Arial" w:hAnsi="Arial"/>
                <w:sz w:val="18"/>
                <w:szCs w:val="18"/>
                <w:color w:val="auto"/>
              </w:rPr>
              <w:t>Larry R. Hendricks</w:t>
            </w:r>
          </w:p>
        </w:tc>
      </w:tr>
      <w:tr>
        <w:trPr>
          <w:trHeight w:val="256"/>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478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March 22, 2013</w:t>
            </w:r>
          </w:p>
        </w:tc>
        <w:tc>
          <w:tcPr>
            <w:tcW w:w="4780" w:type="dxa"/>
            <w:vAlign w:val="bottom"/>
          </w:tcPr>
          <w:p>
            <w:pPr>
              <w:ind w:left="40"/>
              <w:spacing w:after="0"/>
              <w:rPr>
                <w:sz w:val="20"/>
                <w:szCs w:val="20"/>
                <w:color w:val="auto"/>
              </w:rPr>
            </w:pPr>
            <w:r>
              <w:rPr>
                <w:rFonts w:ascii="Arial" w:cs="Arial" w:eastAsia="Arial" w:hAnsi="Arial"/>
                <w:sz w:val="18"/>
                <w:szCs w:val="18"/>
                <w:color w:val="auto"/>
              </w:rPr>
              <w:t>March 22,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Scott M. Huntsman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610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Scott M. Huntsman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22,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280"/>
          </w:cols>
          <w:pgMar w:left="240" w:top="121" w:right="37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7"/>
        </w:trPr>
        <w:tc>
          <w:tcPr>
            <w:tcW w:w="9680" w:type="dxa"/>
            <w:vAlign w:val="bottom"/>
            <w:vMerge w:val="restart"/>
          </w:tcPr>
          <w:p>
            <w:pPr>
              <w:spacing w:after="0"/>
              <w:rPr>
                <w:rFonts w:ascii="Arial" w:cs="Arial" w:eastAsia="Arial" w:hAnsi="Arial"/>
                <w:sz w:val="18"/>
                <w:szCs w:val="18"/>
                <w:color w:val="auto"/>
              </w:rPr>
            </w:pPr>
            <w:hyperlink w:anchor="page34">
              <w:r>
                <w:rPr>
                  <w:rFonts w:ascii="Arial" w:cs="Arial" w:eastAsia="Arial" w:hAnsi="Arial"/>
                  <w:sz w:val="18"/>
                  <w:szCs w:val="18"/>
                  <w:color w:val="auto"/>
                </w:rPr>
                <w:t>Report of Independent Registered Public Accounting Firm – McGladrey LLP</w:t>
              </w:r>
            </w:hyperlink>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80" w:type="dxa"/>
            <w:vAlign w:val="bottom"/>
            <w:vMerge w:val="continue"/>
          </w:tcPr>
          <w:p>
            <w:pPr>
              <w:spacing w:after="0"/>
              <w:rPr>
                <w:sz w:val="20"/>
                <w:szCs w:val="20"/>
                <w:color w:val="auto"/>
              </w:rPr>
            </w:pPr>
          </w:p>
        </w:tc>
        <w:tc>
          <w:tcPr>
            <w:tcW w:w="1700" w:type="dxa"/>
            <w:vAlign w:val="bottom"/>
          </w:tcPr>
          <w:p>
            <w:pPr>
              <w:jc w:val="center"/>
              <w:spacing w:after="0"/>
              <w:rPr>
                <w:rFonts w:ascii="Arial" w:cs="Arial" w:eastAsia="Arial" w:hAnsi="Arial"/>
                <w:sz w:val="18"/>
                <w:szCs w:val="18"/>
                <w:color w:val="auto"/>
                <w:w w:val="93"/>
              </w:rPr>
            </w:pPr>
            <w:hyperlink w:anchor="page34">
              <w:r>
                <w:rPr>
                  <w:rFonts w:ascii="Arial" w:cs="Arial" w:eastAsia="Arial" w:hAnsi="Arial"/>
                  <w:sz w:val="18"/>
                  <w:szCs w:val="18"/>
                  <w:color w:val="auto"/>
                  <w:w w:val="93"/>
                </w:rPr>
                <w:t>F- 1</w:t>
              </w:r>
            </w:hyperlink>
          </w:p>
        </w:tc>
        <w:tc>
          <w:tcPr>
            <w:tcW w:w="0" w:type="dxa"/>
            <w:vAlign w:val="bottom"/>
          </w:tcPr>
          <w:p>
            <w:pPr>
              <w:spacing w:after="0"/>
              <w:rPr>
                <w:sz w:val="1"/>
                <w:szCs w:val="1"/>
                <w:color w:val="auto"/>
              </w:rPr>
            </w:pPr>
          </w:p>
        </w:tc>
      </w:tr>
      <w:tr>
        <w:trPr>
          <w:trHeight w:val="270"/>
        </w:trPr>
        <w:tc>
          <w:tcPr>
            <w:tcW w:w="968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Report of Independent Registered Public Accounting Firm – Jones Simkins P.C.</w:t>
              </w:r>
            </w:hyperlink>
          </w:p>
        </w:tc>
        <w:tc>
          <w:tcPr>
            <w:tcW w:w="1700" w:type="dxa"/>
            <w:vAlign w:val="bottom"/>
          </w:tcPr>
          <w:p>
            <w:pPr>
              <w:jc w:val="center"/>
              <w:spacing w:after="0"/>
              <w:rPr>
                <w:rFonts w:ascii="Arial" w:cs="Arial" w:eastAsia="Arial" w:hAnsi="Arial"/>
                <w:sz w:val="18"/>
                <w:szCs w:val="18"/>
                <w:color w:val="auto"/>
                <w:w w:val="93"/>
              </w:rPr>
            </w:pPr>
            <w:hyperlink w:anchor="page35">
              <w:r>
                <w:rPr>
                  <w:rFonts w:ascii="Arial" w:cs="Arial" w:eastAsia="Arial" w:hAnsi="Arial"/>
                  <w:sz w:val="18"/>
                  <w:szCs w:val="18"/>
                  <w:color w:val="auto"/>
                  <w:w w:val="93"/>
                </w:rPr>
                <w:t>F- 2</w:t>
              </w:r>
            </w:hyperlink>
          </w:p>
        </w:tc>
        <w:tc>
          <w:tcPr>
            <w:tcW w:w="0" w:type="dxa"/>
            <w:vAlign w:val="bottom"/>
          </w:tcPr>
          <w:p>
            <w:pPr>
              <w:spacing w:after="0"/>
              <w:rPr>
                <w:sz w:val="1"/>
                <w:szCs w:val="1"/>
                <w:color w:val="auto"/>
              </w:rPr>
            </w:pPr>
          </w:p>
        </w:tc>
      </w:tr>
      <w:tr>
        <w:trPr>
          <w:trHeight w:val="270"/>
        </w:trPr>
        <w:tc>
          <w:tcPr>
            <w:tcW w:w="968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Consolidated Balance Sheets as of December 31, 2012 and December 31, 2011</w:t>
              </w:r>
            </w:hyperlink>
          </w:p>
        </w:tc>
        <w:tc>
          <w:tcPr>
            <w:tcW w:w="1700" w:type="dxa"/>
            <w:vAlign w:val="bottom"/>
          </w:tcPr>
          <w:p>
            <w:pPr>
              <w:jc w:val="center"/>
              <w:spacing w:after="0"/>
              <w:rPr>
                <w:rFonts w:ascii="Arial" w:cs="Arial" w:eastAsia="Arial" w:hAnsi="Arial"/>
                <w:sz w:val="18"/>
                <w:szCs w:val="18"/>
                <w:color w:val="auto"/>
                <w:w w:val="93"/>
              </w:rPr>
            </w:pPr>
            <w:hyperlink w:anchor="page36">
              <w:r>
                <w:rPr>
                  <w:rFonts w:ascii="Arial" w:cs="Arial" w:eastAsia="Arial" w:hAnsi="Arial"/>
                  <w:sz w:val="18"/>
                  <w:szCs w:val="18"/>
                  <w:color w:val="auto"/>
                  <w:w w:val="93"/>
                </w:rPr>
                <w:t>F- 3</w:t>
              </w:r>
            </w:hyperlink>
          </w:p>
        </w:tc>
        <w:tc>
          <w:tcPr>
            <w:tcW w:w="0" w:type="dxa"/>
            <w:vAlign w:val="bottom"/>
          </w:tcPr>
          <w:p>
            <w:pPr>
              <w:spacing w:after="0"/>
              <w:rPr>
                <w:sz w:val="1"/>
                <w:szCs w:val="1"/>
                <w:color w:val="auto"/>
              </w:rPr>
            </w:pPr>
          </w:p>
        </w:tc>
      </w:tr>
      <w:tr>
        <w:trPr>
          <w:trHeight w:val="270"/>
        </w:trPr>
        <w:tc>
          <w:tcPr>
            <w:tcW w:w="968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Consolidated Statements of Operations for the years ended December 31, 2012 and 2011</w:t>
              </w:r>
            </w:hyperlink>
          </w:p>
        </w:tc>
        <w:tc>
          <w:tcPr>
            <w:tcW w:w="1700" w:type="dxa"/>
            <w:vAlign w:val="bottom"/>
          </w:tcPr>
          <w:p>
            <w:pPr>
              <w:jc w:val="center"/>
              <w:spacing w:after="0"/>
              <w:rPr>
                <w:rFonts w:ascii="Arial" w:cs="Arial" w:eastAsia="Arial" w:hAnsi="Arial"/>
                <w:sz w:val="18"/>
                <w:szCs w:val="18"/>
                <w:color w:val="auto"/>
                <w:w w:val="93"/>
              </w:rPr>
            </w:pPr>
            <w:hyperlink w:anchor="page37">
              <w:r>
                <w:rPr>
                  <w:rFonts w:ascii="Arial" w:cs="Arial" w:eastAsia="Arial" w:hAnsi="Arial"/>
                  <w:sz w:val="18"/>
                  <w:szCs w:val="18"/>
                  <w:color w:val="auto"/>
                  <w:w w:val="93"/>
                </w:rPr>
                <w:t>F- 4</w:t>
              </w:r>
            </w:hyperlink>
          </w:p>
        </w:tc>
        <w:tc>
          <w:tcPr>
            <w:tcW w:w="0" w:type="dxa"/>
            <w:vAlign w:val="bottom"/>
          </w:tcPr>
          <w:p>
            <w:pPr>
              <w:spacing w:after="0"/>
              <w:rPr>
                <w:sz w:val="1"/>
                <w:szCs w:val="1"/>
                <w:color w:val="auto"/>
              </w:rPr>
            </w:pPr>
          </w:p>
        </w:tc>
      </w:tr>
      <w:tr>
        <w:trPr>
          <w:trHeight w:val="270"/>
        </w:trPr>
        <w:tc>
          <w:tcPr>
            <w:tcW w:w="968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Consolidated Statements of Shareholders' Equity for the years ended December 31, 2012 and 2011</w:t>
              </w:r>
            </w:hyperlink>
          </w:p>
        </w:tc>
        <w:tc>
          <w:tcPr>
            <w:tcW w:w="1700" w:type="dxa"/>
            <w:vAlign w:val="bottom"/>
          </w:tcPr>
          <w:p>
            <w:pPr>
              <w:jc w:val="center"/>
              <w:spacing w:after="0"/>
              <w:rPr>
                <w:rFonts w:ascii="Arial" w:cs="Arial" w:eastAsia="Arial" w:hAnsi="Arial"/>
                <w:sz w:val="18"/>
                <w:szCs w:val="18"/>
                <w:color w:val="auto"/>
                <w:w w:val="93"/>
              </w:rPr>
            </w:pPr>
            <w:hyperlink w:anchor="page38">
              <w:r>
                <w:rPr>
                  <w:rFonts w:ascii="Arial" w:cs="Arial" w:eastAsia="Arial" w:hAnsi="Arial"/>
                  <w:sz w:val="18"/>
                  <w:szCs w:val="18"/>
                  <w:color w:val="auto"/>
                  <w:w w:val="93"/>
                </w:rPr>
                <w:t>F- 5</w:t>
              </w:r>
            </w:hyperlink>
          </w:p>
        </w:tc>
        <w:tc>
          <w:tcPr>
            <w:tcW w:w="0" w:type="dxa"/>
            <w:vAlign w:val="bottom"/>
          </w:tcPr>
          <w:p>
            <w:pPr>
              <w:spacing w:after="0"/>
              <w:rPr>
                <w:sz w:val="1"/>
                <w:szCs w:val="1"/>
                <w:color w:val="auto"/>
              </w:rPr>
            </w:pPr>
          </w:p>
        </w:tc>
      </w:tr>
      <w:tr>
        <w:trPr>
          <w:trHeight w:val="270"/>
        </w:trPr>
        <w:tc>
          <w:tcPr>
            <w:tcW w:w="968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Consolidated Statements of Cash Flows for the years ended December 31, 2012 and 2011</w:t>
              </w:r>
            </w:hyperlink>
          </w:p>
        </w:tc>
        <w:tc>
          <w:tcPr>
            <w:tcW w:w="1700" w:type="dxa"/>
            <w:vAlign w:val="bottom"/>
          </w:tcPr>
          <w:p>
            <w:pPr>
              <w:jc w:val="center"/>
              <w:spacing w:after="0"/>
              <w:rPr>
                <w:rFonts w:ascii="Arial" w:cs="Arial" w:eastAsia="Arial" w:hAnsi="Arial"/>
                <w:sz w:val="18"/>
                <w:szCs w:val="18"/>
                <w:color w:val="auto"/>
                <w:w w:val="93"/>
              </w:rPr>
            </w:pPr>
            <w:hyperlink w:anchor="page39">
              <w:r>
                <w:rPr>
                  <w:rFonts w:ascii="Arial" w:cs="Arial" w:eastAsia="Arial" w:hAnsi="Arial"/>
                  <w:sz w:val="18"/>
                  <w:szCs w:val="18"/>
                  <w:color w:val="auto"/>
                  <w:w w:val="93"/>
                </w:rPr>
                <w:t>F- 6</w:t>
              </w:r>
            </w:hyperlink>
          </w:p>
        </w:tc>
        <w:tc>
          <w:tcPr>
            <w:tcW w:w="0" w:type="dxa"/>
            <w:vAlign w:val="bottom"/>
          </w:tcPr>
          <w:p>
            <w:pPr>
              <w:spacing w:after="0"/>
              <w:rPr>
                <w:sz w:val="1"/>
                <w:szCs w:val="1"/>
                <w:color w:val="auto"/>
              </w:rPr>
            </w:pPr>
          </w:p>
        </w:tc>
      </w:tr>
      <w:tr>
        <w:trPr>
          <w:trHeight w:val="270"/>
        </w:trPr>
        <w:tc>
          <w:tcPr>
            <w:tcW w:w="968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Notes to Consolidated Financial Statements</w:t>
              </w:r>
            </w:hyperlink>
          </w:p>
        </w:tc>
        <w:tc>
          <w:tcPr>
            <w:tcW w:w="1700" w:type="dxa"/>
            <w:vAlign w:val="bottom"/>
          </w:tcPr>
          <w:p>
            <w:pPr>
              <w:jc w:val="center"/>
              <w:spacing w:after="0"/>
              <w:rPr>
                <w:rFonts w:ascii="Arial" w:cs="Arial" w:eastAsia="Arial" w:hAnsi="Arial"/>
                <w:sz w:val="18"/>
                <w:szCs w:val="18"/>
                <w:color w:val="auto"/>
                <w:w w:val="93"/>
              </w:rPr>
            </w:pPr>
            <w:hyperlink w:anchor="page41">
              <w:r>
                <w:rPr>
                  <w:rFonts w:ascii="Arial" w:cs="Arial" w:eastAsia="Arial" w:hAnsi="Arial"/>
                  <w:sz w:val="18"/>
                  <w:szCs w:val="18"/>
                  <w:color w:val="auto"/>
                  <w:w w:val="93"/>
                </w:rPr>
                <w:t>F- 8</w:t>
              </w:r>
            </w:hyperlink>
          </w:p>
        </w:tc>
        <w:tc>
          <w:tcPr>
            <w:tcW w:w="0" w:type="dxa"/>
            <w:vAlign w:val="bottom"/>
          </w:tcPr>
          <w:p>
            <w:pPr>
              <w:spacing w:after="0"/>
              <w:rPr>
                <w:sz w:val="1"/>
                <w:szCs w:val="1"/>
                <w:color w:val="auto"/>
              </w:rPr>
            </w:pPr>
          </w:p>
        </w:tc>
      </w:tr>
      <w:tr>
        <w:trPr>
          <w:trHeight w:val="702"/>
        </w:trPr>
        <w:tc>
          <w:tcPr>
            <w:tcW w:w="9680" w:type="dxa"/>
            <w:vAlign w:val="bottom"/>
          </w:tcPr>
          <w:p>
            <w:pPr>
              <w:ind w:left="5500"/>
              <w:spacing w:after="0"/>
              <w:rPr>
                <w:sz w:val="20"/>
                <w:szCs w:val="20"/>
                <w:color w:val="auto"/>
              </w:rPr>
            </w:pPr>
            <w:r>
              <w:rPr>
                <w:rFonts w:ascii="Arial" w:cs="Arial" w:eastAsia="Arial" w:hAnsi="Arial"/>
                <w:sz w:val="18"/>
                <w:szCs w:val="18"/>
                <w:color w:val="auto"/>
              </w:rPr>
              <w:t>| 32 |</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Inc.</w:t>
      </w:r>
    </w:p>
    <w:p>
      <w:pPr>
        <w:spacing w:after="0" w:line="21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have audited the accompanying consolidated balance sheet of ClearOne, Inc. and subsidiaries (the Company) as of December 31, 2012, and the related consolidated statements of operations, shareholders’ equity, and cash flows for the year ended December 31, 2012. These financial statements are the responsibility of the Company's management. Our responsibility is to express an opinion on these financial statements based on our audit.</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Inc. and subsidiaries as of December 31, 2012, and the results of their operations and their cash flows for the year ended December 31, 2012 in conformity with accounting principles generally accepted in the United States of America.</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F- 1 |</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Communications, Inc.</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audited the accompanying consolidated balance sheet of ClearOne Communications, Inc. and subsidiaries (the Company) as of December 31, 2011, and the related consolidated statements of operations, shareholders’ equity, and cash flows for the year ended December 31, 2011. The Company’s management is responsible for these financial statements. Our responsibility is to express an opinion on these financial statements based on our audit.</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Communications, Inc. and subsidiaries as of December 31, 2011, and the results of its operations and its cash flows for the year ended December 31, 2011 in conformity with accounting principles generally accepted in the United States of America.</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 xml:space="preserve">/s/ </w:t>
      </w:r>
      <w:r>
        <w:rPr>
          <w:rFonts w:ascii="Arial" w:cs="Arial" w:eastAsia="Arial" w:hAnsi="Arial"/>
          <w:sz w:val="14"/>
          <w:szCs w:val="14"/>
          <w:i w:val="1"/>
          <w:iCs w:val="1"/>
          <w:u w:val="single" w:color="auto"/>
          <w:color w:val="auto"/>
        </w:rPr>
        <w:t>JONES SIMKINS, P.C.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F- 2 |</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2012</w:t>
            </w:r>
          </w:p>
        </w:tc>
        <w:tc>
          <w:tcPr>
            <w:tcW w:w="24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16,683</w:t>
            </w: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4"/>
              </w:rPr>
              <w:t>Receivables, net of allowance for doubtful accounts of $60 and $149, as of December 31, 2012</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and 2011 respectively</w:t>
            </w:r>
          </w:p>
        </w:tc>
        <w:tc>
          <w:tcPr>
            <w:tcW w:w="24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8,388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3,472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49,559</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14,782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product revenue</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9,163,462 and 9,098,152 shares</w:t>
            </w: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issued and outstanding as of December 31, 2012 and 2011, respectively</w:t>
            </w:r>
          </w:p>
        </w:tc>
        <w:tc>
          <w:tcPr>
            <w:tcW w:w="24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40,073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26,229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257"/>
        </w:trPr>
        <w:tc>
          <w:tcPr>
            <w:tcW w:w="720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91,939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49,559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F- 3 |</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4"/>
          </w:tcPr>
          <w:p>
            <w:pPr>
              <w:jc w:val="right"/>
              <w:ind w:right="95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710"/>
              <w:spacing w:after="0"/>
              <w:rPr>
                <w:sz w:val="20"/>
                <w:szCs w:val="20"/>
                <w:color w:val="auto"/>
              </w:rPr>
            </w:pPr>
            <w:r>
              <w:rPr>
                <w:rFonts w:ascii="Arial" w:cs="Arial" w:eastAsia="Arial" w:hAnsi="Arial"/>
                <w:sz w:val="16"/>
                <w:szCs w:val="16"/>
                <w:b w:val="1"/>
                <w:bCs w:val="1"/>
                <w:color w:val="auto"/>
              </w:rPr>
              <w:t>2011</w:t>
            </w:r>
          </w:p>
        </w:tc>
      </w:tr>
      <w:tr>
        <w:trPr>
          <w:trHeight w:val="33"/>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19,089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18,522</w:t>
            </w:r>
          </w:p>
        </w:tc>
      </w:tr>
      <w:tr>
        <w:trPr>
          <w:trHeight w:val="27"/>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27,545</w:t>
            </w:r>
          </w:p>
        </w:tc>
      </w:tr>
      <w:tr>
        <w:trPr>
          <w:trHeight w:val="318"/>
        </w:trPr>
        <w:tc>
          <w:tcPr>
            <w:tcW w:w="75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8,120</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5,427</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litigation, net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16,973</w:t>
            </w:r>
          </w:p>
        </w:tc>
      </w:tr>
      <w:tr>
        <w:trPr>
          <w:trHeight w:val="27"/>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18"/>
        </w:trPr>
        <w:tc>
          <w:tcPr>
            <w:tcW w:w="7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42,521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10,572</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7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18"/>
        </w:trPr>
        <w:tc>
          <w:tcPr>
            <w:tcW w:w="7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42,555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10,596</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r>
      <w:tr>
        <w:trPr>
          <w:trHeight w:val="297"/>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26,647</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6,929</w:t>
            </w:r>
          </w:p>
        </w:tc>
      </w:tr>
      <w:tr>
        <w:trPr>
          <w:trHeight w:val="311"/>
        </w:trPr>
        <w:tc>
          <w:tcPr>
            <w:tcW w:w="75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0.77</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r>
      <w:tr>
        <w:trPr>
          <w:trHeight w:val="324"/>
        </w:trPr>
        <w:tc>
          <w:tcPr>
            <w:tcW w:w="7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9,107,234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9,027,934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9,214,685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9,271,811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F- 4 |</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2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1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040" w:type="dxa"/>
            <w:vAlign w:val="bottom"/>
          </w:tcPr>
          <w:p>
            <w:pPr>
              <w:spacing w:after="0"/>
              <w:rPr>
                <w:sz w:val="13"/>
                <w:szCs w:val="13"/>
                <w:color w:val="auto"/>
              </w:rPr>
            </w:pPr>
          </w:p>
        </w:tc>
        <w:tc>
          <w:tcPr>
            <w:tcW w:w="2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0"/>
                <w:szCs w:val="10"/>
                <w:color w:val="auto"/>
              </w:rPr>
            </w:pPr>
          </w:p>
        </w:tc>
        <w:tc>
          <w:tcPr>
            <w:tcW w:w="10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(Accumulated</w:t>
            </w:r>
          </w:p>
        </w:tc>
        <w:tc>
          <w:tcPr>
            <w:tcW w:w="180" w:type="dxa"/>
            <w:vAlign w:val="bottom"/>
          </w:tcPr>
          <w:p>
            <w:pPr>
              <w:spacing w:after="0"/>
              <w:rPr>
                <w:sz w:val="10"/>
                <w:szCs w:val="10"/>
                <w:color w:val="auto"/>
              </w:rPr>
            </w:pPr>
          </w:p>
        </w:tc>
        <w:tc>
          <w:tcPr>
            <w:tcW w:w="1160" w:type="dxa"/>
            <w:vAlign w:val="bottom"/>
          </w:tcPr>
          <w:p>
            <w:pPr>
              <w:jc w:val="right"/>
              <w:ind w:right="161"/>
              <w:spacing w:after="0" w:line="119"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80" w:type="dxa"/>
            <w:vAlign w:val="bottom"/>
          </w:tcPr>
          <w:p>
            <w:pPr>
              <w:spacing w:after="0"/>
              <w:rPr>
                <w:sz w:val="10"/>
                <w:szCs w:val="10"/>
                <w:color w:val="auto"/>
              </w:rPr>
            </w:pPr>
          </w:p>
        </w:tc>
        <w:tc>
          <w:tcPr>
            <w:tcW w:w="11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74"/>
        </w:trPr>
        <w:tc>
          <w:tcPr>
            <w:tcW w:w="5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40"/>
              <w:spacing w:after="0"/>
              <w:rPr>
                <w:sz w:val="20"/>
                <w:szCs w:val="20"/>
                <w:color w:val="auto"/>
              </w:rPr>
            </w:pPr>
            <w:r>
              <w:rPr>
                <w:rFonts w:ascii="Arial" w:cs="Arial" w:eastAsia="Arial" w:hAnsi="Arial"/>
                <w:sz w:val="16"/>
                <w:szCs w:val="16"/>
                <w:color w:val="auto"/>
              </w:rPr>
              <w:t>Balances at December 31, 2010</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8,929,439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39,073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(7,347)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31,735</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Tax benefit - stock option exercises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Employee stock purchase plan</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6,929</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Balances at December 31, 2011</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9,098,152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40,073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39,664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Stock repurchased</w:t>
            </w:r>
          </w:p>
        </w:tc>
        <w:tc>
          <w:tcPr>
            <w:tcW w:w="1140" w:type="dxa"/>
            <w:vAlign w:val="bottom"/>
          </w:tcPr>
          <w:p>
            <w:pPr>
              <w:jc w:val="right"/>
              <w:spacing w:after="0"/>
              <w:rPr>
                <w:sz w:val="20"/>
                <w:szCs w:val="20"/>
                <w:color w:val="auto"/>
              </w:rPr>
            </w:pPr>
            <w:r>
              <w:rPr>
                <w:rFonts w:ascii="Arial" w:cs="Arial" w:eastAsia="Arial" w:hAnsi="Arial"/>
                <w:sz w:val="16"/>
                <w:szCs w:val="16"/>
                <w:color w:val="auto"/>
              </w:rPr>
              <w:t>(94,744)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 stock option exercises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26,647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26,647</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2012</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9,163,462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40,430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66,668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F- 5 |</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68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26,647</w:t>
            </w:r>
          </w:p>
        </w:tc>
        <w:tc>
          <w:tcPr>
            <w:tcW w:w="100" w:type="dxa"/>
            <w:vAlign w:val="bottom"/>
          </w:tcPr>
          <w:p>
            <w:pPr>
              <w:spacing w:after="0"/>
              <w:rPr>
                <w:sz w:val="21"/>
                <w:szCs w:val="21"/>
                <w:color w:val="auto"/>
              </w:rPr>
            </w:pP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6,929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rent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Write-down of inventory to net realizable value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Tax benefit from exercise of stock options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(3,066)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(1,457)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1,416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(2,277)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14,492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product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43,924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w:t>
            </w:r>
          </w:p>
        </w:tc>
      </w:tr>
      <w:tr>
        <w:trPr>
          <w:trHeight w:val="318"/>
        </w:trPr>
        <w:tc>
          <w:tcPr>
            <w:tcW w:w="8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 towards business acquisitions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(4,632)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(5,206)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18"/>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Tax benefit from the exercise of stock options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purchased</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18"/>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38,826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5,252</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16,683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11,431</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55,509</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16,683</w:t>
            </w:r>
          </w:p>
        </w:tc>
      </w:tr>
      <w:tr>
        <w:trPr>
          <w:trHeight w:val="311"/>
        </w:trPr>
        <w:tc>
          <w:tcPr>
            <w:tcW w:w="8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income taxes</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r>
      <w:tr>
        <w:trPr>
          <w:trHeight w:val="27"/>
        </w:trPr>
        <w:tc>
          <w:tcPr>
            <w:tcW w:w="8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F- 6 |</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00" w:type="dxa"/>
            <w:vAlign w:val="bottom"/>
            <w:gridSpan w:val="4"/>
          </w:tcPr>
          <w:p>
            <w:pPr>
              <w:jc w:val="right"/>
              <w:ind w:right="171"/>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6"/>
                <w:szCs w:val="16"/>
                <w:b w:val="1"/>
                <w:bCs w:val="1"/>
                <w:color w:val="auto"/>
              </w:rPr>
              <w:t>2011</w:t>
            </w:r>
          </w:p>
        </w:tc>
        <w:tc>
          <w:tcPr>
            <w:tcW w:w="5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318"/>
        </w:trPr>
        <w:tc>
          <w:tcPr>
            <w:tcW w:w="8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Exchanged accounts receivable from a vendor with accounts payable to the same vendor</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property and equipment to inventory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338"/>
        </w:trPr>
        <w:tc>
          <w:tcPr>
            <w:tcW w:w="8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The Company acquired the business of VCON Video Conferencing, Ltd. in February 2012 for $4,632 and</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recorded the following assets and liabilities: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100" w:type="dxa"/>
            <w:vAlign w:val="bottom"/>
          </w:tcPr>
          <w:p>
            <w:pPr>
              <w:jc w:val="right"/>
              <w:ind w:right="89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Product warranty liability</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Proprietary software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325"/>
        </w:trPr>
        <w:tc>
          <w:tcPr>
            <w:tcW w:w="8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The Company acquired the business of MagicBox, in September 2011, for $980 and recorded the following</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and liabilities:</w:t>
            </w:r>
          </w:p>
        </w:tc>
        <w:tc>
          <w:tcPr>
            <w:tcW w:w="10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135"/>
        </w:trPr>
        <w:tc>
          <w:tcPr>
            <w:tcW w:w="8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8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paid</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F- 7 |</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ClearOne, Inc., a Utah corporation, and its subsidiaries (collectively, the “Company”) develop, manufacture, market, and service a comprehensive line of audio visual products including audio conferencing, video conferencing, streaming and digital signage products. The Company’s solutions create a natural communication environment, designed to save organizations time and money by enabling more effective and efficient communication between geographically separated businesses, employees, and customers.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This report on Form 10-K includes financial statements for the years ended December 31, 2012 and 2011.</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accounts and transactions have been eliminated in consolidation. Certain prior year amounts have been reclassified to conform to the current year presentation.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generally accepted accounting principles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U.S. Dollar is used as the functional currency for our subsidiaries in the United Kingdom, Hong Kong and Israel.</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Company's foreign subsidiaries have certain assets, liabilities and cash flows that are subject to foreign currency risk. Gains or losses arising on remeasurement of foreign currency denominated assets and liabilities are not significant and are included in the Company's Statement of Operations under "Other income, net".</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exceeding the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Generally, credit is granted to customers, on a short-term basis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F- 8 |</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December 31, 2012 and 2011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Charged to costs and expenses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312</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the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includes products that have been delivered to customers for which revenue recognition criteria have not been met.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$39 and $43, as of December 31, 2012 and 2011, respectively.</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Goodwill and Intangible Assets – </w:t>
      </w:r>
      <w:r>
        <w:rPr>
          <w:rFonts w:ascii="Arial" w:cs="Arial" w:eastAsia="Arial" w:hAnsi="Arial"/>
          <w:sz w:val="17"/>
          <w:szCs w:val="17"/>
          <w:color w:val="auto"/>
        </w:rPr>
        <w:t>Intangible assets acquired in a purchase business combination are amortized over their useful lives unless these lives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 In accordance with the provisions of FASB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Company tests goodwill and other intangible assets with indefinite lives for impairment at least annually at the beginning of the fourth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F- 9 |</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ind w:right="5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goodwill to be compared to its carrying value (See </w:t>
      </w:r>
      <w:hyperlink w:anchor="page46">
        <w:r>
          <w:rPr>
            <w:rFonts w:ascii="Arial" w:cs="Arial" w:eastAsia="Arial" w:hAnsi="Arial"/>
            <w:sz w:val="18"/>
            <w:szCs w:val="18"/>
            <w:u w:val="single" w:color="auto"/>
            <w:color w:val="0000FF"/>
          </w:rPr>
          <w:t>Note 3 – Business Combinations, Goodwill and Intangibles</w:t>
        </w:r>
      </w:hyperlink>
      <w:r>
        <w:rPr>
          <w:rFonts w:ascii="Arial" w:cs="Arial" w:eastAsia="Arial" w:hAnsi="Arial"/>
          <w:sz w:val="18"/>
          <w:szCs w:val="18"/>
          <w:color w:val="auto"/>
        </w:rPr>
        <w:t>). ClearOne and all of its subsidiaries are considered as one reporting unit for this purpose.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Impairment of Long-Lived Assets – </w:t>
      </w:r>
      <w:r>
        <w:rPr>
          <w:rFonts w:ascii="Arial" w:cs="Arial" w:eastAsia="Arial" w:hAnsi="Arial"/>
          <w:sz w:val="17"/>
          <w:szCs w:val="17"/>
          <w:color w:val="auto"/>
        </w:rPr>
        <w:t>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provides a right of return on product sales to major distributors and other resellers under a product rotation program. Under this seldom used program, once a quarter, a distributor or reseller is allowed to return products purchased during the prior 180 days for a total value generally not exceeding 15% of the distributor's or reseller’s net purchases during the preceding quarter. The distributor or reseller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fulfilled,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 from product sales to distributors is not recognized until the return privilege has expired or until it can be determined with reasonable certainty that the return privilege has expired, which approximates when product is sold-through to customers of the Company’s distributors (dealers, system integrators, value-added resellers, and end-users) rather than when the product is initially shipped to a distributor. At each quarter-end, the Company evaluates the inventory in the channel through information provided by our distributors. The level of inventory in the channel will fluctuate up or down each quarter, based upon our distributors’ individual operations. Accordingly, at each quarter-end, the deferral for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the Company receives payment for the product sales made to such distributors or channel partners.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deferred cost of goods sold is included in consigned 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118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1,199</w:t>
            </w:r>
          </w:p>
        </w:tc>
      </w:tr>
      <w:tr>
        <w:trPr>
          <w:trHeight w:val="27"/>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gross profit</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2,205</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valued at retail price, until the defective unit has been returned, but no receivable balance is maintained on the Company’s balance sheet.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F- 10 |</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Sales and Similar Taxes - </w:t>
      </w:r>
      <w:r>
        <w:rPr>
          <w:rFonts w:ascii="Arial" w:cs="Arial" w:eastAsia="Arial" w:hAnsi="Arial"/>
          <w:sz w:val="18"/>
          <w:szCs w:val="18"/>
          <w:color w:val="auto"/>
        </w:rPr>
        <w:t>Taxes collected from customers and remitted to government authorities are reported on a net basis and thus are excluded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439</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Usage/claims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media. Advertising expenses for the years ended December 31, 2012 and 2011, totaled $525 and $482, respectively, and are included under the caption “Sales and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As of December 31, 2012, the Company had a valuation allowance of $270 against capital loss carryovers, and state research and development credits.</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Company follows the provisions contained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F- 11 |</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26,647</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6,929</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Basic weighted average shares</w:t>
            </w:r>
          </w:p>
        </w:tc>
        <w:tc>
          <w:tcPr>
            <w:tcW w:w="10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6"/>
                <w:szCs w:val="16"/>
                <w:color w:val="auto"/>
                <w:w w:val="89"/>
              </w:rPr>
              <w:t>9,107,234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9,027,934</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common stock equivalents using treasury stock method</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107,451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243,877</w:t>
            </w:r>
          </w:p>
        </w:tc>
      </w:tr>
      <w:tr>
        <w:trPr>
          <w:trHeight w:val="284"/>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w:t>
            </w:r>
          </w:p>
        </w:tc>
        <w:tc>
          <w:tcPr>
            <w:tcW w:w="10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w w:val="89"/>
              </w:rPr>
              <w:t>9,214,685</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6"/>
                <w:szCs w:val="16"/>
                <w:color w:val="auto"/>
              </w:rPr>
              <w:t>9,271,811</w:t>
            </w:r>
          </w:p>
        </w:tc>
      </w:tr>
      <w:tr>
        <w:trPr>
          <w:trHeight w:val="311"/>
        </w:trPr>
        <w:tc>
          <w:tcPr>
            <w:tcW w:w="7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2.93</w:t>
            </w: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0.77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2.89</w:t>
            </w:r>
          </w:p>
        </w:tc>
        <w:tc>
          <w:tcPr>
            <w:tcW w:w="8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0.75</w:t>
            </w:r>
          </w:p>
        </w:tc>
      </w:tr>
      <w:tr>
        <w:trPr>
          <w:trHeight w:val="324"/>
        </w:trPr>
        <w:tc>
          <w:tcPr>
            <w:tcW w:w="7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w w:val="89"/>
              </w:rPr>
              <w:t>1,197,487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1,137,219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w:t>
            </w:r>
          </w:p>
        </w:tc>
        <w:tc>
          <w:tcPr>
            <w:tcW w:w="106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6"/>
                <w:szCs w:val="16"/>
                <w:color w:val="auto"/>
              </w:rPr>
              <w:t>681,820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893,343</w:t>
            </w:r>
          </w:p>
        </w:tc>
      </w:tr>
    </w:tbl>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The Company applies FASB ASC Topic 718,</w:t>
      </w:r>
      <w:r>
        <w:rPr>
          <w:rFonts w:ascii="Arial" w:cs="Arial" w:eastAsia="Arial" w:hAnsi="Arial"/>
          <w:sz w:val="18"/>
          <w:szCs w:val="18"/>
          <w:i w:val="1"/>
          <w:iCs w:val="1"/>
          <w:color w:val="auto"/>
        </w:rPr>
        <w:t xml:space="preserve"> Compensation – Stock Compensation</w:t>
      </w:r>
      <w:r>
        <w:rPr>
          <w:rFonts w:ascii="Arial" w:cs="Arial" w:eastAsia="Arial" w:hAnsi="Arial"/>
          <w:sz w:val="18"/>
          <w:szCs w:val="18"/>
          <w:color w:val="auto"/>
        </w:rPr>
        <w:t>. ASC Topic 718 establishes standards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ASC Topic 718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w:t>
      </w:r>
    </w:p>
    <w:p>
      <w:pPr>
        <w:spacing w:after="0" w:line="188" w:lineRule="exact"/>
        <w:rPr>
          <w:sz w:val="20"/>
          <w:szCs w:val="20"/>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Effective July 1, 2005, the Company adopted guidelines included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 See </w:t>
      </w:r>
      <w:hyperlink w:anchor="page53">
        <w:r>
          <w:rPr>
            <w:rFonts w:ascii="Arial" w:cs="Arial" w:eastAsia="Arial" w:hAnsi="Arial"/>
            <w:sz w:val="17"/>
            <w:szCs w:val="17"/>
            <w:u w:val="single" w:color="auto"/>
            <w:color w:val="0000FF"/>
          </w:rPr>
          <w:t>Note 9 – Share-Based Payments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information about the Company’s various share-based compensation plans, the impact of adoption of ASC Topic 718, and the assumptions used to calculate the fair value of share-based compensation.</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assumptions change in the application of ASC Topic 718 in future periods, the stock-based compensation cost ultimately recorded under ASC Topic 718 may differ significantly from what was recorded in the current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After evaluating the recent accounting pronouncements through the date of this filing, the Company has concluded that application of them will have no material impact on the Company’s financial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F- 12 |</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CC"/>
        </w:rPr>
        <w:t>Acquisition of video conferencing business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February 16, 2012, the Company completed the acquisition of the video conferencing business of Israel-based VCON Video Conferencing, Ltd. (“VCON”) through an asset purchase agreement. VCON was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will provide us with complementary technology opportunities allowing us to enter new growth markets.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asset purchase agreement, the Company paid consideration of $4,632 in cash. The fair values of assets acquired and liabilities assumed are based on the information that was available during the measurement period of twelve months from the date of acquisition. The fair value of identified assets and liabilities acquired and goodwill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8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9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liability</w:t>
            </w:r>
          </w:p>
        </w:tc>
        <w:tc>
          <w:tcPr>
            <w:tcW w:w="8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Proprietary software</w:t>
            </w:r>
          </w:p>
        </w:tc>
        <w:tc>
          <w:tcPr>
            <w:tcW w:w="8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7"/>
        </w:trPr>
        <w:tc>
          <w:tcPr>
            <w:tcW w:w="9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r>
      <w:tr>
        <w:trPr>
          <w:trHeight w:val="237"/>
        </w:trPr>
        <w:tc>
          <w:tcPr>
            <w:tcW w:w="9360" w:type="dxa"/>
            <w:vAlign w:val="bottom"/>
          </w:tcPr>
          <w:p>
            <w:pPr>
              <w:spacing w:after="0"/>
              <w:rPr>
                <w:sz w:val="20"/>
                <w:szCs w:val="20"/>
                <w:color w:val="auto"/>
              </w:rPr>
            </w:pPr>
          </w:p>
        </w:tc>
        <w:tc>
          <w:tcPr>
            <w:tcW w:w="8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4,632</w:t>
            </w:r>
          </w:p>
        </w:tc>
      </w:tr>
      <w:tr>
        <w:trPr>
          <w:trHeight w:val="27"/>
        </w:trPr>
        <w:tc>
          <w:tcPr>
            <w:tcW w:w="9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goodwill of $2,319 is composed of expected synergies in utilizing VCON technology in ClearOne product offerings, reduction in future combined research and development expenses, and intangible assets including acquired workforce that do not qualify for separate recognition. This goodwill balance is not deductible for tax purposes.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Adjustments were made to the initial purchase price allocation and higher allocation to goodwill was made retroactive to the date of acquisition. The final fair value differed from the initial allocation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Final Fair Value</w:t>
            </w:r>
          </w:p>
        </w:tc>
        <w:tc>
          <w:tcPr>
            <w:tcW w:w="36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Initial Allocation</w:t>
            </w:r>
          </w:p>
        </w:tc>
        <w:tc>
          <w:tcPr>
            <w:tcW w:w="380" w:type="dxa"/>
            <w:vAlign w:val="bottom"/>
          </w:tcPr>
          <w:p>
            <w:pPr>
              <w:spacing w:after="0"/>
              <w:rPr>
                <w:sz w:val="16"/>
                <w:szCs w:val="16"/>
                <w:color w:val="auto"/>
              </w:rPr>
            </w:pPr>
          </w:p>
        </w:tc>
        <w:tc>
          <w:tcPr>
            <w:tcW w:w="1420" w:type="dxa"/>
            <w:vAlign w:val="bottom"/>
          </w:tcPr>
          <w:p>
            <w:pPr>
              <w:jc w:val="right"/>
              <w:ind w:right="433"/>
              <w:spacing w:after="0"/>
              <w:rPr>
                <w:sz w:val="20"/>
                <w:szCs w:val="20"/>
                <w:color w:val="auto"/>
              </w:rPr>
            </w:pPr>
            <w:r>
              <w:rPr>
                <w:rFonts w:ascii="Arial" w:cs="Arial" w:eastAsia="Arial" w:hAnsi="Arial"/>
                <w:sz w:val="14"/>
                <w:szCs w:val="14"/>
                <w:b w:val="1"/>
                <w:bCs w:val="1"/>
                <w:color w:val="auto"/>
              </w:rPr>
              <w:t>Difference</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Patents and technology</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1,533</w:t>
            </w:r>
          </w:p>
        </w:tc>
      </w:tr>
      <w:tr>
        <w:trPr>
          <w:trHeight w:val="27"/>
        </w:trPr>
        <w:tc>
          <w:tcPr>
            <w:tcW w:w="5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 in purchase price allocation to intangible assets also resulted in a decrease in amortization charges retrospectively starting with the first quarter of 2012. The decrease in amortization charges in the three month periods ended March 31, June 30 and September 30, 2012, were $25, $75 and $75,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CC"/>
        </w:rPr>
        <w:t>Unaudited Supplemental Pro Forma information</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Revenue and net loss from the video conferencing business from February 16, 2012 to December 31, 2012 were $1,319 and ($1,170), respectively.</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40" w:type="dxa"/>
            <w:vAlign w:val="bottom"/>
          </w:tcPr>
          <w:p>
            <w:pPr>
              <w:spacing w:after="0"/>
              <w:rPr>
                <w:sz w:val="16"/>
                <w:szCs w:val="16"/>
                <w:color w:val="auto"/>
              </w:rPr>
            </w:pPr>
          </w:p>
        </w:tc>
      </w:tr>
      <w:tr>
        <w:trPr>
          <w:trHeight w:val="276"/>
        </w:trPr>
        <w:tc>
          <w:tcPr>
            <w:tcW w:w="744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46,630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47,583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6,046</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F- 13 |</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There were no material, nonrecurring pro forma adjustments directly attributable to the acquisition included in this supplemental 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CC"/>
        </w:rPr>
        <w:t>Acquisition of digital signage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6, 2011, the Company acquired substantially all the assets of MagicBox, Inc. through an asset purchase agreement.</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MagicBox’s content management and control technology, along with its industry-leading database integration software complemented ClearOne's StreamNet systems. MagicBox had complementary products to ClearOne for a broad spectrum of applications. StreamNet technology delivers low-latency HD distribution over IP which to ClearOne fits well with MagicBox's content creation, scheduling, database integration and digital signage domain expertise.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Pursuant to the asset purchase agreement, the Company paid Magic Box, Inc. $980 in cash.</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9940" w:type="dxa"/>
            <w:vAlign w:val="bottom"/>
          </w:tcPr>
          <w:p>
            <w:pPr>
              <w:spacing w:after="0"/>
              <w:rPr>
                <w:sz w:val="20"/>
                <w:szCs w:val="20"/>
                <w:color w:val="auto"/>
              </w:rPr>
            </w:pPr>
            <w:r>
              <w:rPr>
                <w:rFonts w:ascii="Arial" w:cs="Arial" w:eastAsia="Arial" w:hAnsi="Arial"/>
                <w:sz w:val="18"/>
                <w:szCs w:val="18"/>
                <w:color w:val="auto"/>
              </w:rPr>
              <w:t>The fair value of identified assets and liabilities acquired and goodwill was as follows: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5"/>
        </w:trPr>
        <w:tc>
          <w:tcPr>
            <w:tcW w:w="9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Proprietary software</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9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99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goodwill of $427 is composed of expected synergies in utilizing MagicBox technology in ClearOne product offerings, reduction in future combined research and development expenses, and intangible assets including acquired workforce that do not qualify for separate recognition. The goodwill balance of $427 related to the MagicBox acquisition is deductible for tax purposes.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incurred $327 and $167 towards acquisition related expenses, all of which are categorized under General and Administrative expenses in the Consolidated Statements of Operations for years ended December 31,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2012 and 2011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Balance as of January 1,</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2,319</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3,472</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3,472</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F- 14 |</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2012 and 2011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5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578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2011</w:t>
            </w: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7 years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5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2,070</w:t>
            </w:r>
          </w:p>
        </w:tc>
      </w:tr>
      <w:tr>
        <w:trPr>
          <w:trHeight w:val="27"/>
        </w:trPr>
        <w:tc>
          <w:tcPr>
            <w:tcW w:w="5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15 years</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Indefinite</w:t>
            </w:r>
          </w:p>
        </w:tc>
        <w:tc>
          <w:tcPr>
            <w:tcW w:w="5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559</w:t>
            </w:r>
          </w:p>
        </w:tc>
      </w:tr>
      <w:tr>
        <w:trPr>
          <w:trHeight w:val="27"/>
        </w:trPr>
        <w:tc>
          <w:tcPr>
            <w:tcW w:w="5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 years</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37"/>
        </w:trPr>
        <w:tc>
          <w:tcPr>
            <w:tcW w:w="5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3,507</w:t>
            </w:r>
          </w:p>
        </w:tc>
      </w:tr>
      <w:tr>
        <w:trPr>
          <w:trHeight w:val="27"/>
        </w:trPr>
        <w:tc>
          <w:tcPr>
            <w:tcW w:w="5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37"/>
        </w:trPr>
        <w:tc>
          <w:tcPr>
            <w:tcW w:w="57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2,690</w:t>
            </w:r>
          </w:p>
        </w:tc>
      </w:tr>
      <w:tr>
        <w:trPr>
          <w:trHeight w:val="27"/>
        </w:trPr>
        <w:tc>
          <w:tcPr>
            <w:tcW w:w="5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2012 and 2011, amortization of these intangible assets were $679 and $393,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8"/>
              </w:rPr>
              <w:t>Years ending December 31,</w:t>
            </w:r>
          </w:p>
        </w:tc>
        <w:tc>
          <w:tcPr>
            <w:tcW w:w="5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2013</w:t>
            </w:r>
          </w:p>
        </w:tc>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7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5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7"/>
        </w:trPr>
        <w:tc>
          <w:tcPr>
            <w:tcW w:w="7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Arial" w:cs="Arial" w:eastAsia="Arial" w:hAnsi="Arial"/>
                <w:sz w:val="18"/>
                <w:szCs w:val="18"/>
                <w:color w:val="auto"/>
              </w:rPr>
              <w:t>Inventories, net of reserves, consisted of the following:</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57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10,139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10,873</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880" w:type="dxa"/>
            <w:vAlign w:val="bottom"/>
            <w:tcBorders>
              <w:bottom w:val="single" w:sz="8" w:color="CCEEFF"/>
            </w:tcBorders>
          </w:tcPr>
          <w:p>
            <w:pPr>
              <w:spacing w:after="0"/>
              <w:rPr>
                <w:sz w:val="5"/>
                <w:szCs w:val="5"/>
                <w:color w:val="auto"/>
              </w:rPr>
            </w:pPr>
          </w:p>
        </w:tc>
        <w:tc>
          <w:tcPr>
            <w:tcW w:w="574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Current finished goods include consigned inventory in the amounts of approximately $1,289 and $1,199 as of December 31, 2012 and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F- 15 |</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$1,235 and $188 during the years ended December 31,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10 years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 to 6 years</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1,392</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and test equipment</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2 to 10 years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w:t>
            </w:r>
          </w:p>
        </w:tc>
      </w:tr>
      <w:tr>
        <w:trPr>
          <w:trHeight w:val="237"/>
        </w:trPr>
        <w:tc>
          <w:tcPr>
            <w:tcW w:w="5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13,638</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13,609</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2,338</w:t>
            </w:r>
          </w:p>
        </w:tc>
      </w:tr>
      <w:tr>
        <w:trPr>
          <w:trHeight w:val="20"/>
        </w:trPr>
        <w:tc>
          <w:tcPr>
            <w:tcW w:w="5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2012 and 2011 was $1,238 and $892,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Rent expense is recognized on a straight-line basis over the period of the lease taking into account future rent escalation and holiday periods. Rent expense, was $973 and $762 for the years ended December 31, 2012 and 2011, respectively.</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currently occupy a 31,000 square-foot facility in Salt Lake City, Utah under the terms of an operating lease expiring in May 2016 which supports our principal administrative, sales, marketing, customer support, and research and product development facility.</w:t>
      </w:r>
    </w:p>
    <w:p>
      <w:pPr>
        <w:spacing w:after="0" w:line="1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occupy a 40,000 square-foot warehouse in Salt Lake City, Utah under the terms of an operating lease expiring in December 2017 which serves as our primary inventory fulfillment and repair center. Our earlier lease for the 24,000 square-foot warehouse in Salt Lake City terminated in January 2012.</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currently lease a warehouse measuring approximately 5,600 square-feet in Hong Kong under an operating lease that expires in February 2014. This warehouse is maintained to support our partners and customers located in the Asia-Pacific region.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also occupy a 11,100 square-foot facility in Austin, Texas under the terms of an operating lease expiring in August 2016, which serves as an additional facility to support our administrative, sales, marketing, customer support, and research and development activities.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lease two facilities in Israel - a 4,700 square foot office facility in Hod Hasharon to primarily support our research and development activities and a 1,000 square foot warehouse in Tzur Yigal. The Hod Hasharon lease expires in December 2013, with options to extend from two to six years. The Tzur Yigal lease expires in August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5"/>
        </w:trPr>
        <w:tc>
          <w:tcPr>
            <w:tcW w:w="9600" w:type="dxa"/>
            <w:vAlign w:val="bottom"/>
          </w:tcPr>
          <w:p>
            <w:pPr>
              <w:ind w:left="40"/>
              <w:spacing w:after="0"/>
              <w:rPr>
                <w:sz w:val="20"/>
                <w:szCs w:val="20"/>
                <w:color w:val="auto"/>
              </w:rPr>
            </w:pPr>
            <w:r>
              <w:rPr>
                <w:rFonts w:ascii="Arial" w:cs="Arial" w:eastAsia="Arial" w:hAnsi="Arial"/>
                <w:sz w:val="18"/>
                <w:szCs w:val="18"/>
                <w:color w:val="auto"/>
              </w:rPr>
              <w:t>2013</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2015</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57"/>
        </w:trPr>
        <w:tc>
          <w:tcPr>
            <w:tcW w:w="9600" w:type="dxa"/>
            <w:vAlign w:val="bottom"/>
          </w:tcPr>
          <w:p>
            <w:pPr>
              <w:ind w:left="180"/>
              <w:spacing w:after="0"/>
              <w:rPr>
                <w:sz w:val="20"/>
                <w:szCs w:val="20"/>
                <w:color w:val="auto"/>
              </w:rPr>
            </w:pPr>
            <w:r>
              <w:rPr>
                <w:rFonts w:ascii="Arial" w:cs="Arial" w:eastAsia="Arial" w:hAnsi="Arial"/>
                <w:sz w:val="18"/>
                <w:szCs w:val="18"/>
                <w:color w:val="auto"/>
              </w:rPr>
              <w:t>Total minimum lease payments</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3,789</w:t>
            </w: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F- 16 |</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and other compensation</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118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1,247</w:t>
            </w:r>
          </w:p>
        </w:tc>
      </w:tr>
      <w:tr>
        <w:trPr>
          <w:trHeight w:val="27"/>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2,234</w:t>
            </w:r>
          </w:p>
        </w:tc>
      </w:tr>
      <w:tr>
        <w:trPr>
          <w:trHeight w:val="20"/>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$3,980 as of December 31, 2012.</w:t>
      </w:r>
    </w:p>
    <w:p>
      <w:pPr>
        <w:spacing w:after="0" w:line="18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color w:val="auto"/>
        </w:rPr>
        <w:t xml:space="preserve">Unrecognized Tax Benefits. </w:t>
      </w:r>
      <w:r>
        <w:rPr>
          <w:rFonts w:ascii="Arial" w:cs="Arial" w:eastAsia="Arial" w:hAnsi="Arial"/>
          <w:sz w:val="17"/>
          <w:szCs w:val="17"/>
          <w:color w:val="auto"/>
        </w:rPr>
        <w:t>As further discussed in “Note 11 - Income taxes” of Notes to Consolidated Financial Statements, we have adopted the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of Accounting Standards Codification (“ASC”) 740. We had $2,384 of unrecognized tax benefits as of December 31, 2012. Due to the inherent uncertainty of the underlying tax positions, it is not possible to assign the liability as of December 31, 2012 to any particular year.</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Legal Proceedings. </w:t>
      </w:r>
      <w:r>
        <w:rPr>
          <w:rFonts w:ascii="Arial" w:cs="Arial" w:eastAsia="Arial" w:hAnsi="Arial"/>
          <w:sz w:val="18"/>
          <w:szCs w:val="18"/>
          <w:color w:val="auto"/>
        </w:rPr>
        <w:t>In addition to the legal proceedings described below, we are also involved from time to time in various claims and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arise in the normal course of our business. Such matters are subject to many uncertainties and outcomes that are not predictable. However, based on the information available to us, we do not believe any such proceedings will have a material adverse effect on our business, results of operations, financial position, or liquidity, except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July 2007 and January 2008, the U.S. Attorney for the District of Utah indicted two of our former officers, Frances Flood (“Flood”) and Susie Strohm (“Strohm”), for allegedly causing us to issue materially misstated financial statements for our 2001 and 2002 fiscal years and for perjury in connection with the investigation by the SEC into the alleged misstatements. In December 2003, we entered into indemnification agreements with each former officer, requiring payment of all reasonable attorneys’ fees and costs incurred in defending against the charges in certain circumstances consistent with and subject to limitations imposed by our bylaws and applicable law. To date, we have paid approximately $3,390 in attorneys’ fees and costs to defend against the charges. In February 2009, Flood was convicted on nine counts and Strohm was convicted on one count. In June 2010, Flood was sentenced to four years in prison and three years of probation and Strohm was sentenced to two years of probation plus 150 hours of community service. In April 2011, the Tenth Circuit Court of Appeals in Denver affirmed Flood’s conviction, but has allowed her to assert in a collateral proceeding her claim that she received ineffective assistance of counsel. In November 2011, the Tenth Circuit affirmed Strohm’s perjury conviction as well.</w:t>
      </w:r>
    </w:p>
    <w:p>
      <w:pPr>
        <w:spacing w:after="0" w:line="17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Flood</w:t>
      </w:r>
      <w:r>
        <w:rPr>
          <w:rFonts w:ascii="Arial" w:cs="Arial" w:eastAsia="Arial" w:hAnsi="Arial"/>
          <w:sz w:val="17"/>
          <w:szCs w:val="17"/>
          <w:color w:val="auto"/>
        </w:rPr>
        <w:t>: In August 2008, Flood filed a lawsuit in Federal District Court for the District of Utah, seeking to compel us to pay her attorneys’ fees and costs to</w:t>
      </w:r>
      <w:r>
        <w:rPr>
          <w:rFonts w:ascii="Arial" w:cs="Arial" w:eastAsia="Arial" w:hAnsi="Arial"/>
          <w:sz w:val="17"/>
          <w:szCs w:val="17"/>
          <w:b w:val="1"/>
          <w:bCs w:val="1"/>
          <w:color w:val="auto"/>
        </w:rPr>
        <w:t xml:space="preserve"> </w:t>
      </w:r>
      <w:r>
        <w:rPr>
          <w:rFonts w:ascii="Arial" w:cs="Arial" w:eastAsia="Arial" w:hAnsi="Arial"/>
          <w:sz w:val="17"/>
          <w:szCs w:val="17"/>
          <w:color w:val="auto"/>
        </w:rPr>
        <w:t>defend against the criminal charges. The District Court issued a preliminary injunction in January 2009 requiring us to pay Flood’s criminal legal fees and costs through trial. Pursuant to the Court’s order, ClearOne paid approximately $373 to Flood’s attorneys and approximately $248 into the Court’s escrow. In July 2009, ClearOne asserted counterclaims against Flood and sought to recover $3,390 plus interest, costs and attorneys' fees.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F- 17 |</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Tenth Circuit Court of Appeals issued a ruling in August 2010 vacating the District Court’s preliminary injunction on the grounds that it rested on a legally erroneous interpretation of Flood’s Employment Separation Agreement. ClearOne filed a motion in the United States District Court for the District of Utah seeking a return of the monies paid by ClearOne pursuant to the Court’s order. The District Court granted ClearOne’s motion in January 2012 for return of the $248 held in the Court’s escrow, but denied ClearOne’s motion with respect to the $373 paid to Flood’s attorneys.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filed a motion for summary judgment in August 2012 seeking dismissal of Flood's claims and judgment on our own claims against Flood. On or about March 1, 2013, Flood filed for bankruptcy in the U.S. Bankruptcy Court for the Eastern District of Virginia. On March 19, 2013, the US District Court for the District of Utah issued an order staying this case.</w:t>
      </w:r>
    </w:p>
    <w:p>
      <w:pPr>
        <w:spacing w:after="0" w:line="177" w:lineRule="exact"/>
        <w:rPr>
          <w:sz w:val="20"/>
          <w:szCs w:val="20"/>
          <w:color w:val="auto"/>
        </w:rPr>
      </w:pPr>
    </w:p>
    <w:p>
      <w:pPr>
        <w:jc w:val="both"/>
        <w:ind w:right="120"/>
        <w:spacing w:after="0" w:line="289" w:lineRule="auto"/>
        <w:rPr>
          <w:sz w:val="20"/>
          <w:szCs w:val="20"/>
          <w:color w:val="auto"/>
        </w:rPr>
      </w:pPr>
      <w:r>
        <w:rPr>
          <w:rFonts w:ascii="Arial" w:cs="Arial" w:eastAsia="Arial" w:hAnsi="Arial"/>
          <w:sz w:val="17"/>
          <w:szCs w:val="17"/>
          <w:b w:val="1"/>
          <w:bCs w:val="1"/>
          <w:color w:val="auto"/>
        </w:rPr>
        <w:t>Strohm</w:t>
      </w:r>
      <w:r>
        <w:rPr>
          <w:rFonts w:ascii="Arial" w:cs="Arial" w:eastAsia="Arial" w:hAnsi="Arial"/>
          <w:sz w:val="17"/>
          <w:szCs w:val="17"/>
          <w:color w:val="auto"/>
        </w:rPr>
        <w:t>: Strohm and her counsel (“Dorsey”) filed a lawsuit in August 2008 in the Third Judicial District Court in Salt Lake City, Utah seeking to compel us</w:t>
      </w:r>
      <w:r>
        <w:rPr>
          <w:rFonts w:ascii="Arial" w:cs="Arial" w:eastAsia="Arial" w:hAnsi="Arial"/>
          <w:sz w:val="17"/>
          <w:szCs w:val="17"/>
          <w:b w:val="1"/>
          <w:bCs w:val="1"/>
          <w:color w:val="auto"/>
        </w:rPr>
        <w:t xml:space="preserve"> </w:t>
      </w:r>
      <w:r>
        <w:rPr>
          <w:rFonts w:ascii="Arial" w:cs="Arial" w:eastAsia="Arial" w:hAnsi="Arial"/>
          <w:sz w:val="17"/>
          <w:szCs w:val="17"/>
          <w:color w:val="auto"/>
        </w:rPr>
        <w:t>to pay Strohm’s attorneys’ fees and costs to defend her against the criminal charges, plus interest, and for attorneys’ fees in connection with the civil action. ClearOne asserted counterclaims against Strohm in August 2009 seeking to recover $3,296 plus interest, costs and attorneys' fees.</w:t>
      </w:r>
    </w:p>
    <w:p>
      <w:pPr>
        <w:spacing w:after="0" w:line="1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District Court entered Judgment against ClearOne in June 2011 for $973 in fees and expenses in the criminal case, plus $362 in interest at 18% through February 1, 2011, which amounts were paid by ClearOne under protest to Dorsey on February 1, 2011. The Judgment also included $865 in civil case fees and expenses plus interest. ClearOne has posted a cash bond to cover the civil case fees and interest pending ClearOne’s appeal. ClearOne as well as Dorsey appealed against the judgment. The Utah Supreme Court heard oral arguments in September 2012 and has yet to express its decision.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Theft of Intellectual Property and Related Cases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2007, we filed a lawsuit in the Third Judicial District Court, Salt Lake County, Utah against WideBand Solutions, Inc. (“WideBand”) and two of its principals, Dr. Jun Yang, and Andrew Chiang for misappropriation of our trade secrets (the “Trade Secret Case”). We also brought claims against Biamp Systems Corporation, Inc. (“Biamp”). The litigation eventually included other defendants, namely Lonny Bowers, Donald Bowers, David Sullivan, Dial HD and Versatile DSP. The matter was subsequently removed to federal court. The United States District Court, District of Utah, Central Division.</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litigation involving various appeals filed by all parties extended to various state courts, federal courts and the federal appeal court. The court found the defendants guilty of willfully and maliciously misappropriating our trade secrets. Various awards were made in ClearOne's favor and against the defendants. Biamp settled with us and paid $3,860 after we won the appeal in the Tenth Circuit court. We also settled with one of the defendants and received $250 in February 2012. We have various awards against other defendants amounting to approximately $7,658 owed jointly and severally by them. While we intend to vigorously pursue collection of these outstanding awards, there can be no assurance that we will ultimately collect on all or a portion of these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ARS Special Arbitration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filed separate arbitration proceedings against UBS Financial Services, Inc. (“UBS”) and Morgan Stanley &amp; Co., Inc. (“Morgan Stanley”) with the Financial Industry Regulatory Authority (“FINRA”) pursuant to the Auction Rate Securities (“ARS”) Special Arbitration Procedures established by FINRA. At the relevant time, we held an aggregate of $12,200 in ARS from UBS and Morgan Stanley, which turned out to be illiquid. In October 2008, we accepted offers to repurchase our $12,200 of ARS, at par value, from these two investment banks that sold them to us pursuant to the settlement agreements, but did not waive any claims for consequential damages. In both arbitration proceedings, we sought consequential damages as a result of our inability to access funds invested in ARS that UBS and Morgan Stanley sold to us, including losses with respect to a planned strategic business acquisition and related due diligence costs. No claims were asserted against us by UBS or Morgan Stanley.</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With respect to the Morgan Stanley arbitration, the arbitration panel denied our claims in their entirety. With respect to the UBS arbitration under a different panel, we settled the dispute for a total amount of $45 million in December 2012. The settlement award was subject to a 15% contingency legal fee of $6.75 million which was also paid in December 2012 to our litigation counsel.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F- 18 |</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Conclusion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legal proceedings are subject to all of the risks and uncertainties of legal proceedings and there can be no assurance as to the probable result of the legal proceedings.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believes it is adequately accrued for the aforementioned contingent liabilities. While we intend to defend ourselves in the above matters vigorously and diligently, there exists the possibility of adverse outcomes that we estimate could be up to $1,000 over and above amounts already provided for. If these adverse outcomes were to occur, our financial position, results of operations and cash flows could be negatively affected materially for the period in which the adverse outcomes are known.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share-based compensation primarily consists of two share-based compensation plans, one which was replaced on November 20, 2007, and one which became active on the same date. The plans are described below.</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Under both plans, one new share is issued for each stock option exercised.</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2012 had contractual lives of ten years. Under the 1998 Plan, 2,500,000 shares were authorized for grant. As of December 31, 2012, there were 578,615 options outstanding under the 1998 Plan, which includes the cliff vesting and 3 or 4-year vesting options discussed above. As of December 31, 2012, there were 558,668 options outstanding under the 2007 Plan. As of December 31, 2012, the 2007 Plan had 357,410 authorized unissued options, while there were no options remaining that could be granted under the 1998 Plan.</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1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F- 19 |</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66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940" w:type="dxa"/>
            <w:vAlign w:val="bottom"/>
            <w:gridSpan w:val="2"/>
          </w:tcPr>
          <w:p>
            <w:pPr>
              <w:ind w:left="600"/>
              <w:spacing w:after="0"/>
              <w:rPr>
                <w:sz w:val="20"/>
                <w:szCs w:val="20"/>
                <w:color w:val="auto"/>
              </w:rPr>
            </w:pPr>
            <w:r>
              <w:rPr>
                <w:rFonts w:ascii="Arial" w:cs="Arial" w:eastAsia="Arial" w:hAnsi="Arial"/>
                <w:sz w:val="18"/>
                <w:szCs w:val="18"/>
                <w:color w:val="auto"/>
              </w:rPr>
              <w:t>7.2 years</w:t>
            </w:r>
          </w:p>
        </w:tc>
        <w:tc>
          <w:tcPr>
            <w:tcW w:w="1820" w:type="dxa"/>
            <w:vAlign w:val="bottom"/>
          </w:tcPr>
          <w:p>
            <w:pPr>
              <w:ind w:left="540"/>
              <w:spacing w:after="0"/>
              <w:rPr>
                <w:sz w:val="20"/>
                <w:szCs w:val="20"/>
                <w:color w:val="auto"/>
              </w:rPr>
            </w:pPr>
            <w:r>
              <w:rPr>
                <w:rFonts w:ascii="Arial" w:cs="Arial" w:eastAsia="Arial" w:hAnsi="Arial"/>
                <w:sz w:val="18"/>
                <w:szCs w:val="18"/>
                <w:color w:val="auto"/>
              </w:rPr>
              <w:t>7.15 years</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 The Company does not currently intend to distribute any dividend payments to shareholders.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guidelines of ASC Topic 718,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Term (Years)</w:t>
            </w:r>
          </w:p>
        </w:tc>
        <w:tc>
          <w:tcPr>
            <w:tcW w:w="30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187,000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 and canceled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 prior to vesting</w:t>
            </w:r>
          </w:p>
        </w:tc>
        <w:tc>
          <w:tcPr>
            <w:tcW w:w="1600" w:type="dxa"/>
            <w:vAlign w:val="bottom"/>
          </w:tcPr>
          <w:p>
            <w:pPr>
              <w:jc w:val="right"/>
              <w:spacing w:after="0"/>
              <w:rPr>
                <w:sz w:val="20"/>
                <w:szCs w:val="20"/>
                <w:color w:val="auto"/>
              </w:rPr>
            </w:pPr>
            <w:r>
              <w:rPr>
                <w:rFonts w:ascii="Arial" w:cs="Arial" w:eastAsia="Arial" w:hAnsi="Arial"/>
                <w:sz w:val="18"/>
                <w:szCs w:val="18"/>
                <w:color w:val="auto"/>
              </w:rPr>
              <w:t>(38,341)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2012</w:t>
            </w: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1,137,283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2012</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1,137,283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Vested at December 31, 2012</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853,350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weighted average per share fair value of options granted during the years ending December 31, 2012 and 2011 was $2.16 and $2.85 respectively. The total intrinsic value of options exercised during the years ended December 31, 2012 and 2011 was $152 and $411, respectively.</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total pre-tax compensation cost related to stock options recognized during the years ended December 31, 2012 and 2011 was $241 and $187, respectively. Tax benefit from compensation cost related to stock options during the years ended December 31, 2012 and 2011 was $18 and $27, respectively. As of December 31, 2012, the total compensation cost related to stock options not yet recognized and before the effect of any forfeitures was $593, which is expected to be recognized over approximately the next 2.8 years on a straight-line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Repurchase Program</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2012, our Board of Directors authorized a stock repurchase program to purchase the Company's common stock in the open market. A total of 94,744 shares costing $384 have been purchased under this program during the year ended December 31, 2012. No shares were purchased during the year ended December 31, 2011. The cost of shares purchased is recorded as a reduction to shareholders' equity. As of December 31, 2012, the Company was authorized to purchase additional $2,616 worth of shares in the open market.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F- 20 |</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Pr>
          <w:p>
            <w:pPr>
              <w:spacing w:after="0"/>
              <w:rPr>
                <w:sz w:val="16"/>
                <w:szCs w:val="16"/>
                <w:color w:val="auto"/>
              </w:rPr>
            </w:pPr>
          </w:p>
        </w:tc>
      </w:tr>
      <w:tr>
        <w:trPr>
          <w:trHeight w:val="276"/>
        </w:trPr>
        <w:tc>
          <w:tcPr>
            <w:tcW w:w="75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75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8680" w:type="dxa"/>
            <w:vAlign w:val="bottom"/>
            <w:gridSpan w:val="2"/>
          </w:tcPr>
          <w:p>
            <w:pPr>
              <w:spacing w:after="0"/>
              <w:rPr>
                <w:sz w:val="20"/>
                <w:szCs w:val="20"/>
                <w:color w:val="auto"/>
              </w:rPr>
            </w:pPr>
            <w:r>
              <w:rPr>
                <w:rFonts w:ascii="Arial" w:cs="Arial" w:eastAsia="Arial" w:hAnsi="Arial"/>
                <w:sz w:val="18"/>
                <w:szCs w:val="18"/>
                <w:color w:val="auto"/>
              </w:rPr>
              <w:t>* Sales didn't exceed 10% of the revenue.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w w:val="99"/>
              </w:rPr>
              <w:t>The following table summarizes the percentage of total gross accounts receivable from significant customers: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3"/>
        </w:trPr>
        <w:tc>
          <w:tcPr>
            <w:tcW w:w="7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1100" w:type="dxa"/>
            <w:vAlign w:val="bottom"/>
          </w:tcPr>
          <w:p>
            <w:pPr>
              <w:spacing w:after="0"/>
              <w:rPr>
                <w:sz w:val="24"/>
                <w:szCs w:val="24"/>
                <w:color w:val="auto"/>
              </w:rPr>
            </w:pPr>
          </w:p>
        </w:tc>
      </w:tr>
      <w:tr>
        <w:trPr>
          <w:trHeight w:val="276"/>
        </w:trPr>
        <w:tc>
          <w:tcPr>
            <w:tcW w:w="75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Customer B</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5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 and have a material adverse effect on the Company’s business and results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before taxes for domestic and foreign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w w:val="96"/>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8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42,990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Foreign</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278</w:t>
            </w: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42,555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10,596</w:t>
            </w:r>
          </w:p>
        </w:tc>
      </w:tr>
      <w:tr>
        <w:trPr>
          <w:trHeight w:val="20"/>
        </w:trPr>
        <w:tc>
          <w:tcPr>
            <w:tcW w:w="7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F- 21 |</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(provision) for income taxes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Federal</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(16,910)</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(2,106)</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Foreign</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7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Deferred:</w:t>
            </w: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State</w:t>
            </w:r>
          </w:p>
        </w:tc>
        <w:tc>
          <w:tcPr>
            <w:tcW w:w="7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w:t>
            </w:r>
          </w:p>
        </w:tc>
      </w:tr>
      <w:tr>
        <w:trPr>
          <w:trHeight w:val="27"/>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19"/>
        </w:trPr>
        <w:tc>
          <w:tcPr>
            <w:tcW w:w="8380" w:type="dxa"/>
            <w:vAlign w:val="bottom"/>
            <w:gridSpan w:val="2"/>
          </w:tcPr>
          <w:p>
            <w:pPr>
              <w:spacing w:after="0"/>
              <w:rPr>
                <w:sz w:val="20"/>
                <w:szCs w:val="20"/>
                <w:color w:val="auto"/>
              </w:rPr>
            </w:pPr>
            <w:r>
              <w:rPr>
                <w:rFonts w:ascii="Arial" w:cs="Arial" w:eastAsia="Arial" w:hAnsi="Arial"/>
                <w:sz w:val="18"/>
                <w:szCs w:val="18"/>
                <w:color w:val="auto"/>
                <w:w w:val="92"/>
              </w:rPr>
              <w:t>The income tax (provision) differs from that computed at the federal statutory corporate income tax rate as follows: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3"/>
        </w:trPr>
        <w:tc>
          <w:tcPr>
            <w:tcW w:w="7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Pr>
          <w:p>
            <w:pPr>
              <w:spacing w:after="0"/>
              <w:rPr>
                <w:sz w:val="24"/>
                <w:szCs w:val="24"/>
                <w:color w:val="auto"/>
              </w:rPr>
            </w:pPr>
          </w:p>
        </w:tc>
      </w:tr>
      <w:tr>
        <w:trPr>
          <w:trHeight w:val="276"/>
        </w:trPr>
        <w:tc>
          <w:tcPr>
            <w:tcW w:w="76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at Federal statutory rate</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benefit</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earnings or losses taxed at different rates</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7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F- 22 |</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significant temporary differences representing net deferred tax assets and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As of December 31, 2012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As of December 31, 2011</w:t>
            </w:r>
          </w:p>
        </w:tc>
      </w:tr>
      <w:tr>
        <w:trPr>
          <w:trHeight w:val="264"/>
        </w:trPr>
        <w:tc>
          <w:tcPr>
            <w:tcW w:w="5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Long-term</w:t>
            </w: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 in property and equipment basis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deferred income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Company has not provided for U.S. deferred income taxes 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It is not practical to estimate the amount of additional taxes that might be payable on such undistributed earnings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accordance with ASC Topic 740, the Company analyzed its valuation allowance at December 31, 2012 and determined that, based upon available evidence, it is more likely than not that certain of its deferred tax assets may not be realized and, as such, has established a valuation allowance against certain deferred tax assets. These deferred tax assets include capital loss carryovers and state research and development credits.</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statute allowing a federal research and development credit (the “R&amp;D Credit”) expired for years beginning after December 31, 2011. Congress renewed the R&amp;D Credit for the years 2012 and 2013 with the American Taxpayer Relief Act of 2012 (the “Act”). Accounting guidance requires that the effects of a change in tax law be recognized in the period that includes the enactment date. For U.S. federal tax purposes, the enactment date of the Act is the date the President signs the bill into law. The President did not sign the Act into law until January 2, 2013. Therefore, the entire benefit of the R&amp;D credit for 2012 will be recognized in the first quarter of 2013, the reporting period that includes the enactment date. The benefit for the 2013 R&amp;D Credit will be recognized for interim reporting as a part of the forecasted annual effective tax rate. In prior years, the benefit from the R&amp;D Credit has ranged from $288 to $316.</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2012, the Company had state research credit carryforwards of $304, which will begin to expire in 2024 if not utilized. The Company has federal net operating loss (“NOL”) carryforwards of approximately $1,489 (pre-tax) and Hong Kong NOL carryforwards of approximately $3,464 (pre-tax). The federal NOL carryforwards will begin to expire in 2025. The Hong Kong NOL carryforwards do not expire.</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total amount of unrecognized tax benefits at December 31, 2012 and 2011, that would favorably impact our effective tax rate if recognized was $802 and $523, respectively. As of December 31, 2012 and 2011, we accrued $56 and $24,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F- 23 |</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9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interest and penalties related to unrecognized tax benefits. We account for interest expense and penalties for unrecognized tax benefits as part of our income tax provision.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beginning of year</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0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229</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0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ending balance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U.S. federal income tax returns for 2007 through 2012 are subject to examination. The Company also files in various state and foreign jurisdictions. With few exceptions, the Company is no longer subject to federal, state, or non-U.S. income tax examinations by tax authorities for years prior to 2009. The Company completed its audit by the Internal Revenue Service (“IRS”) for its 2006 tax return in 2010. As a result of the audit by the IRS, there were no material adjustments made to the Company’s tax return.</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Inland Revenue Department of Hong Kong, a Special Administrative Region (the “IRD”), commenced an examination of the Company's Hong Kong profits tax returns for 2009 through 2011 in the fourth quarter of 2012 that is anticipated to be completed by the end of 2013. The Company does not anticipate the examination will result in a material change to its financial position. During the next twelve months, the Company anticipates that the Act may result in an increase to its unrecognized tax benefits. No significant reduction from the lapse of statutes of limitations is expected to result.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Sales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83"/>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30,312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29,220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10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16,105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16,847</w:t>
            </w:r>
          </w:p>
        </w:tc>
      </w:tr>
      <w:tr>
        <w:trPr>
          <w:trHeight w:val="27"/>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46,417</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46,067</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year ended December 31, 2012 for subsequent events through the date the financial statements were issued. The Company is not aware of any other subsequent events which would require recognition or disclosure in the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F- 24 |</w:t>
      </w:r>
    </w:p>
    <w:p>
      <w:pPr>
        <w:sectPr>
          <w:pgSz w:w="11900" w:h="16838" w:orient="portrait"/>
          <w:cols w:equalWidth="0" w:num="1">
            <w:col w:w="11420"/>
          </w:cols>
          <w:pgMar w:left="240" w:top="12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ClearOne,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DURATION OF THE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duration of the corporation is perpetual.</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ARTICLE III</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PURPOSES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purpose for which this Corporation is organized is the engineering, designing, consulting, servicing, maintaining and repairing and manufacturing of electronic equipment and all matters related or ancillary thereto and to do all things and engage in all lawful transactions which a corporation organized under the laws of the State of Utah might do or engage in, even though not expressly stated herein.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aggregate number of shares which this corporation shall have authority to issue is fifty million (50,000,000) shares of common stock of a par value of one mil ($0.001) per share. All shares of common stock of this corporation shall be of the same class and shall have the same rights and preferences. Fully paid shares of common stock of this corporation shall not be liable to any further call or assessment.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PREEMPTIVE RIGHTS</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authorized and treasury stock of this Corporation may be issued at such time, upon such terms and conditions and for such consideration as the Board of Directors shall determine. Shareholders shall not have pre-emptive rights to acquire unissued shares of the stock of this Corporation.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VOTING OF SHARES</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to all actions to be voted on by the shareholders, each holder of common stock of the corporation shall be entitled to one vote for each share of such stock standing in his name on the books of the corporation, and shall not be entitled to accumulate votes for the purpose of electing directors.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COMMENCING BUSINESS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corporation shall not commence business until consideration of a value of at least One Thousand Dollars ($1,000.000) shall have been received by this corporation for the issuance of its shares of common stock.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BY-LAWS</w:t>
      </w:r>
    </w:p>
    <w:p>
      <w:pPr>
        <w:spacing w:after="0" w:line="17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Directors shall and the shareholders may adopt By-Laws which are not inconsistent with law or these Articles of Incorporation for the regulation and management of the affairs of this corporation. These By-Laws may be amended from time to time, or repealed, pursuant to law.</w:t>
      </w:r>
    </w:p>
    <w:p>
      <w:pPr>
        <w:sectPr>
          <w:pgSz w:w="11900" w:h="16838" w:orient="portrait"/>
          <w:cols w:equalWidth="0" w:num="1">
            <w:col w:w="11420"/>
          </w:cols>
          <w:pgMar w:left="240" w:top="661"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61" w:right="239" w:bottom="1440" w:gutter="0" w:footer="0" w:header="0"/>
          <w:type w:val="continuous"/>
        </w:sectPr>
      </w:pPr>
    </w:p>
    <w:bookmarkStart w:id="59" w:name="page60"/>
    <w:bookmarkEnd w:id="59"/>
    <w:p>
      <w:pPr>
        <w:ind w:left="5160"/>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REGISTERED OFFICE AND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this Corporation's registered office and the name of its registered agent at such address is: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9280" w:type="dxa"/>
            <w:vAlign w:val="bottom"/>
            <w:gridSpan w:val="5"/>
          </w:tcPr>
          <w:p>
            <w:pPr>
              <w:spacing w:after="0"/>
              <w:rPr>
                <w:sz w:val="20"/>
                <w:szCs w:val="20"/>
                <w:color w:val="auto"/>
              </w:rPr>
            </w:pPr>
            <w:r>
              <w:rPr>
                <w:rFonts w:ascii="Arial" w:cs="Arial" w:eastAsia="Arial" w:hAnsi="Arial"/>
                <w:sz w:val="18"/>
                <w:szCs w:val="18"/>
                <w:color w:val="auto"/>
              </w:rPr>
              <w:t>ADDRESS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3"/>
              </w:rPr>
              <w:t>Zeynep Hakimoglu</w:t>
            </w:r>
          </w:p>
        </w:tc>
        <w:tc>
          <w:tcPr>
            <w:tcW w:w="9280" w:type="dxa"/>
            <w:vAlign w:val="bottom"/>
            <w:gridSpan w:val="5"/>
          </w:tcPr>
          <w:p>
            <w:pPr>
              <w:ind w:left="520"/>
              <w:spacing w:after="0"/>
              <w:rPr>
                <w:sz w:val="20"/>
                <w:szCs w:val="20"/>
                <w:color w:val="auto"/>
              </w:rPr>
            </w:pPr>
            <w:r>
              <w:rPr>
                <w:rFonts w:ascii="Arial" w:cs="Arial" w:eastAsia="Arial" w:hAnsi="Arial"/>
                <w:sz w:val="18"/>
                <w:szCs w:val="18"/>
                <w:color w:val="auto"/>
              </w:rPr>
              <w:t>5225 Wiley Post Way, Suite 500</w:t>
            </w:r>
          </w:p>
        </w:tc>
      </w:tr>
      <w:tr>
        <w:trPr>
          <w:trHeight w:val="230"/>
        </w:trPr>
        <w:tc>
          <w:tcPr>
            <w:tcW w:w="1420" w:type="dxa"/>
            <w:vAlign w:val="bottom"/>
          </w:tcPr>
          <w:p>
            <w:pPr>
              <w:spacing w:after="0"/>
              <w:rPr>
                <w:sz w:val="20"/>
                <w:szCs w:val="20"/>
                <w:color w:val="auto"/>
              </w:rPr>
            </w:pPr>
          </w:p>
        </w:tc>
        <w:tc>
          <w:tcPr>
            <w:tcW w:w="9280" w:type="dxa"/>
            <w:vAlign w:val="bottom"/>
            <w:gridSpan w:val="5"/>
          </w:tcPr>
          <w:p>
            <w:pPr>
              <w:ind w:left="1820"/>
              <w:spacing w:after="0"/>
              <w:rPr>
                <w:sz w:val="20"/>
                <w:szCs w:val="20"/>
                <w:color w:val="auto"/>
              </w:rPr>
            </w:pPr>
            <w:r>
              <w:rPr>
                <w:rFonts w:ascii="Arial" w:cs="Arial" w:eastAsia="Arial" w:hAnsi="Arial"/>
                <w:sz w:val="18"/>
                <w:szCs w:val="18"/>
                <w:color w:val="auto"/>
              </w:rPr>
              <w:t>Salt Lake City, Utah 84116</w:t>
            </w:r>
          </w:p>
        </w:tc>
      </w:tr>
      <w:tr>
        <w:trPr>
          <w:trHeight w:val="594"/>
        </w:trPr>
        <w:tc>
          <w:tcPr>
            <w:tcW w:w="1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80" w:type="dxa"/>
            <w:vAlign w:val="bottom"/>
            <w:gridSpan w:val="3"/>
          </w:tcPr>
          <w:p>
            <w:pPr>
              <w:jc w:val="center"/>
              <w:ind w:right="4500"/>
              <w:spacing w:after="0"/>
              <w:rPr>
                <w:sz w:val="20"/>
                <w:szCs w:val="20"/>
                <w:color w:val="auto"/>
              </w:rPr>
            </w:pPr>
            <w:r>
              <w:rPr>
                <w:rFonts w:ascii="Arial" w:cs="Arial" w:eastAsia="Arial" w:hAnsi="Arial"/>
                <w:sz w:val="18"/>
                <w:szCs w:val="18"/>
                <w:color w:val="auto"/>
                <w:w w:val="99"/>
              </w:rPr>
              <w:t>ARTICLE IX</w:t>
            </w:r>
          </w:p>
        </w:tc>
      </w:tr>
      <w:tr>
        <w:trPr>
          <w:trHeight w:val="338"/>
        </w:trPr>
        <w:tc>
          <w:tcPr>
            <w:tcW w:w="1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DIRECTORS</w:t>
            </w:r>
          </w:p>
        </w:tc>
        <w:tc>
          <w:tcPr>
            <w:tcW w:w="4480" w:type="dxa"/>
            <w:vAlign w:val="bottom"/>
            <w:gridSpan w:val="2"/>
          </w:tcPr>
          <w:p>
            <w:pPr>
              <w:spacing w:after="0"/>
              <w:rPr>
                <w:sz w:val="24"/>
                <w:szCs w:val="24"/>
                <w:color w:val="auto"/>
              </w:rPr>
            </w:pPr>
          </w:p>
        </w:tc>
      </w:tr>
      <w:tr>
        <w:trPr>
          <w:trHeight w:val="384"/>
        </w:trPr>
        <w:tc>
          <w:tcPr>
            <w:tcW w:w="10700" w:type="dxa"/>
            <w:vAlign w:val="bottom"/>
            <w:gridSpan w:val="6"/>
          </w:tcPr>
          <w:p>
            <w:pPr>
              <w:spacing w:after="0"/>
              <w:rPr>
                <w:sz w:val="20"/>
                <w:szCs w:val="20"/>
                <w:color w:val="auto"/>
              </w:rPr>
            </w:pPr>
            <w:r>
              <w:rPr>
                <w:rFonts w:ascii="Arial" w:cs="Arial" w:eastAsia="Arial" w:hAnsi="Arial"/>
                <w:sz w:val="18"/>
                <w:szCs w:val="18"/>
                <w:color w:val="auto"/>
                <w:w w:val="91"/>
              </w:rPr>
              <w:t>The Board of Directors shall consist of not less than three (3) nor more than nine (9) members as the Board of Directors may itself from time to time</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determine.</w:t>
            </w:r>
          </w:p>
        </w:tc>
        <w:tc>
          <w:tcPr>
            <w:tcW w:w="2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78"/>
        </w:trPr>
        <w:tc>
          <w:tcPr>
            <w:tcW w:w="1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80" w:type="dxa"/>
            <w:vAlign w:val="bottom"/>
            <w:gridSpan w:val="3"/>
          </w:tcPr>
          <w:p>
            <w:pPr>
              <w:jc w:val="center"/>
              <w:ind w:right="4480"/>
              <w:spacing w:after="0"/>
              <w:rPr>
                <w:sz w:val="20"/>
                <w:szCs w:val="20"/>
                <w:color w:val="auto"/>
              </w:rPr>
            </w:pPr>
            <w:r>
              <w:rPr>
                <w:rFonts w:ascii="Arial" w:cs="Arial" w:eastAsia="Arial" w:hAnsi="Arial"/>
                <w:sz w:val="18"/>
                <w:szCs w:val="18"/>
                <w:color w:val="auto"/>
                <w:w w:val="98"/>
              </w:rPr>
              <w:t>ARTICLE X</w:t>
            </w:r>
          </w:p>
        </w:tc>
      </w:tr>
      <w:tr>
        <w:trPr>
          <w:trHeight w:val="338"/>
        </w:trPr>
        <w:tc>
          <w:tcPr>
            <w:tcW w:w="1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OFFICER AND DIRECTORS CONTRACT</w:t>
            </w:r>
          </w:p>
        </w:tc>
        <w:tc>
          <w:tcPr>
            <w:tcW w:w="3360" w:type="dxa"/>
            <w:vAlign w:val="bottom"/>
          </w:tcPr>
          <w:p>
            <w:pPr>
              <w:spacing w:after="0"/>
              <w:rPr>
                <w:sz w:val="24"/>
                <w:szCs w:val="24"/>
                <w:color w:val="auto"/>
              </w:rPr>
            </w:pPr>
          </w:p>
        </w:tc>
      </w:tr>
    </w:tbl>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 contract or other transaction between this Corporation and any other corporation shall be affected by the fact that a Director or Officer of this Corporation is interested in, or is a Director or other Officer of such other Corporation. Any Director, individually or with others, may be a party to, or may be interested in any transaction of this Corporation or any transaction in which this Corporation is interested. No contract or other transaction of this Corporation with any person, firm or corporation shall be affected by the fact that any Director of this Corporation (a) is a party to, or is interested in, such contract, act or transaction, or (b) is in some way connected with such person, firm or corporation. Each person who is now or may become a Director of this Corporation is hereby relieved from and indemnified against liability that might otherwise obtain in the event such Director contracts with this Corporation for the benefit of himself or any firm, association or corporation in which he may be interested in any way, provided said Directors acts in good faith.</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665" w:right="2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on Form S-8 of ClearOne, Inc. of our report dated March 22, 2013, relating to our audit of the consolidated financial statements, which appears in this Annual Report on Form 10-K of ClearOne, Inc.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McGladrey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2013</w:t>
      </w:r>
    </w:p>
    <w:p>
      <w:pPr>
        <w:sectPr>
          <w:pgSz w:w="11900" w:h="16838" w:orient="portrait"/>
          <w:cols w:equalWidth="0" w:num="1">
            <w:col w:w="11420"/>
          </w:cols>
          <w:pgMar w:left="240" w:top="580" w:right="239" w:bottom="1440" w:gutter="0" w:footer="0" w:header="0"/>
        </w:sectPr>
      </w:pPr>
    </w:p>
    <w:bookmarkStart w:id="62" w:name="page63"/>
    <w:bookmarkEnd w:id="62"/>
    <w:p>
      <w:pPr>
        <w:ind w:left="10280"/>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of ClearOne, Inc. (formerly ClearOne Communications, Inc.) on Forms S-8 of our financial statement audit report dated March 30, 2012, appearing in this annual report on Form 10-K of ClearOne, Inc.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Jones Simkins,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JONES SIMKINS,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2013</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71"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71"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117"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117" w:lineRule="exact"/>
        <w:rPr>
          <w:rFonts w:ascii="Arial" w:cs="Arial" w:eastAsia="Arial" w:hAnsi="Arial"/>
          <w:sz w:val="18"/>
          <w:szCs w:val="18"/>
          <w:color w:val="auto"/>
        </w:rPr>
      </w:pPr>
    </w:p>
    <w:p>
      <w:pPr>
        <w:jc w:val="both"/>
        <w:ind w:left="480" w:right="460" w:hanging="472"/>
        <w:spacing w:after="0" w:line="264"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80" w:right="440" w:hanging="472"/>
        <w:spacing w:after="0" w:line="308"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80" w:right="40" w:hanging="472"/>
        <w:spacing w:after="0" w:line="318"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8"/>
          <w:szCs w:val="18"/>
          <w:color w:val="auto"/>
        </w:rPr>
      </w:pPr>
    </w:p>
    <w:p>
      <w:pPr>
        <w:ind w:left="980" w:right="220" w:hanging="513"/>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513"/>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513"/>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60" w:hanging="513"/>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380" w:hanging="472"/>
        <w:spacing w:after="0" w:line="308"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513"/>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100" w:hanging="513"/>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of Finance</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annual report of ClearOne, Inc. on Form 10-K for the year ended December 31, 2012,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annual report of ClearOne Inc. on Form 10-K for the year ended December 31, 2012, fully complies with the requirements of Section 13(a) or 15(d) of the Securities Exchange Act of 1934 and that information contained in such annual report on Form 10-K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spacing w:after="0"/>
        <w:tabs>
          <w:tab w:leader="none" w:pos="5520" w:val="left"/>
          <w:tab w:leader="none" w:pos="6160" w:val="left"/>
        </w:tabs>
        <w:rPr>
          <w:sz w:val="20"/>
          <w:szCs w:val="20"/>
          <w:color w:val="auto"/>
        </w:rPr>
      </w:pPr>
      <w:r>
        <w:rPr>
          <w:rFonts w:ascii="Arial" w:cs="Arial" w:eastAsia="Arial" w:hAnsi="Arial"/>
          <w:sz w:val="18"/>
          <w:szCs w:val="18"/>
          <w:color w:val="auto"/>
        </w:rPr>
        <w:t>March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087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of Finance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Roman"/>
      <w:start w:val="10"/>
    </w:lvl>
  </w:abstractNum>
  <w:abstractNum w:abstractNumId="1">
    <w:nsid w:val="1F16E9E8"/>
    <w:multiLevelType w:val="hybridMultilevel"/>
    <w:lvl w:ilvl="0">
      <w:lvlJc w:val="left"/>
      <w:lvlText w:val="%1."/>
      <w:numFmt w:val="upperLetter"/>
      <w:start w:val="1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Roman"/>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2019-12-06T03:14:13Z</dcterms:created>
  <dcterms:modified xsi:type="dcterms:W3CDTF">2019-12-06T03:14:13Z</dcterms:modified>
</cp:coreProperties>
</file>